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CF26A">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屯昌县枫木镇枫木中学2024年度</w:t>
      </w:r>
    </w:p>
    <w:p w14:paraId="2BB09E73">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14:paraId="4899A530">
      <w:pPr>
        <w:spacing w:line="578" w:lineRule="exact"/>
        <w:jc w:val="center"/>
        <w:rPr>
          <w:rFonts w:hint="eastAsia" w:ascii="黑体" w:hAnsi="ˎ̥" w:eastAsia="黑体"/>
          <w:b/>
          <w:sz w:val="32"/>
          <w:szCs w:val="32"/>
        </w:rPr>
      </w:pPr>
    </w:p>
    <w:p w14:paraId="1A1F270C">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07FADEA9">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19CCEB8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6F0206F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25A16CF4">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14:paraId="18CFCDB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14:paraId="5FDC3256">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3857ED61">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44ECE13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3025CBE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6041966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1D1FB45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3DE8CC33">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74859321">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635FACCC">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0AA43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4A40E64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65709161">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39304BCD">
      <w:pPr>
        <w:spacing w:line="578" w:lineRule="exact"/>
        <w:jc w:val="both"/>
        <w:rPr>
          <w:rFonts w:hint="eastAsia" w:ascii="黑体" w:hAnsi="ˎ̥" w:eastAsia="黑体"/>
          <w:sz w:val="32"/>
          <w:szCs w:val="32"/>
        </w:rPr>
      </w:pPr>
      <w:bookmarkStart w:id="2" w:name="_Toc32433_WPSOffice_Level1"/>
      <w:bookmarkStart w:id="3" w:name="_Toc10720_WPSOffice_Level1"/>
      <w:bookmarkStart w:id="4" w:name="_Toc1704_WPSOffice_Level1"/>
      <w:bookmarkStart w:id="5" w:name="_Toc10049_WPSOffice_Level1"/>
      <w:bookmarkStart w:id="6" w:name="_Toc23465_WPSOffice_Level1"/>
      <w:bookmarkStart w:id="7" w:name="_Toc22941_WPSOffice_Level1"/>
      <w:bookmarkStart w:id="8" w:name="_Toc24238_WPSOffice_Level2"/>
      <w:bookmarkStart w:id="9" w:name="_Toc20274_WPSOffice_Level2"/>
      <w:bookmarkStart w:id="10" w:name="_Toc26580_WPSOffice_Level2"/>
      <w:bookmarkStart w:id="11" w:name="_Toc32622_WPSOffice_Level2"/>
      <w:bookmarkStart w:id="12" w:name="_Toc20205_WPSOffice_Level2"/>
      <w:bookmarkStart w:id="13" w:name="_Toc14159_WPSOffice_Level2"/>
    </w:p>
    <w:p w14:paraId="03740752">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2AC78328">
      <w:pPr>
        <w:spacing w:line="578" w:lineRule="exact"/>
        <w:ind w:firstLine="640" w:firstLineChars="200"/>
        <w:rPr>
          <w:rFonts w:hint="eastAsia" w:ascii="楷体" w:hAnsi="楷体" w:eastAsia="楷体" w:cs="楷体"/>
          <w:sz w:val="32"/>
          <w:szCs w:val="32"/>
        </w:rPr>
      </w:pPr>
    </w:p>
    <w:bookmarkEnd w:id="8"/>
    <w:p w14:paraId="4088584F">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单位</w:t>
      </w:r>
      <w:r>
        <w:rPr>
          <w:rFonts w:hint="eastAsia" w:ascii="黑体" w:hAnsi="黑体" w:eastAsia="黑体" w:cs="黑体"/>
          <w:color w:val="auto"/>
          <w:sz w:val="32"/>
          <w:szCs w:val="32"/>
        </w:rPr>
        <w:t>（单位）职责</w:t>
      </w:r>
      <w:bookmarkEnd w:id="9"/>
      <w:bookmarkEnd w:id="10"/>
      <w:bookmarkEnd w:id="11"/>
      <w:bookmarkEnd w:id="12"/>
      <w:bookmarkEnd w:id="13"/>
    </w:p>
    <w:p w14:paraId="42C98DDF">
      <w:pPr>
        <w:spacing w:line="578" w:lineRule="exact"/>
        <w:ind w:firstLine="640" w:firstLineChars="200"/>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实施初中义务教育，促进基础教育发展；承担初中学历教育任务，并提供与初中教育相关的社会服务</w:t>
      </w:r>
      <w:r>
        <w:rPr>
          <w:rFonts w:hint="eastAsia" w:ascii="仿宋_GB2312" w:hAnsi="ˎ̥" w:eastAsia="仿宋_GB2312"/>
          <w:color w:val="auto"/>
          <w:sz w:val="32"/>
          <w:szCs w:val="32"/>
          <w:lang w:eastAsia="zh-CN"/>
        </w:rPr>
        <w:t>。</w:t>
      </w:r>
    </w:p>
    <w:p w14:paraId="611F6021">
      <w:pPr>
        <w:spacing w:line="578" w:lineRule="exact"/>
        <w:ind w:firstLine="640" w:firstLineChars="200"/>
        <w:rPr>
          <w:rFonts w:hint="eastAsia" w:ascii="黑体" w:hAnsi="黑体" w:eastAsia="黑体" w:cs="黑体"/>
          <w:color w:val="auto"/>
          <w:sz w:val="32"/>
          <w:szCs w:val="32"/>
        </w:rPr>
      </w:pPr>
      <w:bookmarkStart w:id="14" w:name="_Toc6572_WPSOffice_Level2"/>
      <w:bookmarkStart w:id="15" w:name="_Toc4833_WPSOffice_Level2"/>
      <w:bookmarkStart w:id="16" w:name="_Toc24474_WPSOffice_Level2"/>
      <w:bookmarkStart w:id="17" w:name="_Toc17796_WPSOffice_Level2"/>
      <w:bookmarkStart w:id="18" w:name="_Toc24059_WPSOffice_Level2"/>
      <w:r>
        <w:rPr>
          <w:rFonts w:hint="eastAsia" w:ascii="黑体" w:hAnsi="黑体" w:eastAsia="黑体" w:cs="黑体"/>
          <w:color w:val="auto"/>
          <w:sz w:val="32"/>
          <w:szCs w:val="32"/>
        </w:rPr>
        <w:t>二、机构设置</w:t>
      </w:r>
      <w:bookmarkEnd w:id="14"/>
      <w:bookmarkEnd w:id="15"/>
      <w:bookmarkEnd w:id="16"/>
      <w:bookmarkEnd w:id="17"/>
      <w:bookmarkEnd w:id="18"/>
    </w:p>
    <w:p w14:paraId="795547F2">
      <w:pPr>
        <w:spacing w:line="578" w:lineRule="exact"/>
        <w:ind w:firstLine="640" w:firstLineChars="200"/>
        <w:rPr>
          <w:rFonts w:hint="eastAsia" w:ascii="黑体" w:hAnsi="ˎ̥" w:eastAsia="黑体"/>
          <w:sz w:val="32"/>
          <w:szCs w:val="32"/>
        </w:rPr>
      </w:pPr>
      <w:r>
        <w:rPr>
          <w:rFonts w:hint="eastAsia" w:ascii="仿宋_GB2312" w:hAnsi="ˎ̥" w:eastAsia="仿宋_GB2312"/>
          <w:color w:val="auto"/>
          <w:sz w:val="32"/>
          <w:szCs w:val="32"/>
        </w:rPr>
        <w:t>纳入</w:t>
      </w:r>
      <w:r>
        <w:rPr>
          <w:rFonts w:hint="eastAsia" w:ascii="仿宋_GB2312" w:hAnsi="ˎ̥" w:eastAsia="仿宋_GB2312"/>
          <w:color w:val="auto"/>
          <w:sz w:val="32"/>
          <w:szCs w:val="32"/>
          <w:lang w:val="en-US" w:eastAsia="zh-CN"/>
        </w:rPr>
        <w:t>枫木中学</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年度部门决算编制范围的单位共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个，为枫木中学</w:t>
      </w:r>
      <w:r>
        <w:rPr>
          <w:rFonts w:hint="eastAsia" w:ascii="仿宋_GB2312" w:hAnsi="ˎ̥" w:eastAsia="仿宋_GB2312"/>
          <w:color w:val="auto"/>
          <w:sz w:val="32"/>
          <w:szCs w:val="32"/>
          <w:lang w:val="en-US" w:eastAsia="zh-CN"/>
        </w:rPr>
        <w:t>单位</w:t>
      </w:r>
      <w:r>
        <w:rPr>
          <w:rFonts w:hint="eastAsia" w:ascii="仿宋_GB2312" w:hAnsi="ˎ̥" w:eastAsia="仿宋_GB2312"/>
          <w:color w:val="auto"/>
          <w:sz w:val="32"/>
          <w:szCs w:val="32"/>
        </w:rPr>
        <w:t>本级（无下属单位）</w:t>
      </w:r>
      <w:bookmarkStart w:id="19" w:name="_Toc30690_WPSOffice_Level1"/>
      <w:bookmarkStart w:id="20" w:name="_Toc15521_WPSOffice_Level1"/>
      <w:bookmarkStart w:id="21" w:name="_Toc6234_WPSOffice_Level1"/>
      <w:bookmarkStart w:id="22" w:name="_Toc30451_WPSOffice_Level1"/>
      <w:bookmarkStart w:id="23" w:name="_Toc8164_WPSOffice_Level1"/>
      <w:bookmarkStart w:id="24" w:name="_Toc28253_WPSOffice_Level1"/>
      <w:bookmarkStart w:id="25" w:name="_Toc8867_WPSOffice_Level2"/>
      <w:bookmarkStart w:id="26" w:name="_Toc32472_WPSOffice_Level2"/>
      <w:bookmarkStart w:id="27" w:name="_Toc4029_WPSOffice_Level2"/>
      <w:bookmarkStart w:id="28" w:name="_Toc11518_WPSOffice_Level2"/>
      <w:bookmarkStart w:id="29" w:name="_Toc6211_WPSOffice_Level2"/>
      <w:bookmarkStart w:id="30" w:name="_Toc32695_WPSOffice_Level2"/>
    </w:p>
    <w:p w14:paraId="389CA840">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14:paraId="0CC05C9D">
      <w:pPr>
        <w:spacing w:line="578" w:lineRule="exact"/>
        <w:ind w:firstLine="645"/>
        <w:rPr>
          <w:rFonts w:hint="eastAsia" w:ascii="黑体" w:hAnsi="黑体" w:eastAsia="黑体" w:cs="黑体"/>
          <w:sz w:val="32"/>
          <w:szCs w:val="32"/>
        </w:rPr>
      </w:pPr>
    </w:p>
    <w:p w14:paraId="6E9809BE">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1666F89C">
      <w:pPr>
        <w:spacing w:line="578" w:lineRule="exact"/>
        <w:ind w:firstLine="645"/>
        <w:rPr>
          <w:rFonts w:hint="eastAsia" w:ascii="黑体" w:hAnsi="黑体" w:eastAsia="黑体" w:cs="黑体"/>
          <w:sz w:val="32"/>
          <w:szCs w:val="32"/>
        </w:rPr>
      </w:pPr>
      <w:bookmarkStart w:id="31" w:name="_Toc23139_WPSOffice_Level2"/>
      <w:bookmarkStart w:id="32" w:name="_Toc25608_WPSOffice_Level2"/>
      <w:bookmarkStart w:id="33" w:name="_Toc30334_WPSOffice_Level2"/>
      <w:bookmarkStart w:id="34" w:name="_Toc28622_WPSOffice_Level2"/>
      <w:bookmarkStart w:id="35" w:name="_Toc26621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17858_WPSOffice_Level2"/>
      <w:bookmarkStart w:id="39" w:name="_Toc5489_WPSOffice_Level2"/>
      <w:bookmarkStart w:id="40" w:name="_Toc3262_WPSOffice_Level2"/>
      <w:bookmarkStart w:id="41" w:name="_Toc13854_WPSOffice_Level2"/>
      <w:bookmarkStart w:id="42" w:name="_Toc14658_WPSOffice_Level2"/>
    </w:p>
    <w:p w14:paraId="3F391194">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13701_WPSOffice_Level2"/>
      <w:bookmarkStart w:id="44" w:name="_Toc7988_WPSOffice_Level2"/>
      <w:bookmarkStart w:id="45" w:name="_Toc23493_WPSOffice_Level2"/>
      <w:bookmarkStart w:id="46" w:name="_Toc23591_WPSOffice_Level2"/>
      <w:bookmarkStart w:id="47" w:name="_Toc4265_WPSOffice_Level2"/>
      <w:bookmarkStart w:id="48" w:name="_Toc21415_WPSOffice_Level2"/>
    </w:p>
    <w:p w14:paraId="7F81F451">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539ED2B5">
      <w:pPr>
        <w:spacing w:line="578" w:lineRule="exact"/>
        <w:ind w:firstLine="645"/>
        <w:rPr>
          <w:rFonts w:hint="eastAsia" w:ascii="黑体" w:hAnsi="黑体" w:eastAsia="黑体" w:cs="黑体"/>
          <w:sz w:val="32"/>
          <w:szCs w:val="32"/>
        </w:rPr>
      </w:pPr>
      <w:bookmarkStart w:id="49" w:name="_Toc22783_WPSOffice_Level2"/>
      <w:bookmarkStart w:id="50" w:name="_Toc25166_WPSOffice_Level2"/>
      <w:bookmarkStart w:id="51" w:name="_Toc23829_WPSOffice_Level2"/>
      <w:bookmarkStart w:id="52" w:name="_Toc7879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283_WPSOffice_Level2"/>
      <w:bookmarkStart w:id="56" w:name="_Toc2632_WPSOffice_Level2"/>
      <w:bookmarkStart w:id="57" w:name="_Toc8373_WPSOffice_Level2"/>
      <w:bookmarkStart w:id="58" w:name="_Toc17833_WPSOffice_Level2"/>
      <w:bookmarkStart w:id="59" w:name="_Toc5343_WPSOffice_Level2"/>
      <w:bookmarkStart w:id="60" w:name="_Toc25362_WPSOffice_Level2"/>
    </w:p>
    <w:p w14:paraId="359EF0C9">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22B17E4C">
      <w:pPr>
        <w:spacing w:line="578" w:lineRule="exact"/>
        <w:ind w:left="1118" w:leftChars="304" w:hanging="480" w:hangingChars="150"/>
        <w:rPr>
          <w:rFonts w:hint="eastAsia" w:ascii="黑体" w:hAnsi="黑体" w:eastAsia="黑体" w:cs="黑体"/>
          <w:sz w:val="32"/>
          <w:szCs w:val="32"/>
        </w:rPr>
      </w:pPr>
      <w:bookmarkStart w:id="61" w:name="_Toc21310_WPSOffice_Level2"/>
      <w:bookmarkStart w:id="62" w:name="_Toc6020_WPSOffice_Level2"/>
      <w:bookmarkStart w:id="63" w:name="_Toc5594_WPSOffice_Level2"/>
      <w:bookmarkStart w:id="64" w:name="_Toc11799_WPSOffice_Level2"/>
      <w:bookmarkStart w:id="65" w:name="_Toc13345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3F41EF2A">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13B06E79">
      <w:pPr>
        <w:spacing w:line="578" w:lineRule="exact"/>
        <w:ind w:firstLine="640"/>
        <w:rPr>
          <w:rFonts w:hint="eastAsia" w:ascii="黑体" w:hAnsi="黑体" w:eastAsia="黑体" w:cs="黑体"/>
          <w:sz w:val="32"/>
          <w:szCs w:val="32"/>
        </w:rPr>
      </w:pPr>
      <w:bookmarkStart w:id="67" w:name="_Toc1820_WPSOffice_Level2"/>
      <w:bookmarkStart w:id="68" w:name="_Toc9377_WPSOffice_Level2"/>
      <w:bookmarkStart w:id="69" w:name="_Toc19961_WPSOffice_Level2"/>
      <w:bookmarkStart w:id="70" w:name="_Toc29886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5B6BB0B2">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62B42BF1">
      <w:pPr>
        <w:spacing w:line="578" w:lineRule="exact"/>
        <w:rPr>
          <w:rFonts w:hint="eastAsia" w:ascii="黑体" w:hAnsi="黑体" w:eastAsia="黑体" w:cs="黑体"/>
          <w:sz w:val="32"/>
          <w:szCs w:val="32"/>
        </w:rPr>
      </w:pPr>
    </w:p>
    <w:p w14:paraId="6DCEABE9">
      <w:pPr>
        <w:spacing w:line="578" w:lineRule="exact"/>
        <w:jc w:val="center"/>
        <w:rPr>
          <w:rFonts w:hint="eastAsia" w:ascii="黑体" w:hAnsi="ˎ̥" w:eastAsia="黑体"/>
          <w:sz w:val="32"/>
          <w:szCs w:val="32"/>
        </w:rPr>
      </w:pPr>
      <w:bookmarkStart w:id="71" w:name="_Toc31264_WPSOffice_Level1"/>
      <w:bookmarkStart w:id="72" w:name="_Toc4402_WPSOffice_Level1"/>
      <w:bookmarkStart w:id="73" w:name="_Toc27590_WPSOffice_Level1"/>
      <w:bookmarkStart w:id="74" w:name="_Toc28629_WPSOffice_Level1"/>
      <w:bookmarkStart w:id="75" w:name="_Toc29683_WPSOffice_Level1"/>
      <w:bookmarkStart w:id="76"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14:paraId="08E3D6B6">
      <w:pPr>
        <w:spacing w:line="578" w:lineRule="exact"/>
        <w:jc w:val="center"/>
        <w:rPr>
          <w:rFonts w:hint="eastAsia" w:ascii="黑体" w:hAnsi="ˎ̥" w:eastAsia="黑体"/>
          <w:sz w:val="32"/>
          <w:szCs w:val="32"/>
        </w:rPr>
      </w:pPr>
    </w:p>
    <w:p w14:paraId="551C71C3">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s="仿宋_GB2312"/>
          <w:kern w:val="0"/>
          <w:sz w:val="32"/>
          <w:szCs w:val="32"/>
        </w:rPr>
      </w:pPr>
      <w:r>
        <w:rPr>
          <w:rFonts w:hint="eastAsia" w:ascii="黑体" w:hAnsi="黑体" w:eastAsia="黑体" w:cs="黑体"/>
          <w:bCs/>
          <w:sz w:val="32"/>
          <w:szCs w:val="32"/>
        </w:rPr>
        <w:t>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1,083.88</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1,083.88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color w:val="FF0000"/>
          <w:sz w:val="32"/>
          <w:szCs w:val="32"/>
          <w:lang w:val="en-US" w:eastAsia="zh-CN"/>
        </w:rPr>
        <w:t>74.58</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6.43</w:t>
      </w:r>
      <w:r>
        <w:rPr>
          <w:rFonts w:hint="eastAsia" w:ascii="仿宋_GB2312" w:hAnsi="ˎ̥" w:eastAsia="仿宋_GB2312"/>
          <w:sz w:val="32"/>
          <w:szCs w:val="32"/>
        </w:rPr>
        <w:t>%。主要原因</w:t>
      </w:r>
      <w:r>
        <w:rPr>
          <w:rFonts w:hint="default" w:ascii="仿宋_GB2312" w:hAnsi="ˎ̥" w:eastAsia="仿宋_GB2312" w:cs="仿宋_GB2312"/>
          <w:kern w:val="0"/>
          <w:sz w:val="32"/>
          <w:szCs w:val="32"/>
        </w:rPr>
        <w:t>一是部分人员退休及调动，导致工资福利、社会保障缴费等人员经费减少；二是本年度严格控制非刚性支出，优化跨年度经费支出节奏，压减部分公用经费。</w:t>
      </w:r>
    </w:p>
    <w:p w14:paraId="60DA1AE2">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601EFB6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1,078.02</w:t>
      </w:r>
      <w:r>
        <w:rPr>
          <w:rFonts w:hint="eastAsia" w:ascii="仿宋_GB2312" w:hAnsi="ˎ̥" w:eastAsia="仿宋_GB2312"/>
          <w:sz w:val="32"/>
          <w:szCs w:val="32"/>
        </w:rPr>
        <w:t>万元。</w:t>
      </w:r>
    </w:p>
    <w:p w14:paraId="698E74F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仿宋_GB2312"/>
          <w:kern w:val="0"/>
          <w:sz w:val="32"/>
          <w:szCs w:val="32"/>
          <w:lang w:eastAsia="zh-CN"/>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74.8</w:t>
      </w:r>
      <w:r>
        <w:rPr>
          <w:rFonts w:hint="eastAsia" w:ascii="仿宋_GB2312" w:hAnsi="ˎ̥" w:eastAsia="仿宋_GB2312"/>
          <w:sz w:val="32"/>
          <w:szCs w:val="32"/>
        </w:rPr>
        <w:t>万元，主要原因</w:t>
      </w:r>
      <w:r>
        <w:rPr>
          <w:rFonts w:hint="default" w:ascii="仿宋_GB2312" w:hAnsi="ˎ̥" w:eastAsia="仿宋_GB2312" w:cs="仿宋_GB2312"/>
          <w:kern w:val="0"/>
          <w:sz w:val="32"/>
          <w:szCs w:val="32"/>
        </w:rPr>
        <w:t>是人员退休和调动增加人员经费增加</w:t>
      </w:r>
      <w:r>
        <w:rPr>
          <w:rFonts w:hint="eastAsia" w:ascii="仿宋_GB2312" w:hAnsi="ˎ̥" w:eastAsia="仿宋_GB2312" w:cs="仿宋_GB2312"/>
          <w:kern w:val="0"/>
          <w:sz w:val="32"/>
          <w:szCs w:val="32"/>
          <w:lang w:eastAsia="zh-CN"/>
        </w:rPr>
        <w:t>。</w:t>
      </w:r>
    </w:p>
    <w:p w14:paraId="4E21CBCA">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5.86</w:t>
      </w:r>
      <w:r>
        <w:rPr>
          <w:rFonts w:hint="eastAsia" w:ascii="仿宋_GB2312" w:hAnsi="ˎ̥" w:eastAsia="仿宋_GB2312"/>
          <w:sz w:val="32"/>
          <w:szCs w:val="32"/>
        </w:rPr>
        <w:t>万元，</w:t>
      </w:r>
      <w:r>
        <w:rPr>
          <w:rFonts w:hint="default" w:ascii="仿宋_GB2312" w:hAnsi="ˎ̥" w:eastAsia="仿宋_GB2312" w:cs="仿宋_GB2312"/>
          <w:kern w:val="0"/>
          <w:sz w:val="32"/>
          <w:szCs w:val="32"/>
        </w:rPr>
        <w:t>主要是学校本学期跨年度使用经费</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0.22</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3.9</w:t>
      </w:r>
      <w:r>
        <w:rPr>
          <w:rFonts w:hint="eastAsia" w:ascii="仿宋_GB2312" w:hAnsi="ˎ̥" w:eastAsia="仿宋_GB2312"/>
          <w:sz w:val="32"/>
          <w:szCs w:val="32"/>
        </w:rPr>
        <w:t>%，主要原因是</w:t>
      </w:r>
      <w:r>
        <w:rPr>
          <w:rFonts w:hint="default" w:ascii="仿宋_GB2312" w:hAnsi="ˎ̥" w:eastAsia="仿宋_GB2312" w:cs="仿宋_GB2312"/>
          <w:kern w:val="0"/>
          <w:sz w:val="32"/>
          <w:szCs w:val="32"/>
          <w:shd w:val="clear" w:fill="FFFFFF"/>
        </w:rPr>
        <w:t xml:space="preserve"> 2023 年末部分公用经费因支付流程延迟，结转至 2024 年使用</w:t>
      </w:r>
      <w:r>
        <w:rPr>
          <w:rFonts w:hint="eastAsia" w:ascii="仿宋_GB2312" w:hAnsi="ˎ̥" w:eastAsia="仿宋_GB2312"/>
          <w:sz w:val="32"/>
          <w:szCs w:val="32"/>
        </w:rPr>
        <w:t>。</w:t>
      </w:r>
    </w:p>
    <w:p w14:paraId="78A532A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284478C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1,079.56</w:t>
      </w:r>
      <w:r>
        <w:rPr>
          <w:rFonts w:hint="eastAsia" w:ascii="仿宋_GB2312" w:hAnsi="ˎ̥" w:eastAsia="仿宋_GB2312"/>
          <w:sz w:val="32"/>
          <w:szCs w:val="32"/>
        </w:rPr>
        <w:t>万元。</w:t>
      </w:r>
    </w:p>
    <w:p w14:paraId="31A251D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default" w:ascii="仿宋_GB2312" w:hAnsi="ˎ̥" w:eastAsia="仿宋_GB2312"/>
          <w:color w:val="FF0000"/>
          <w:sz w:val="32"/>
          <w:szCs w:val="32"/>
          <w:lang w:val="en-US"/>
        </w:rPr>
        <w:t>XXXX</w:t>
      </w:r>
      <w:r>
        <w:rPr>
          <w:rFonts w:hint="eastAsia" w:ascii="仿宋_GB2312" w:hAnsi="ˎ̥" w:eastAsia="仿宋_GB2312"/>
          <w:sz w:val="32"/>
          <w:szCs w:val="32"/>
        </w:rPr>
        <w:t>万元，增长（下降）</w:t>
      </w:r>
      <w:r>
        <w:rPr>
          <w:rFonts w:hint="default" w:ascii="仿宋_GB2312" w:hAnsi="ˎ̥" w:eastAsia="仿宋_GB2312"/>
          <w:color w:val="FF0000"/>
          <w:sz w:val="32"/>
          <w:szCs w:val="32"/>
          <w:lang w:val="en-US"/>
        </w:rPr>
        <w:t>XXXX</w:t>
      </w:r>
      <w:r>
        <w:rPr>
          <w:rFonts w:hint="eastAsia" w:ascii="仿宋_GB2312" w:hAnsi="ˎ̥" w:eastAsia="仿宋_GB2312"/>
          <w:sz w:val="32"/>
          <w:szCs w:val="32"/>
        </w:rPr>
        <w:t>%，主要原因是……。</w:t>
      </w:r>
    </w:p>
    <w:p w14:paraId="3356555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4.32</w:t>
      </w:r>
      <w:r>
        <w:rPr>
          <w:rFonts w:hint="eastAsia" w:ascii="仿宋_GB2312" w:hAnsi="ˎ̥" w:eastAsia="仿宋_GB2312"/>
          <w:sz w:val="32"/>
          <w:szCs w:val="32"/>
        </w:rPr>
        <w:t>万元，主要是 2024 年度未到支付节点的少量公用经费（如未结算的零星维修款），较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1.54</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26.28</w:t>
      </w:r>
      <w:r>
        <w:rPr>
          <w:rFonts w:hint="eastAsia" w:ascii="仿宋_GB2312" w:hAnsi="ˎ̥" w:eastAsia="仿宋_GB2312"/>
          <w:sz w:val="32"/>
          <w:szCs w:val="32"/>
        </w:rPr>
        <w:t>%，主要原因是</w:t>
      </w:r>
      <w:bookmarkStart w:id="119" w:name="_GoBack"/>
      <w:bookmarkEnd w:id="119"/>
      <w:r>
        <w:rPr>
          <w:rFonts w:hint="eastAsia" w:ascii="仿宋_GB2312" w:hAnsi="ˎ̥" w:eastAsia="仿宋_GB2312"/>
          <w:sz w:val="32"/>
          <w:szCs w:val="32"/>
        </w:rPr>
        <w:t>本年度加强支出进度管理，大部分跨年度经费已按计划支付。</w:t>
      </w:r>
    </w:p>
    <w:p w14:paraId="33A14BC9">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1DA818A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1,078.02</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1,068.98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99.46</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9.04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0.84</w:t>
      </w:r>
      <w:r>
        <w:rPr>
          <w:rFonts w:hint="eastAsia" w:ascii="仿宋_GB2312" w:hAnsi="ˎ̥" w:eastAsia="仿宋_GB2312"/>
          <w:sz w:val="32"/>
          <w:szCs w:val="32"/>
        </w:rPr>
        <w:t>%。</w:t>
      </w:r>
    </w:p>
    <w:p w14:paraId="1DEAB827">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3B1A450">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5BCE5E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1,079.56</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984.47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91.2</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95.09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8.80</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5A2118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6F1BFDB3">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6F0FEE3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1,068.98</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1,068.98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color w:val="FF0000"/>
          <w:sz w:val="32"/>
          <w:szCs w:val="32"/>
          <w:lang w:val="en-US" w:eastAsia="zh-CN"/>
        </w:rPr>
        <w:t>76.01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6.64</w:t>
      </w:r>
      <w:r>
        <w:rPr>
          <w:rFonts w:hint="eastAsia" w:ascii="仿宋_GB2312" w:hAnsi="ˎ̥" w:eastAsia="仿宋_GB2312"/>
          <w:sz w:val="32"/>
          <w:szCs w:val="32"/>
        </w:rPr>
        <w:t>%，主要原因：一是部分教师退休、调动，减少工资福利及相关社会保障缴费对应的财政拨款；二是本年度无新增教学设备采购专项拨款，仅保留常规维护资金。支出减少</w:t>
      </w:r>
      <w:r>
        <w:rPr>
          <w:rFonts w:hint="eastAsia" w:ascii="仿宋_GB2312" w:hAnsi="ˎ̥" w:eastAsia="仿宋_GB2312"/>
          <w:color w:val="FF0000"/>
          <w:sz w:val="32"/>
          <w:szCs w:val="32"/>
          <w:lang w:val="en-US" w:eastAsia="zh-CN"/>
        </w:rPr>
        <w:t>76.01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6.64</w:t>
      </w:r>
      <w:r>
        <w:rPr>
          <w:rFonts w:hint="eastAsia" w:ascii="仿宋_GB2312" w:hAnsi="ˎ̥" w:eastAsia="仿宋_GB2312"/>
          <w:sz w:val="32"/>
          <w:szCs w:val="32"/>
        </w:rPr>
        <w:t>%，主要原因：一是部分教师退休、调动，减少工资福利及相关社会保障缴费对应的财政拨款；二是本年度无新增教学设备采购专项拨款，仅保留常规维护资金。</w:t>
      </w:r>
    </w:p>
    <w:p w14:paraId="02B5FFA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0.49</w:t>
      </w:r>
      <w:r>
        <w:rPr>
          <w:rFonts w:hint="eastAsia" w:ascii="仿宋_GB2312" w:hAnsi="ˎ̥" w:eastAsia="仿宋_GB2312"/>
          <w:sz w:val="32"/>
          <w:szCs w:val="32"/>
        </w:rPr>
        <w:t>万元，主要是</w:t>
      </w:r>
      <w:r>
        <w:rPr>
          <w:rFonts w:hint="default" w:ascii="仿宋_GB2312" w:hAnsi="ˎ̥" w:eastAsia="仿宋_GB2312" w:cs="仿宋_GB2312"/>
          <w:kern w:val="0"/>
          <w:sz w:val="32"/>
          <w:szCs w:val="32"/>
          <w:shd w:val="clear" w:fill="FFFFFF"/>
        </w:rPr>
        <w:t>公用经费结转结余</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 2023 年度未支付完毕的零星公用经费。</w:t>
      </w:r>
    </w:p>
    <w:p w14:paraId="79E1E66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0.49</w:t>
      </w:r>
      <w:r>
        <w:rPr>
          <w:rFonts w:hint="eastAsia" w:ascii="仿宋_GB2312" w:hAnsi="ˎ̥" w:eastAsia="仿宋_GB2312"/>
          <w:sz w:val="32"/>
          <w:szCs w:val="32"/>
        </w:rPr>
        <w:t>万元，主要是</w:t>
      </w:r>
      <w:r>
        <w:rPr>
          <w:rFonts w:hint="default" w:ascii="仿宋_GB2312" w:hAnsi="ˎ̥" w:eastAsia="仿宋_GB2312" w:cs="仿宋_GB2312"/>
          <w:kern w:val="0"/>
          <w:sz w:val="32"/>
          <w:szCs w:val="32"/>
          <w:shd w:val="clear" w:fill="FFFFFF"/>
        </w:rPr>
        <w:t>公用经费结转结余</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 2024 年度未到支付节点的公用经费。</w:t>
      </w:r>
    </w:p>
    <w:p w14:paraId="5695C7C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4776ACA4">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4BBBBB6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9989_WPSOffice_Level2"/>
      <w:bookmarkStart w:id="78" w:name="_Toc21737_WPSOffice_Level2"/>
      <w:bookmarkStart w:id="79" w:name="_Toc17398_WPSOffice_Level2"/>
      <w:bookmarkStart w:id="80" w:name="_Toc23005_WPSOffice_Level2"/>
      <w:bookmarkStart w:id="81" w:name="_Toc19665_WPSOffice_Level2"/>
      <w:bookmarkStart w:id="82" w:name="_Toc13694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7DF9A71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1,068.98</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99.01</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color w:val="FF0000"/>
          <w:sz w:val="32"/>
          <w:szCs w:val="32"/>
          <w:lang w:val="en-US" w:eastAsia="zh-CN"/>
        </w:rPr>
        <w:t>76.01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6.64</w:t>
      </w:r>
      <w:r>
        <w:rPr>
          <w:rFonts w:hint="eastAsia" w:ascii="仿宋_GB2312" w:hAnsi="ˎ̥" w:eastAsia="仿宋_GB2312"/>
          <w:sz w:val="32"/>
          <w:szCs w:val="32"/>
        </w:rPr>
        <w:t>%，主要原因是一是人员变动导致工资福利、社会保障缴费等人员经费减少；二是严格控制公用经费，如压缩办公耗材采购、优化差旅费支出等。</w:t>
      </w:r>
    </w:p>
    <w:p w14:paraId="1146748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9075_WPSOffice_Level2"/>
      <w:bookmarkStart w:id="84" w:name="_Toc18793_WPSOffice_Level2"/>
      <w:bookmarkStart w:id="85" w:name="_Toc19535_WPSOffice_Level2"/>
      <w:bookmarkStart w:id="86" w:name="_Toc27767_WPSOffice_Level2"/>
      <w:bookmarkStart w:id="87" w:name="_Toc2711_WPSOffice_Level2"/>
      <w:bookmarkStart w:id="88" w:name="_Toc23864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399F2B8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1,068.98</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教育支出</w:t>
      </w:r>
      <w:r>
        <w:rPr>
          <w:rFonts w:hint="eastAsia" w:ascii="仿宋_GB2312" w:hAnsi="ˎ̥" w:eastAsia="仿宋_GB2312"/>
          <w:color w:val="FF0000"/>
          <w:sz w:val="32"/>
          <w:szCs w:val="32"/>
          <w:lang w:val="en-US" w:eastAsia="zh-CN"/>
        </w:rPr>
        <w:t>731.70</w:t>
      </w:r>
      <w:r>
        <w:rPr>
          <w:rFonts w:hint="eastAsia" w:ascii="仿宋_GB2312" w:hAnsi="ˎ̥" w:eastAsia="仿宋_GB2312"/>
          <w:sz w:val="32"/>
          <w:szCs w:val="32"/>
          <w:lang w:val="en-US" w:eastAsia="zh-CN"/>
        </w:rPr>
        <w:t>万元，</w:t>
      </w:r>
      <w:r>
        <w:rPr>
          <w:rFonts w:hint="eastAsia" w:ascii="仿宋_GB2312" w:hAnsi="ˎ̥" w:eastAsia="仿宋_GB2312"/>
          <w:color w:val="FF0000"/>
          <w:sz w:val="32"/>
          <w:szCs w:val="32"/>
          <w:lang w:val="en-US" w:eastAsia="zh-CN"/>
        </w:rPr>
        <w:t>占68.45</w:t>
      </w:r>
      <w:r>
        <w:rPr>
          <w:rFonts w:hint="eastAsia" w:ascii="仿宋_GB2312" w:hAnsi="ˎ̥" w:eastAsia="仿宋_GB2312"/>
          <w:sz w:val="32"/>
          <w:szCs w:val="32"/>
          <w:lang w:val="en-US" w:eastAsia="zh-CN"/>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156.42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14.64</w:t>
      </w:r>
      <w:r>
        <w:rPr>
          <w:rFonts w:hint="eastAsia" w:ascii="仿宋_GB2312" w:hAnsi="ˎ̥" w:eastAsia="仿宋_GB2312"/>
          <w:sz w:val="32"/>
          <w:szCs w:val="32"/>
        </w:rPr>
        <w:t>%；</w:t>
      </w:r>
      <w:r>
        <w:rPr>
          <w:rFonts w:hint="eastAsia" w:ascii="仿宋_GB2312" w:hAnsi="ˎ̥" w:eastAsia="仿宋_GB2312"/>
          <w:sz w:val="32"/>
          <w:szCs w:val="32"/>
          <w:lang w:val="en-US" w:eastAsia="zh-CN"/>
        </w:rPr>
        <w:t>卫生健康支出</w:t>
      </w:r>
      <w:r>
        <w:rPr>
          <w:rFonts w:hint="eastAsia" w:ascii="仿宋_GB2312" w:hAnsi="ˎ̥" w:eastAsia="仿宋_GB2312"/>
          <w:color w:val="FF0000"/>
          <w:sz w:val="32"/>
          <w:szCs w:val="32"/>
          <w:lang w:val="en-US" w:eastAsia="zh-CN"/>
        </w:rPr>
        <w:t>115.76</w:t>
      </w:r>
      <w:r>
        <w:rPr>
          <w:rFonts w:hint="eastAsia" w:ascii="仿宋_GB2312" w:hAnsi="ˎ̥" w:eastAsia="仿宋_GB2312"/>
          <w:sz w:val="32"/>
          <w:szCs w:val="32"/>
          <w:lang w:val="en-US" w:eastAsia="zh-CN"/>
        </w:rPr>
        <w:t>万元，占</w:t>
      </w:r>
      <w:r>
        <w:rPr>
          <w:rFonts w:hint="eastAsia" w:ascii="仿宋_GB2312" w:hAnsi="ˎ̥" w:eastAsia="仿宋_GB2312"/>
          <w:color w:val="FF0000"/>
          <w:sz w:val="32"/>
          <w:szCs w:val="32"/>
          <w:lang w:val="en-US" w:eastAsia="zh-CN"/>
        </w:rPr>
        <w:t>10.83%</w:t>
      </w:r>
      <w:r>
        <w:rPr>
          <w:rFonts w:hint="eastAsia" w:ascii="仿宋_GB2312" w:hAnsi="ˎ̥" w:eastAsia="仿宋_GB2312"/>
          <w:sz w:val="32"/>
          <w:szCs w:val="32"/>
          <w:lang w:val="en-US" w:eastAsia="zh-CN"/>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65.10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6.09</w:t>
      </w:r>
      <w:r>
        <w:rPr>
          <w:rFonts w:hint="eastAsia" w:ascii="仿宋_GB2312" w:hAnsi="ˎ̥" w:eastAsia="仿宋_GB2312"/>
          <w:sz w:val="32"/>
          <w:szCs w:val="32"/>
        </w:rPr>
        <w:t>%；</w:t>
      </w:r>
      <w:r>
        <w:rPr>
          <w:rFonts w:hint="eastAsia" w:ascii="仿宋_GB2312" w:hAnsi="ˎ̥" w:eastAsia="仿宋_GB2312"/>
          <w:sz w:val="32"/>
          <w:szCs w:val="32"/>
          <w:lang w:val="en-US" w:eastAsia="zh-CN"/>
        </w:rPr>
        <w:t>其他支出0元，占0%</w:t>
      </w:r>
      <w:r>
        <w:rPr>
          <w:rFonts w:hint="eastAsia" w:ascii="仿宋_GB2312" w:hAnsi="ˎ̥" w:eastAsia="仿宋_GB2312"/>
          <w:sz w:val="32"/>
          <w:szCs w:val="32"/>
        </w:rPr>
        <w:t>。</w:t>
      </w:r>
    </w:p>
    <w:p w14:paraId="5D4A20D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49013A8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1701_WPSOffice_Level2"/>
      <w:bookmarkStart w:id="90" w:name="_Toc25136_WPSOffice_Level2"/>
      <w:bookmarkStart w:id="91" w:name="_Toc15415_WPSOffice_Level2"/>
      <w:bookmarkStart w:id="92" w:name="_Toc22318_WPSOffice_Level2"/>
      <w:bookmarkStart w:id="93" w:name="_Toc29364_WPSOffice_Level2"/>
      <w:bookmarkStart w:id="94" w:name="_Toc9502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14:paraId="0CC8326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1050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1,068.98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101.81</w:t>
      </w:r>
      <w:r>
        <w:rPr>
          <w:rFonts w:hint="eastAsia" w:ascii="仿宋_GB2312" w:hAnsi="ˎ̥" w:eastAsia="仿宋_GB2312"/>
          <w:sz w:val="32"/>
          <w:szCs w:val="32"/>
        </w:rPr>
        <w:t>%。其中：</w:t>
      </w:r>
    </w:p>
    <w:p w14:paraId="403168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14:paraId="439507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 xml:space="preserve">年初预算 </w:t>
      </w:r>
      <w:r>
        <w:rPr>
          <w:rFonts w:hint="eastAsia" w:ascii="仿宋_GB2312" w:hAnsi="ˎ̥" w:eastAsia="仿宋_GB2312"/>
          <w:color w:val="FF0000"/>
          <w:sz w:val="32"/>
          <w:szCs w:val="32"/>
        </w:rPr>
        <w:t xml:space="preserve">0 </w:t>
      </w:r>
      <w:r>
        <w:rPr>
          <w:rFonts w:hint="eastAsia" w:ascii="仿宋_GB2312" w:hAnsi="ˎ̥" w:eastAsia="仿宋_GB2312"/>
          <w:sz w:val="32"/>
          <w:szCs w:val="32"/>
        </w:rPr>
        <w:t>万元，支出决算</w:t>
      </w:r>
      <w:r>
        <w:rPr>
          <w:rFonts w:hint="eastAsia" w:ascii="仿宋_GB2312" w:hAnsi="ˎ̥" w:eastAsia="仿宋_GB2312"/>
          <w:color w:val="FF0000"/>
          <w:sz w:val="32"/>
          <w:szCs w:val="32"/>
        </w:rPr>
        <w:t xml:space="preserve"> 0</w:t>
      </w:r>
      <w:r>
        <w:rPr>
          <w:rFonts w:hint="eastAsia" w:ascii="仿宋_GB2312" w:hAnsi="ˎ̥" w:eastAsia="仿宋_GB2312"/>
          <w:sz w:val="32"/>
          <w:szCs w:val="32"/>
        </w:rPr>
        <w:t xml:space="preserve"> 万元，完成年初预算的 0%，主要原因：学校为义务教育单位，无一般公共服务职能（如行政监管、公共管理），故无此类支出。</w:t>
      </w:r>
    </w:p>
    <w:p w14:paraId="196DCE9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2.教育支出（类）：</w:t>
      </w:r>
    </w:p>
    <w:p w14:paraId="74DDB3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年初预算</w:t>
      </w:r>
      <w:r>
        <w:rPr>
          <w:rFonts w:hint="eastAsia" w:ascii="仿宋_GB2312" w:hAnsi="ˎ̥" w:eastAsia="仿宋_GB2312"/>
          <w:color w:val="FF0000"/>
          <w:sz w:val="32"/>
          <w:szCs w:val="32"/>
          <w:lang w:val="en-US" w:eastAsia="zh-CN"/>
        </w:rPr>
        <w:t xml:space="preserve"> 720 </w:t>
      </w:r>
      <w:r>
        <w:rPr>
          <w:rFonts w:hint="eastAsia" w:ascii="仿宋_GB2312" w:hAnsi="ˎ̥" w:eastAsia="仿宋_GB2312"/>
          <w:sz w:val="32"/>
          <w:szCs w:val="32"/>
          <w:lang w:val="en-US" w:eastAsia="zh-CN"/>
        </w:rPr>
        <w:t>万元，支出决算</w:t>
      </w:r>
      <w:r>
        <w:rPr>
          <w:rFonts w:hint="eastAsia" w:ascii="仿宋_GB2312" w:hAnsi="ˎ̥" w:eastAsia="仿宋_GB2312"/>
          <w:color w:val="FF0000"/>
          <w:sz w:val="32"/>
          <w:szCs w:val="32"/>
          <w:lang w:val="en-US" w:eastAsia="zh-CN"/>
        </w:rPr>
        <w:t xml:space="preserve"> 731.70</w:t>
      </w:r>
      <w:r>
        <w:rPr>
          <w:rFonts w:hint="eastAsia" w:ascii="仿宋_GB2312" w:hAnsi="ˎ̥" w:eastAsia="仿宋_GB2312"/>
          <w:sz w:val="32"/>
          <w:szCs w:val="32"/>
          <w:lang w:val="en-US" w:eastAsia="zh-CN"/>
        </w:rPr>
        <w:t xml:space="preserve"> 万元，完成年初预算的 </w:t>
      </w:r>
      <w:r>
        <w:rPr>
          <w:rFonts w:hint="eastAsia" w:ascii="仿宋_GB2312" w:hAnsi="ˎ̥" w:eastAsia="仿宋_GB2312"/>
          <w:color w:val="FF0000"/>
          <w:sz w:val="32"/>
          <w:szCs w:val="32"/>
          <w:lang w:val="en-US" w:eastAsia="zh-CN"/>
        </w:rPr>
        <w:t>101.62</w:t>
      </w:r>
      <w:r>
        <w:rPr>
          <w:rFonts w:hint="eastAsia" w:ascii="仿宋_GB2312" w:hAnsi="ˎ̥" w:eastAsia="仿宋_GB2312"/>
          <w:sz w:val="32"/>
          <w:szCs w:val="32"/>
          <w:lang w:val="en-US" w:eastAsia="zh-CN"/>
        </w:rPr>
        <w:t>%。</w:t>
      </w:r>
    </w:p>
    <w:p w14:paraId="353897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决算数大于预算数的主要原因：一是新增 5 名临时教学辅助人员工资（预算未纳入，后通过追加经费解决）；二是教学设备维护需求超出预期（因部分设备老化加速，维修量增加）。</w:t>
      </w:r>
    </w:p>
    <w:p w14:paraId="61946A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其中：“普通教育（款）初中教育（项）” 支出 730.26 万元（占教育支出的 99.8%），主要用于教师工资、教室水电费、教材采购；“其他普通教育支出（项）” 支出 1.44 万元，用于教育政策宣传印刷费。</w:t>
      </w:r>
    </w:p>
    <w:p w14:paraId="7AE4D5E8">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3.社会保障和就业（类）：</w:t>
      </w:r>
    </w:p>
    <w:p w14:paraId="29D9FEB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年初预算</w:t>
      </w:r>
      <w:r>
        <w:rPr>
          <w:rFonts w:hint="eastAsia" w:ascii="仿宋_GB2312" w:hAnsi="ˎ̥" w:eastAsia="仿宋_GB2312"/>
          <w:color w:val="FF0000"/>
          <w:sz w:val="32"/>
          <w:szCs w:val="32"/>
          <w:lang w:val="en-US" w:eastAsia="zh-CN"/>
        </w:rPr>
        <w:t xml:space="preserve"> 150 </w:t>
      </w:r>
      <w:r>
        <w:rPr>
          <w:rFonts w:hint="eastAsia" w:ascii="仿宋_GB2312" w:hAnsi="ˎ̥" w:eastAsia="仿宋_GB2312"/>
          <w:sz w:val="32"/>
          <w:szCs w:val="32"/>
          <w:lang w:val="en-US" w:eastAsia="zh-CN"/>
        </w:rPr>
        <w:t xml:space="preserve">万元，支出决算 </w:t>
      </w:r>
      <w:r>
        <w:rPr>
          <w:rFonts w:hint="eastAsia" w:ascii="仿宋_GB2312" w:hAnsi="ˎ̥" w:eastAsia="仿宋_GB2312"/>
          <w:color w:val="FF0000"/>
          <w:sz w:val="32"/>
          <w:szCs w:val="32"/>
          <w:lang w:val="en-US" w:eastAsia="zh-CN"/>
        </w:rPr>
        <w:t>156.42</w:t>
      </w:r>
      <w:r>
        <w:rPr>
          <w:rFonts w:hint="eastAsia" w:ascii="仿宋_GB2312" w:hAnsi="ˎ̥" w:eastAsia="仿宋_GB2312"/>
          <w:sz w:val="32"/>
          <w:szCs w:val="32"/>
          <w:lang w:val="en-US" w:eastAsia="zh-CN"/>
        </w:rPr>
        <w:t xml:space="preserve"> 万元，完成年初预算的 </w:t>
      </w:r>
      <w:r>
        <w:rPr>
          <w:rFonts w:hint="eastAsia" w:ascii="仿宋_GB2312" w:hAnsi="ˎ̥" w:eastAsia="仿宋_GB2312"/>
          <w:color w:val="FF0000"/>
          <w:sz w:val="32"/>
          <w:szCs w:val="32"/>
          <w:lang w:val="en-US" w:eastAsia="zh-CN"/>
        </w:rPr>
        <w:t>104.28</w:t>
      </w:r>
      <w:r>
        <w:rPr>
          <w:rFonts w:hint="eastAsia" w:ascii="仿宋_GB2312" w:hAnsi="ˎ̥" w:eastAsia="仿宋_GB2312"/>
          <w:sz w:val="32"/>
          <w:szCs w:val="32"/>
          <w:lang w:val="en-US" w:eastAsia="zh-CN"/>
        </w:rPr>
        <w:t>%。</w:t>
      </w:r>
    </w:p>
    <w:p w14:paraId="5D5A313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决算数大于预算数的主要原因：一是 2 名退休教职工新增生活补助（按政策标准补发）；二是职业年金缴费基数调整（因部分教师工资上涨，缴费基数同步提高）。</w:t>
      </w:r>
    </w:p>
    <w:p w14:paraId="4A1985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其中：“行政事业单位养老支出（款）” 支出 154.22 万元（基本养老保险 82.14 万元、职业年金 72.08 万元）；“抚恤（款）其他优抚支出（项）” 支出 2.20 万元（用于病故教职工家属补助）。</w:t>
      </w:r>
    </w:p>
    <w:p w14:paraId="3697FB23">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4.卫生健康（类）：</w:t>
      </w:r>
    </w:p>
    <w:p w14:paraId="3307F97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 xml:space="preserve">年初预算 </w:t>
      </w:r>
      <w:r>
        <w:rPr>
          <w:rFonts w:hint="eastAsia" w:ascii="仿宋_GB2312" w:hAnsi="ˎ̥" w:eastAsia="仿宋_GB2312"/>
          <w:color w:val="FF0000"/>
          <w:sz w:val="32"/>
          <w:szCs w:val="32"/>
          <w:lang w:val="en-US" w:eastAsia="zh-CN"/>
        </w:rPr>
        <w:t>118</w:t>
      </w:r>
      <w:r>
        <w:rPr>
          <w:rFonts w:hint="eastAsia" w:ascii="仿宋_GB2312" w:hAnsi="ˎ̥" w:eastAsia="仿宋_GB2312"/>
          <w:sz w:val="32"/>
          <w:szCs w:val="32"/>
          <w:lang w:val="en-US" w:eastAsia="zh-CN"/>
        </w:rPr>
        <w:t xml:space="preserve"> 万元，支出决算 </w:t>
      </w:r>
      <w:r>
        <w:rPr>
          <w:rFonts w:hint="eastAsia" w:ascii="仿宋_GB2312" w:hAnsi="ˎ̥" w:eastAsia="仿宋_GB2312"/>
          <w:color w:val="FF0000"/>
          <w:sz w:val="32"/>
          <w:szCs w:val="32"/>
          <w:lang w:val="en-US" w:eastAsia="zh-CN"/>
        </w:rPr>
        <w:t xml:space="preserve">115.76 </w:t>
      </w:r>
      <w:r>
        <w:rPr>
          <w:rFonts w:hint="eastAsia" w:ascii="仿宋_GB2312" w:hAnsi="ˎ̥" w:eastAsia="仿宋_GB2312"/>
          <w:sz w:val="32"/>
          <w:szCs w:val="32"/>
          <w:lang w:val="en-US" w:eastAsia="zh-CN"/>
        </w:rPr>
        <w:t>万元，完成年初预算的</w:t>
      </w:r>
      <w:r>
        <w:rPr>
          <w:rFonts w:hint="eastAsia" w:ascii="仿宋_GB2312" w:hAnsi="ˎ̥" w:eastAsia="仿宋_GB2312"/>
          <w:color w:val="FF0000"/>
          <w:sz w:val="32"/>
          <w:szCs w:val="32"/>
          <w:lang w:val="en-US" w:eastAsia="zh-CN"/>
        </w:rPr>
        <w:t xml:space="preserve"> 97.93</w:t>
      </w:r>
      <w:r>
        <w:rPr>
          <w:rFonts w:hint="eastAsia" w:ascii="仿宋_GB2312" w:hAnsi="ˎ̥" w:eastAsia="仿宋_GB2312"/>
          <w:sz w:val="32"/>
          <w:szCs w:val="32"/>
          <w:lang w:val="en-US" w:eastAsia="zh-CN"/>
        </w:rPr>
        <w:t>%。</w:t>
      </w:r>
    </w:p>
    <w:p w14:paraId="3FF7F10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决算数小于预算数的主要原因：部分教职工选择异地就医，医保报销延迟至次年，本年度仅支付已结算部分；同时严格控制医疗补助范围，无超额支出。</w:t>
      </w:r>
    </w:p>
    <w:p w14:paraId="1BF695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其中：“事业单位医疗（项）” 支出 34.47 万元、“公务员医疗补助（项）” 支出 78.10 万元、“其他行政事业单位医疗支出（项）” 支出 3.18 万元（用于体检费用补助）。</w:t>
      </w:r>
    </w:p>
    <w:p w14:paraId="23B94DDB">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bCs w:val="0"/>
          <w:sz w:val="32"/>
          <w:szCs w:val="32"/>
          <w:lang w:val="en-US" w:eastAsia="zh-CN"/>
        </w:rPr>
      </w:pPr>
      <w:r>
        <w:rPr>
          <w:rFonts w:hint="eastAsia" w:ascii="仿宋_GB2312" w:hAnsi="ˎ̥" w:eastAsia="仿宋_GB2312"/>
          <w:b/>
          <w:bCs w:val="0"/>
          <w:sz w:val="32"/>
          <w:szCs w:val="32"/>
          <w:lang w:val="en-US" w:eastAsia="zh-CN"/>
        </w:rPr>
        <w:t>5.住房保障（类）：</w:t>
      </w:r>
    </w:p>
    <w:p w14:paraId="6973BA0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年初预算</w:t>
      </w:r>
      <w:r>
        <w:rPr>
          <w:rFonts w:hint="eastAsia" w:ascii="仿宋_GB2312" w:hAnsi="ˎ̥" w:eastAsia="仿宋_GB2312"/>
          <w:color w:val="FF0000"/>
          <w:sz w:val="32"/>
          <w:szCs w:val="32"/>
          <w:lang w:val="en-US" w:eastAsia="zh-CN"/>
        </w:rPr>
        <w:t>63</w:t>
      </w:r>
      <w:r>
        <w:rPr>
          <w:rFonts w:hint="eastAsia" w:ascii="仿宋_GB2312" w:hAnsi="ˎ̥" w:eastAsia="仿宋_GB2312"/>
          <w:sz w:val="32"/>
          <w:szCs w:val="32"/>
          <w:lang w:val="en-US" w:eastAsia="zh-CN"/>
        </w:rPr>
        <w:t>万元，支出决算</w:t>
      </w:r>
      <w:r>
        <w:rPr>
          <w:rFonts w:hint="eastAsia" w:ascii="仿宋_GB2312" w:hAnsi="ˎ̥" w:eastAsia="仿宋_GB2312"/>
          <w:color w:val="FF0000"/>
          <w:sz w:val="32"/>
          <w:szCs w:val="32"/>
          <w:lang w:val="en-US" w:eastAsia="zh-CN"/>
        </w:rPr>
        <w:t xml:space="preserve"> 65.10 </w:t>
      </w:r>
      <w:r>
        <w:rPr>
          <w:rFonts w:hint="eastAsia" w:ascii="仿宋_GB2312" w:hAnsi="ˎ̥" w:eastAsia="仿宋_GB2312"/>
          <w:sz w:val="32"/>
          <w:szCs w:val="32"/>
          <w:lang w:val="en-US" w:eastAsia="zh-CN"/>
        </w:rPr>
        <w:t>万元，完成年初预算的 103.33%。</w:t>
      </w:r>
    </w:p>
    <w:p w14:paraId="475788E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决算数大于预算数的主要原因：6 名教师工资调整（2024 年 7 月起执行），住房公积金缴费基数同步提高，导致支出超出预算。</w:t>
      </w:r>
    </w:p>
    <w:p w14:paraId="7A18115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其中：“住房改革支出（款）住房公积金（项）” 支出 65.10 万元，无其他住房保障支出。</w:t>
      </w:r>
    </w:p>
    <w:p w14:paraId="5F1C447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3B62D0B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388443F0">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eastAsia="zh-CN"/>
        </w:rPr>
        <w:t>984.47</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970.72</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13.75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1057DC41">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14:paraId="1CBDC681">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3BFC9C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38EFB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%，主要原因是学校为义务教育事业单位，无政府性基金相关支出事项，故未获得此类拨款。</w:t>
      </w:r>
    </w:p>
    <w:p w14:paraId="00D8552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18B9A09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6369011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02D3A6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013C98F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14:paraId="11B908BB">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b/>
          <w:bCs w:val="0"/>
          <w:kern w:val="0"/>
          <w:sz w:val="32"/>
          <w:szCs w:val="32"/>
        </w:rPr>
      </w:pPr>
      <w:r>
        <w:rPr>
          <w:rFonts w:hint="default" w:ascii="仿宋_GB2312" w:hAnsi="ˎ̥" w:eastAsia="仿宋_GB2312" w:cs="仿宋_GB2312"/>
          <w:kern w:val="0"/>
          <w:sz w:val="32"/>
          <w:szCs w:val="32"/>
        </w:rPr>
        <w:t>1.无</w:t>
      </w:r>
      <w:r>
        <w:rPr>
          <w:rFonts w:hint="default" w:ascii="仿宋_GB2312" w:hAnsi="ˎ̥" w:eastAsia="仿宋_GB2312" w:cs="仿宋_GB2312"/>
          <w:b/>
          <w:bCs w:val="0"/>
          <w:kern w:val="0"/>
          <w:sz w:val="32"/>
          <w:szCs w:val="32"/>
        </w:rPr>
        <w:t>（类）无（款）无（项）。</w:t>
      </w:r>
    </w:p>
    <w:p w14:paraId="6D2F0CFE">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年初预算为0万元，支出决算为0万元，完成年初预算的0%。决算数大于（小于）预算数的主要原因：本单位无政府性基金预算财政拨款支出。</w:t>
      </w:r>
    </w:p>
    <w:p w14:paraId="3F76FA73">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057EDF23">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7E4C372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13AA115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%，主要原因是学校为公益二类事业单位，无国有资本经营业务（如国有资产转让、投资收益分配等），故未获得此类拨款。</w:t>
      </w:r>
    </w:p>
    <w:p w14:paraId="124038C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6F74455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5D22E4A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128E8C4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260E057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14:paraId="5BE2B0AC">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b/>
          <w:bCs w:val="0"/>
          <w:kern w:val="0"/>
          <w:sz w:val="32"/>
          <w:szCs w:val="32"/>
        </w:rPr>
      </w:pPr>
      <w:r>
        <w:rPr>
          <w:rFonts w:hint="default" w:ascii="仿宋_GB2312" w:hAnsi="ˎ̥" w:eastAsia="仿宋_GB2312" w:cs="仿宋_GB2312"/>
          <w:kern w:val="0"/>
          <w:sz w:val="32"/>
          <w:szCs w:val="32"/>
        </w:rPr>
        <w:t>1.无</w:t>
      </w:r>
      <w:r>
        <w:rPr>
          <w:rFonts w:hint="default" w:ascii="仿宋_GB2312" w:hAnsi="ˎ̥" w:eastAsia="仿宋_GB2312" w:cs="仿宋_GB2312"/>
          <w:b/>
          <w:bCs w:val="0"/>
          <w:kern w:val="0"/>
          <w:sz w:val="32"/>
          <w:szCs w:val="32"/>
        </w:rPr>
        <w:t>（类）</w:t>
      </w:r>
      <w:r>
        <w:rPr>
          <w:rFonts w:hint="default" w:ascii="仿宋_GB2312" w:hAnsi="ˎ̥" w:eastAsia="仿宋_GB2312" w:cs="仿宋_GB2312"/>
          <w:kern w:val="0"/>
          <w:sz w:val="32"/>
          <w:szCs w:val="32"/>
        </w:rPr>
        <w:t>无</w:t>
      </w:r>
      <w:r>
        <w:rPr>
          <w:rFonts w:hint="default" w:ascii="仿宋_GB2312" w:hAnsi="ˎ̥" w:eastAsia="仿宋_GB2312" w:cs="仿宋_GB2312"/>
          <w:b/>
          <w:bCs w:val="0"/>
          <w:kern w:val="0"/>
          <w:sz w:val="32"/>
          <w:szCs w:val="32"/>
        </w:rPr>
        <w:t>（款）</w:t>
      </w:r>
      <w:r>
        <w:rPr>
          <w:rFonts w:hint="default" w:ascii="仿宋_GB2312" w:hAnsi="ˎ̥" w:eastAsia="仿宋_GB2312" w:cs="仿宋_GB2312"/>
          <w:kern w:val="0"/>
          <w:sz w:val="32"/>
          <w:szCs w:val="32"/>
        </w:rPr>
        <w:t>无</w:t>
      </w:r>
      <w:r>
        <w:rPr>
          <w:rFonts w:hint="default" w:ascii="仿宋_GB2312" w:hAnsi="ˎ̥" w:eastAsia="仿宋_GB2312" w:cs="仿宋_GB2312"/>
          <w:b/>
          <w:bCs w:val="0"/>
          <w:kern w:val="0"/>
          <w:sz w:val="32"/>
          <w:szCs w:val="32"/>
        </w:rPr>
        <w:t>（项）。</w:t>
      </w:r>
    </w:p>
    <w:p w14:paraId="6468E17D">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年初预算为0万元，支出决算为0万元，完成年初预算的0%。决算数大于（小于）预算数的主要原因：本单位无国有资本经营预算财政拨款支出事项，未申报此类预算。</w:t>
      </w:r>
    </w:p>
    <w:p w14:paraId="7B065E60">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16D78F6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21CAE0A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66156B5A">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rPr>
        <w:t>学校严格执行中央八项规定及 “三公” 经费管控要求，无因公出国（境）、公务用车购置及运行维护、公务接待需求。</w:t>
      </w:r>
    </w:p>
    <w:p w14:paraId="40A19628">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04F90C1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14:paraId="32EEE08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人次。开支内容包括：</w:t>
      </w:r>
    </w:p>
    <w:p w14:paraId="090E4D6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FF0000"/>
          <w:sz w:val="32"/>
          <w:szCs w:val="32"/>
          <w:lang w:val="en-US"/>
        </w:rPr>
      </w:pPr>
      <w:r>
        <w:rPr>
          <w:rFonts w:hint="default" w:ascii="仿宋_GB2312" w:hAnsi="ˎ̥" w:eastAsia="仿宋_GB2312"/>
          <w:color w:val="FF0000"/>
          <w:sz w:val="32"/>
          <w:szCs w:val="32"/>
          <w:lang w:val="en-US"/>
        </w:rPr>
        <w:t>无支出0万元。</w:t>
      </w:r>
    </w:p>
    <w:p w14:paraId="74C1C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FF0000"/>
          <w:sz w:val="32"/>
          <w:szCs w:val="32"/>
          <w:lang w:val="en-US"/>
        </w:rPr>
      </w:pPr>
      <w:r>
        <w:rPr>
          <w:rFonts w:hint="default" w:ascii="仿宋_GB2312" w:hAnsi="ˎ̥" w:eastAsia="仿宋_GB2312"/>
          <w:color w:val="FF0000"/>
          <w:sz w:val="32"/>
          <w:szCs w:val="32"/>
          <w:lang w:val="en-US"/>
        </w:rPr>
        <w:t>无支出0万元。</w:t>
      </w:r>
    </w:p>
    <w:p w14:paraId="23FE8F8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%，主要原因是学校无国际教育交流、考察任务，未安排出国（境）计划。</w:t>
      </w:r>
    </w:p>
    <w:p w14:paraId="20EBB15A">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14:paraId="44FFFFAB">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14:paraId="47D7EBB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val="en-US" w:eastAsia="zh-CN"/>
        </w:rPr>
        <w:t>无相关开支</w:t>
      </w:r>
      <w:r>
        <w:rPr>
          <w:rFonts w:hint="eastAsia" w:ascii="仿宋_GB2312" w:hAnsi="ˎ̥" w:eastAsia="仿宋_GB2312"/>
          <w:sz w:val="32"/>
          <w:szCs w:val="32"/>
        </w:rPr>
        <w:t>。</w:t>
      </w:r>
    </w:p>
    <w:p w14:paraId="150795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%，主要原因是本单位无公务用车。</w:t>
      </w:r>
    </w:p>
    <w:p w14:paraId="7515B02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14:paraId="220E152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14:paraId="5ECA4288">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14:paraId="5A81096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2AB4C1E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AA9B8F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56AA67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5316AE6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w:t>
      </w:r>
      <w:r>
        <w:rPr>
          <w:rFonts w:hint="eastAsia" w:ascii="仿宋_GB2312" w:eastAsia="仿宋_GB2312"/>
          <w:sz w:val="32"/>
          <w:szCs w:val="32"/>
          <w:lang w:eastAsia="zh-CN"/>
        </w:rPr>
        <w:t>单位</w:t>
      </w:r>
      <w:r>
        <w:rPr>
          <w:rFonts w:hint="eastAsia" w:ascii="仿宋_GB2312" w:eastAsia="仿宋_GB2312"/>
          <w:sz w:val="32"/>
          <w:szCs w:val="32"/>
        </w:rPr>
        <w:t>（单位）组织对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95.09</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100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 xml:space="preserve">个国有资本经营预算项目开展绩效自评，共涉及资金 </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14:paraId="5E5B831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sz w:val="32"/>
          <w:szCs w:val="32"/>
          <w:lang w:val="en-US" w:eastAsia="zh-CN"/>
        </w:rPr>
        <w:t>0</w:t>
      </w:r>
      <w:r>
        <w:rPr>
          <w:rFonts w:hint="eastAsia" w:ascii="仿宋_GB2312" w:eastAsia="仿宋_GB2312"/>
          <w:sz w:val="32"/>
          <w:szCs w:val="32"/>
        </w:rPr>
        <w:t>个项目开展了</w:t>
      </w:r>
      <w:r>
        <w:rPr>
          <w:rFonts w:hint="eastAsia" w:ascii="仿宋_GB2312" w:eastAsia="仿宋_GB2312"/>
          <w:sz w:val="32"/>
          <w:szCs w:val="32"/>
          <w:lang w:eastAsia="zh-CN"/>
        </w:rPr>
        <w:t>单位</w:t>
      </w:r>
      <w:r>
        <w:rPr>
          <w:rFonts w:hint="eastAsia" w:ascii="仿宋_GB2312" w:eastAsia="仿宋_GB2312"/>
          <w:sz w:val="32"/>
          <w:szCs w:val="32"/>
        </w:rPr>
        <w:t>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从评价情况来看，……（预算部门如有，请对预算绩效评价情况进行简单说明；没有，则简要说明本年没有进行相关工作及理由。部门所属单位不需填写此项）。</w:t>
      </w:r>
    </w:p>
    <w:p w14:paraId="4845B0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14:paraId="6E8BA54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eastAsia="zh-CN"/>
        </w:rPr>
        <w:t>单位</w:t>
      </w:r>
      <w:r>
        <w:rPr>
          <w:rFonts w:hint="eastAsia" w:ascii="仿宋_GB2312" w:eastAsia="仿宋_GB2312"/>
          <w:sz w:val="32"/>
          <w:szCs w:val="32"/>
        </w:rPr>
        <w:t>（单位）在</w:t>
      </w:r>
      <w:r>
        <w:rPr>
          <w:rFonts w:hint="eastAsia" w:ascii="仿宋_GB2312" w:eastAsia="仿宋_GB2312"/>
          <w:sz w:val="32"/>
          <w:szCs w:val="32"/>
          <w:lang w:eastAsia="zh-CN"/>
        </w:rPr>
        <w:t>单位</w:t>
      </w:r>
      <w:r>
        <w:rPr>
          <w:rFonts w:hint="eastAsia" w:ascii="仿宋_GB2312" w:eastAsia="仿宋_GB2312"/>
          <w:sz w:val="32"/>
          <w:szCs w:val="32"/>
        </w:rPr>
        <w:t>决算中反映0、0等0个项目绩效自评结果（包括项目绩效自评表和项目绩效自评报告）。</w:t>
      </w:r>
    </w:p>
    <w:p w14:paraId="5F39B2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0项目绩效自评表：</w:t>
      </w:r>
    </w:p>
    <w:p w14:paraId="392B63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0项目绩效自评报告：根据年初设定的绩效目标，项目绩效自评得分为0分。全年预算数为0万元，执行数为0万元，完成预算的0%。</w:t>
      </w:r>
    </w:p>
    <w:p w14:paraId="5AFAACB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14:paraId="234E02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14:paraId="2F5CBA2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1B8A09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反映财政部门组织开展的预算单位重点项目财政评价情况，如有，可将评价报告附后。</w:t>
      </w:r>
    </w:p>
    <w:p w14:paraId="1561E6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2019260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8325_WPSOffice_Level2"/>
      <w:bookmarkStart w:id="96" w:name="_Toc32639_WPSOffice_Level2"/>
      <w:bookmarkStart w:id="97" w:name="_Toc15262_WPSOffice_Level2"/>
      <w:bookmarkStart w:id="98" w:name="_Toc5978_WPSOffice_Level2"/>
      <w:bookmarkStart w:id="99" w:name="_Toc23598_WPSOffice_Level2"/>
      <w:bookmarkStart w:id="100" w:name="_Toc15565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767DE86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屯昌县枫木镇枫木中学</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w:t>
      </w:r>
      <w:r>
        <w:rPr>
          <w:rFonts w:hint="eastAsia" w:ascii="仿宋_GB2312" w:hAnsi="ˎ̥" w:eastAsia="仿宋_GB2312"/>
          <w:sz w:val="32"/>
          <w:szCs w:val="32"/>
          <w:lang w:eastAsia="zh-CN"/>
        </w:rPr>
        <w:t>单位</w:t>
      </w:r>
      <w:r>
        <w:rPr>
          <w:rFonts w:hint="eastAsia" w:ascii="仿宋_GB2312" w:hAnsi="ˎ̥" w:eastAsia="仿宋_GB2312"/>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机关运行经费仅适用于行政单位及参公事业单位，学校为公益二类事业单位，无此类经费支出</w:t>
      </w:r>
      <w:r>
        <w:rPr>
          <w:rFonts w:hint="eastAsia" w:ascii="仿宋_GB2312" w:hAnsi="ˎ̥" w:eastAsia="仿宋_GB2312"/>
          <w:sz w:val="32"/>
          <w:szCs w:val="32"/>
        </w:rPr>
        <w:t>。</w:t>
      </w:r>
    </w:p>
    <w:p w14:paraId="1E073F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14:paraId="4A5AD9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23966_WPSOffice_Level2"/>
      <w:bookmarkStart w:id="102" w:name="_Toc3131_WPSOffice_Level2"/>
      <w:bookmarkStart w:id="103" w:name="_Toc25333_WPSOffice_Level2"/>
      <w:bookmarkStart w:id="104" w:name="_Toc32689_WPSOffice_Level2"/>
      <w:bookmarkStart w:id="105" w:name="_Toc13084_WPSOffice_Level2"/>
      <w:bookmarkStart w:id="106" w:name="_Toc30383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36849AF6">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屯昌县枫木镇枫木中学</w:t>
      </w:r>
      <w:r>
        <w:rPr>
          <w:rFonts w:hint="eastAsia" w:ascii="仿宋_GB2312" w:hAnsi="ˎ̥" w:eastAsia="仿宋_GB2312"/>
          <w:sz w:val="32"/>
          <w:szCs w:val="32"/>
        </w:rPr>
        <w:t>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0D9059F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14:paraId="6B48B8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29584_WPSOffice_Level2"/>
      <w:bookmarkStart w:id="108" w:name="_Toc10902_WPSOffice_Level2"/>
      <w:bookmarkStart w:id="109" w:name="_Toc19989_WPSOffice_Level2"/>
      <w:bookmarkStart w:id="110" w:name="_Toc6016_WPSOffice_Level2"/>
      <w:bookmarkStart w:id="111" w:name="_Toc15129_WPSOffice_Level2"/>
      <w:bookmarkStart w:id="112" w:name="_Toc527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548EC8F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val="en-US"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hint="default" w:ascii="仿宋_GB2312" w:hAnsi="ˎ̥" w:eastAsia="仿宋_GB2312" w:cs="仿宋_GB2312"/>
          <w:bCs/>
          <w:kern w:val="0"/>
          <w:sz w:val="32"/>
          <w:szCs w:val="32"/>
        </w:rPr>
        <w:t>5225</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7A382A6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w:t>
      </w:r>
      <w:r>
        <w:rPr>
          <w:rFonts w:hint="eastAsia" w:ascii="仿宋_GB2312" w:hAnsi="ˎ̥" w:eastAsia="仿宋_GB2312"/>
          <w:sz w:val="32"/>
          <w:szCs w:val="32"/>
          <w:lang w:eastAsia="zh-CN"/>
        </w:rPr>
        <w:t>单位</w:t>
      </w:r>
      <w:r>
        <w:rPr>
          <w:rFonts w:hint="eastAsia" w:ascii="仿宋_GB2312" w:hAnsi="ˎ̥" w:eastAsia="仿宋_GB2312"/>
          <w:sz w:val="32"/>
          <w:szCs w:val="32"/>
        </w:rPr>
        <w:t>共有车辆</w:t>
      </w:r>
      <w:r>
        <w:rPr>
          <w:rFonts w:hint="eastAsia" w:ascii="仿宋_GB2312" w:hAnsi="ˎ̥" w:eastAsia="仿宋_GB2312"/>
          <w:color w:val="FF0000"/>
          <w:sz w:val="32"/>
          <w:szCs w:val="32"/>
          <w:lang w:val="en-US" w:eastAsia="zh-CN"/>
        </w:rPr>
        <w:t xml:space="preserve"> 0</w:t>
      </w:r>
      <w:r>
        <w:rPr>
          <w:rFonts w:hint="eastAsia" w:ascii="仿宋_GB2312" w:hAnsi="ˎ̥" w:eastAsia="仿宋_GB2312"/>
          <w:sz w:val="32"/>
          <w:szCs w:val="32"/>
        </w:rPr>
        <w:t>辆，无公务用车购置及保有</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 xml:space="preserve">    </w:t>
      </w:r>
    </w:p>
    <w:p w14:paraId="685B85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14:paraId="35AD96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14:paraId="5D98FA29">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4398_WPSOffice_Level1"/>
      <w:bookmarkStart w:id="114" w:name="_Toc15425_WPSOffice_Level1"/>
      <w:bookmarkStart w:id="115" w:name="_Toc8808_WPSOffice_Level1"/>
      <w:bookmarkStart w:id="116" w:name="_Toc8874_WPSOffice_Level1"/>
      <w:bookmarkStart w:id="117" w:name="_Toc11039_WPSOffice_Level1"/>
      <w:bookmarkStart w:id="118" w:name="_Toc17580_WPSOffice_Level1"/>
    </w:p>
    <w:p w14:paraId="5F7F630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1EF523EA">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EEB7C88">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2EF5DD8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47DA78A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1ED437E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69AC2D4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7DC4A6E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DA5F60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58D21A9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4635FD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19EED64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64D58C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50FCF6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2DD6C4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855DD2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26401F84">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178A95AC">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6AEFDF0C">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lang w:val="en-US" w:eastAsia="zh-CN"/>
        </w:rPr>
        <w:t>教育支出</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普通教育</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初中教育</w:t>
      </w:r>
      <w:r>
        <w:rPr>
          <w:rFonts w:hint="eastAsia" w:ascii="仿宋_GB2312" w:hAnsi="ˎ̥" w:eastAsia="仿宋_GB2312"/>
          <w:color w:val="auto"/>
          <w:sz w:val="32"/>
          <w:szCs w:val="32"/>
        </w:rPr>
        <w:t>（项），</w:t>
      </w:r>
      <w:r>
        <w:rPr>
          <w:rFonts w:hint="eastAsia" w:ascii="仿宋_GB2312" w:hAnsi="ˎ̥" w:eastAsia="仿宋_GB2312"/>
          <w:color w:val="auto"/>
          <w:sz w:val="32"/>
          <w:szCs w:val="32"/>
          <w:lang w:val="en-US" w:eastAsia="zh-CN"/>
        </w:rPr>
        <w:t>反映初中教育相关支出，是学校核心支出</w:t>
      </w:r>
      <w:r>
        <w:rPr>
          <w:rFonts w:hint="eastAsia" w:ascii="仿宋_GB2312" w:hAnsi="ˎ̥" w:eastAsia="仿宋_GB2312"/>
          <w:color w:val="auto"/>
          <w:sz w:val="32"/>
          <w:szCs w:val="32"/>
        </w:rPr>
        <w:t>；</w:t>
      </w:r>
    </w:p>
    <w:p w14:paraId="5F1E1CC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社会保障和就业支出（类）行政事业单位养老支出（款）：反映职工养老保险、职业年金缴费；</w:t>
      </w:r>
    </w:p>
    <w:p w14:paraId="4F7273C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卫生健康支出（类）行政事业单位医疗（款）：反映职工医疗保险、医疗补助支出；</w:t>
      </w:r>
    </w:p>
    <w:p w14:paraId="7B9AC2B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住房保障支出（类）住房改革支出（款）住房公积金（项）：反映职工住房公积金缴费。</w:t>
      </w:r>
    </w:p>
    <w:p w14:paraId="6BB90E66">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520E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5B9E13C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CDB6D">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4341B5D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198FF5D"/>
    <w:multiLevelType w:val="singleLevel"/>
    <w:tmpl w:val="D198FF5D"/>
    <w:lvl w:ilvl="0" w:tentative="0">
      <w:start w:val="1"/>
      <w:numFmt w:val="chineseCounting"/>
      <w:suff w:val="nothing"/>
      <w:lvlText w:val="%1、"/>
      <w:lvlJc w:val="left"/>
      <w:rPr>
        <w:rFonts w:hint="eastAsia"/>
      </w:rPr>
    </w:lvl>
  </w:abstractNum>
  <w:abstractNum w:abstractNumId="2">
    <w:nsid w:val="69844D56"/>
    <w:multiLevelType w:val="singleLevel"/>
    <w:tmpl w:val="69844D56"/>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10DE8"/>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1016EA0"/>
    <w:rsid w:val="136F98C7"/>
    <w:rsid w:val="17427E68"/>
    <w:rsid w:val="1755065F"/>
    <w:rsid w:val="1A1116E9"/>
    <w:rsid w:val="1AFC29C9"/>
    <w:rsid w:val="1CA52F2E"/>
    <w:rsid w:val="1E3630B9"/>
    <w:rsid w:val="23AB72AF"/>
    <w:rsid w:val="26EEC2B5"/>
    <w:rsid w:val="29472309"/>
    <w:rsid w:val="2947494A"/>
    <w:rsid w:val="2B406E77"/>
    <w:rsid w:val="2C2A0C43"/>
    <w:rsid w:val="2D1E73A5"/>
    <w:rsid w:val="324167FF"/>
    <w:rsid w:val="32717154"/>
    <w:rsid w:val="34B63260"/>
    <w:rsid w:val="37FDA7E2"/>
    <w:rsid w:val="3A314D88"/>
    <w:rsid w:val="3A746883"/>
    <w:rsid w:val="3CA15DE9"/>
    <w:rsid w:val="3FE61EE5"/>
    <w:rsid w:val="406508EE"/>
    <w:rsid w:val="408D6263"/>
    <w:rsid w:val="41B40CEE"/>
    <w:rsid w:val="42744112"/>
    <w:rsid w:val="48317291"/>
    <w:rsid w:val="485F7024"/>
    <w:rsid w:val="48E70666"/>
    <w:rsid w:val="4C6877E5"/>
    <w:rsid w:val="4D6A468D"/>
    <w:rsid w:val="4EA86137"/>
    <w:rsid w:val="56CA7FD0"/>
    <w:rsid w:val="57FA38D1"/>
    <w:rsid w:val="58CB22BD"/>
    <w:rsid w:val="5B7136B0"/>
    <w:rsid w:val="5F7D3333"/>
    <w:rsid w:val="61385890"/>
    <w:rsid w:val="660B6664"/>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8149</Words>
  <Characters>8865</Characters>
  <Lines>67</Lines>
  <Paragraphs>18</Paragraphs>
  <TotalTime>13</TotalTime>
  <ScaleCrop>false</ScaleCrop>
  <LinksUpToDate>false</LinksUpToDate>
  <CharactersWithSpaces>9009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2026-02-03T06:12:18Z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166C85D23CFF4F50AEEF3589454D579F_13</vt:lpwstr>
  </property>
  <property fmtid="{D5CDD505-2E9C-101B-9397-08002B2CF9AE}" pid="4" name="KSOTemplateDocerSaveRecord">
    <vt:lpwstr>eyJoZGlkIjoiZjYzODlhNzJhNTdiNTI2NzA5MDMxZDI3MmRlNjY0YTEiLCJ1c2VySWQiOiI3ODI0MjQwOTcifQ==</vt:lpwstr>
  </property>
</Properties>
</file>