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屯昌县坡心镇坡心中学2024年度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eastAsia="宋体"/>
          <w:sz w:val="32"/>
          <w:szCs w:val="32"/>
          <w:lang w:eastAsia="zh-CN"/>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lang w:val="en-US" w:eastAsia="zh-CN"/>
        </w:rPr>
        <w:t>3</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center"/>
        <w:rPr>
          <w:rFonts w:hint="eastAsia" w:ascii="黑体" w:hAnsi="ˎ̥" w:eastAsia="黑体"/>
          <w:sz w:val="32"/>
          <w:szCs w:val="32"/>
        </w:rPr>
      </w:pPr>
      <w:bookmarkStart w:id="2" w:name="_Toc1704_WPSOffice_Level1"/>
      <w:bookmarkStart w:id="3" w:name="_Toc22941_WPSOffice_Level1"/>
      <w:bookmarkStart w:id="4" w:name="_Toc32433_WPSOffice_Level1"/>
      <w:bookmarkStart w:id="5" w:name="_Toc10720_WPSOffice_Level1"/>
      <w:bookmarkStart w:id="6" w:name="_Toc10049_WPSOffice_Level1"/>
      <w:bookmarkStart w:id="7" w:name="_Toc23465_WPSOffice_Level1"/>
      <w:bookmarkStart w:id="8" w:name="_Toc24238_WPSOffice_Level2"/>
      <w:bookmarkStart w:id="9" w:name="_Toc26580_WPSOffice_Level2"/>
      <w:bookmarkStart w:id="10" w:name="_Toc32622_WPSOffice_Level2"/>
      <w:bookmarkStart w:id="11" w:name="_Toc20205_WPSOffice_Level2"/>
      <w:bookmarkStart w:id="12" w:name="_Toc14159_WPSOffice_Level2"/>
      <w:bookmarkStart w:id="13" w:name="_Toc20274_WPSOffice_Level2"/>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keepNext w:val="0"/>
        <w:keepLines w:val="0"/>
        <w:pageBreakBefore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p>
    <w:bookmarkEnd w:id="8"/>
    <w:p>
      <w:pPr>
        <w:keepNext w:val="0"/>
        <w:keepLines w:val="0"/>
        <w:pageBreakBefore w:val="0"/>
        <w:numPr>
          <w:ilvl w:val="0"/>
          <w:numId w:val="2"/>
        </w:numPr>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keepNext w:val="0"/>
        <w:keepLines w:val="0"/>
        <w:pageBreakBefore w:val="0"/>
        <w:widowControl/>
        <w:kinsoku/>
        <w:wordWrap/>
        <w:overflowPunct/>
        <w:topLinePunct w:val="0"/>
        <w:autoSpaceDE/>
        <w:autoSpaceDN/>
        <w:bidi w:val="0"/>
        <w:adjustRightInd/>
        <w:snapToGrid/>
        <w:spacing w:beforeAutospacing="0" w:afterAutospacing="0" w:line="590" w:lineRule="exact"/>
        <w:ind w:firstLine="640" w:firstLineChars="200"/>
        <w:jc w:val="left"/>
        <w:textAlignment w:val="auto"/>
        <w:rPr>
          <w:rFonts w:hint="default" w:ascii="黑体" w:hAnsi="黑体" w:eastAsia="黑体" w:cs="黑体"/>
          <w:color w:val="auto"/>
          <w:sz w:val="32"/>
          <w:szCs w:val="32"/>
          <w:lang w:val="en-US" w:eastAsia="zh-CN"/>
        </w:rPr>
      </w:pPr>
      <w:r>
        <w:rPr>
          <w:rFonts w:hint="default" w:ascii="仿宋_GB2312" w:hAnsi="宋体" w:eastAsia="仿宋_GB2312" w:cs="仿宋_GB2312"/>
          <w:color w:val="auto"/>
          <w:kern w:val="0"/>
          <w:sz w:val="32"/>
          <w:szCs w:val="32"/>
        </w:rPr>
        <w:t>贯彻执行党的教育方针、政策和国家有关教育的法律法规以及有关规定，坚持依法治教、依法治学。</w:t>
      </w:r>
    </w:p>
    <w:p>
      <w:pPr>
        <w:keepNext w:val="0"/>
        <w:keepLines w:val="0"/>
        <w:pageBreakBefore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黑体" w:hAnsi="黑体" w:eastAsia="黑体" w:cs="黑体"/>
          <w:color w:val="auto"/>
          <w:sz w:val="32"/>
          <w:szCs w:val="32"/>
        </w:rPr>
      </w:pPr>
      <w:bookmarkStart w:id="14" w:name="_Toc24059_WPSOffice_Level2"/>
      <w:bookmarkStart w:id="15" w:name="_Toc6572_WPSOffice_Level2"/>
      <w:bookmarkStart w:id="16" w:name="_Toc4833_WPSOffice_Level2"/>
      <w:bookmarkStart w:id="17" w:name="_Toc17796_WPSOffice_Level2"/>
      <w:bookmarkStart w:id="18" w:name="_Toc24474_WPSOffice_Level2"/>
      <w:r>
        <w:rPr>
          <w:rFonts w:hint="eastAsia" w:ascii="黑体" w:hAnsi="黑体" w:eastAsia="黑体" w:cs="黑体"/>
          <w:color w:val="auto"/>
          <w:sz w:val="32"/>
          <w:szCs w:val="32"/>
        </w:rPr>
        <w:t>二、机构设置</w:t>
      </w:r>
      <w:bookmarkEnd w:id="14"/>
      <w:bookmarkEnd w:id="15"/>
      <w:bookmarkEnd w:id="16"/>
      <w:bookmarkEnd w:id="17"/>
      <w:bookmarkEnd w:id="18"/>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right="0" w:firstLine="640" w:firstLineChars="200"/>
        <w:textAlignment w:val="auto"/>
        <w:rPr>
          <w:rFonts w:hint="default" w:ascii="仿宋_GB2312" w:hAnsi="ˎ̥" w:eastAsia="仿宋_GB2312" w:cs="仿宋_GB2312"/>
          <w:color w:val="auto"/>
          <w:kern w:val="0"/>
          <w:sz w:val="32"/>
          <w:szCs w:val="32"/>
        </w:rPr>
      </w:pPr>
      <w:r>
        <w:rPr>
          <w:rFonts w:hint="default" w:ascii="仿宋_GB2312" w:hAnsi="ˎ̥" w:eastAsia="仿宋_GB2312" w:cs="仿宋_GB2312"/>
          <w:color w:val="auto"/>
          <w:kern w:val="0"/>
          <w:sz w:val="32"/>
          <w:szCs w:val="32"/>
        </w:rPr>
        <w:t>纳入</w:t>
      </w:r>
      <w:r>
        <w:rPr>
          <w:rFonts w:hint="eastAsia" w:ascii="仿宋" w:hAnsi="仿宋" w:eastAsia="仿宋" w:cs="仿宋"/>
          <w:color w:val="auto"/>
          <w:kern w:val="0"/>
          <w:sz w:val="32"/>
          <w:szCs w:val="32"/>
          <w:shd w:val="clear" w:color="auto" w:fill="FFFFFF"/>
        </w:rPr>
        <w:t>屯昌县坡心镇坡心中学</w:t>
      </w:r>
      <w:r>
        <w:rPr>
          <w:rFonts w:hint="default" w:ascii="仿宋_GB2312" w:hAnsi="ˎ̥" w:eastAsia="仿宋_GB2312" w:cs="仿宋_GB2312"/>
          <w:color w:val="auto"/>
          <w:kern w:val="0"/>
          <w:sz w:val="32"/>
          <w:szCs w:val="32"/>
        </w:rPr>
        <w:t>202</w:t>
      </w:r>
      <w:r>
        <w:rPr>
          <w:rFonts w:hint="eastAsia" w:ascii="仿宋_GB2312" w:hAnsi="ˎ̥" w:eastAsia="仿宋_GB2312" w:cs="仿宋_GB2312"/>
          <w:color w:val="auto"/>
          <w:kern w:val="0"/>
          <w:sz w:val="32"/>
          <w:szCs w:val="32"/>
          <w:lang w:val="en-US" w:eastAsia="zh-CN"/>
        </w:rPr>
        <w:t>3</w:t>
      </w:r>
      <w:r>
        <w:rPr>
          <w:rFonts w:hint="default" w:ascii="仿宋_GB2312" w:hAnsi="ˎ̥" w:eastAsia="仿宋_GB2312" w:cs="仿宋_GB2312"/>
          <w:color w:val="auto"/>
          <w:kern w:val="0"/>
          <w:sz w:val="32"/>
          <w:szCs w:val="32"/>
        </w:rPr>
        <w:t>年度</w:t>
      </w:r>
      <w:r>
        <w:rPr>
          <w:rFonts w:hint="eastAsia" w:ascii="仿宋_GB2312" w:hAnsi="ˎ̥" w:eastAsia="仿宋_GB2312" w:cs="仿宋_GB2312"/>
          <w:color w:val="auto"/>
          <w:kern w:val="0"/>
          <w:sz w:val="32"/>
          <w:szCs w:val="32"/>
          <w:lang w:eastAsia="zh-CN"/>
        </w:rPr>
        <w:t>单位</w:t>
      </w:r>
      <w:r>
        <w:rPr>
          <w:rFonts w:hint="default" w:ascii="仿宋_GB2312" w:hAnsi="ˎ̥" w:eastAsia="仿宋_GB2312" w:cs="仿宋_GB2312"/>
          <w:color w:val="auto"/>
          <w:kern w:val="0"/>
          <w:sz w:val="32"/>
          <w:szCs w:val="32"/>
        </w:rPr>
        <w:t>决算编制范围的二级预算单位</w:t>
      </w:r>
      <w:r>
        <w:rPr>
          <w:rFonts w:hint="eastAsia" w:ascii="仿宋_GB2312" w:hAnsi="ˎ̥" w:eastAsia="仿宋_GB2312" w:cs="仿宋_GB2312"/>
          <w:color w:val="auto"/>
          <w:kern w:val="0"/>
          <w:sz w:val="32"/>
          <w:szCs w:val="32"/>
          <w:lang w:eastAsia="zh-CN"/>
        </w:rPr>
        <w:t>。</w:t>
      </w:r>
    </w:p>
    <w:p>
      <w:pPr>
        <w:keepNext w:val="0"/>
        <w:keepLines w:val="0"/>
        <w:pageBreakBefore w:val="0"/>
        <w:kinsoku/>
        <w:wordWrap/>
        <w:overflowPunct/>
        <w:topLinePunct w:val="0"/>
        <w:autoSpaceDE/>
        <w:autoSpaceDN/>
        <w:bidi w:val="0"/>
        <w:adjustRightInd/>
        <w:snapToGrid/>
        <w:spacing w:beforeAutospacing="0" w:afterAutospacing="0" w:line="590" w:lineRule="exact"/>
        <w:jc w:val="center"/>
        <w:textAlignment w:val="auto"/>
        <w:rPr>
          <w:rFonts w:hint="eastAsia" w:ascii="黑体" w:hAnsi="ˎ̥" w:eastAsia="黑体"/>
          <w:color w:val="auto"/>
          <w:sz w:val="32"/>
          <w:szCs w:val="32"/>
        </w:rPr>
      </w:pPr>
      <w:bookmarkStart w:id="19" w:name="_Toc8164_WPSOffice_Level1"/>
      <w:bookmarkStart w:id="20" w:name="_Toc15521_WPSOffice_Level1"/>
      <w:bookmarkStart w:id="21" w:name="_Toc28253_WPSOffice_Level1"/>
      <w:bookmarkStart w:id="22" w:name="_Toc6234_WPSOffice_Level1"/>
      <w:bookmarkStart w:id="23" w:name="_Toc30451_WPSOffice_Level1"/>
      <w:bookmarkStart w:id="24" w:name="_Toc30690_WPSOffice_Level1"/>
      <w:bookmarkStart w:id="25" w:name="_Toc6211_WPSOffice_Level2"/>
      <w:bookmarkStart w:id="26" w:name="_Toc11518_WPSOffice_Level2"/>
      <w:bookmarkStart w:id="27" w:name="_Toc32695_WPSOffice_Level2"/>
      <w:bookmarkStart w:id="28" w:name="_Toc32472_WPSOffice_Level2"/>
      <w:bookmarkStart w:id="29" w:name="_Toc4029_WPSOffice_Level2"/>
      <w:bookmarkStart w:id="30" w:name="_Toc8867_WPSOffice_Level2"/>
    </w:p>
    <w:p>
      <w:pPr>
        <w:keepNext w:val="0"/>
        <w:keepLines w:val="0"/>
        <w:pageBreakBefore w:val="0"/>
        <w:kinsoku/>
        <w:wordWrap/>
        <w:overflowPunct/>
        <w:topLinePunct w:val="0"/>
        <w:autoSpaceDE/>
        <w:autoSpaceDN/>
        <w:bidi w:val="0"/>
        <w:adjustRightInd/>
        <w:snapToGrid/>
        <w:spacing w:beforeAutospacing="0" w:afterAutospacing="0" w:line="590"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19"/>
      <w:bookmarkEnd w:id="20"/>
      <w:bookmarkEnd w:id="21"/>
      <w:bookmarkEnd w:id="22"/>
      <w:bookmarkEnd w:id="23"/>
      <w:bookmarkEnd w:id="24"/>
    </w:p>
    <w:p>
      <w:pPr>
        <w:keepNext w:val="0"/>
        <w:keepLines w:val="0"/>
        <w:pageBreakBefore w:val="0"/>
        <w:kinsoku/>
        <w:wordWrap/>
        <w:overflowPunct/>
        <w:topLinePunct w:val="0"/>
        <w:autoSpaceDE/>
        <w:autoSpaceDN/>
        <w:bidi w:val="0"/>
        <w:adjustRightInd/>
        <w:snapToGrid/>
        <w:spacing w:beforeAutospacing="0" w:afterAutospacing="0" w:line="590" w:lineRule="exact"/>
        <w:ind w:firstLine="645"/>
        <w:textAlignment w:val="auto"/>
        <w:rPr>
          <w:rFonts w:hint="eastAsia" w:ascii="黑体" w:hAnsi="黑体" w:eastAsia="黑体" w:cs="黑体"/>
          <w:color w:val="auto"/>
          <w:sz w:val="32"/>
          <w:szCs w:val="32"/>
        </w:rPr>
      </w:pPr>
    </w:p>
    <w:p>
      <w:pPr>
        <w:keepNext w:val="0"/>
        <w:keepLines w:val="0"/>
        <w:pageBreakBefore w:val="0"/>
        <w:kinsoku/>
        <w:wordWrap/>
        <w:overflowPunct/>
        <w:topLinePunct w:val="0"/>
        <w:autoSpaceDE/>
        <w:autoSpaceDN/>
        <w:bidi w:val="0"/>
        <w:adjustRightInd/>
        <w:snapToGrid/>
        <w:spacing w:beforeAutospacing="0" w:afterAutospacing="0" w:line="590" w:lineRule="exact"/>
        <w:ind w:firstLine="645"/>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keepNext w:val="0"/>
        <w:keepLines w:val="0"/>
        <w:pageBreakBefore w:val="0"/>
        <w:kinsoku/>
        <w:wordWrap/>
        <w:overflowPunct/>
        <w:topLinePunct w:val="0"/>
        <w:autoSpaceDE/>
        <w:autoSpaceDN/>
        <w:bidi w:val="0"/>
        <w:adjustRightInd/>
        <w:snapToGrid/>
        <w:spacing w:beforeAutospacing="0" w:afterAutospacing="0" w:line="590" w:lineRule="exact"/>
        <w:ind w:firstLine="645"/>
        <w:textAlignment w:val="auto"/>
        <w:rPr>
          <w:rFonts w:hint="eastAsia" w:ascii="黑体" w:hAnsi="黑体" w:eastAsia="黑体" w:cs="黑体"/>
          <w:color w:val="auto"/>
          <w:sz w:val="32"/>
          <w:szCs w:val="32"/>
        </w:rPr>
      </w:pPr>
      <w:bookmarkStart w:id="31" w:name="_Toc25608_WPSOffice_Level2"/>
      <w:bookmarkStart w:id="32" w:name="_Toc30334_WPSOffice_Level2"/>
      <w:bookmarkStart w:id="33" w:name="_Toc28622_WPSOffice_Level2"/>
      <w:bookmarkStart w:id="34" w:name="_Toc26621_WPSOffice_Level2"/>
      <w:bookmarkStart w:id="35" w:name="_Toc14349_WPSOffice_Level2"/>
      <w:bookmarkStart w:id="36" w:name="_Toc23139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5489_WPSOffice_Level2"/>
      <w:bookmarkStart w:id="38" w:name="_Toc3262_WPSOffice_Level2"/>
      <w:bookmarkStart w:id="39" w:name="_Toc14658_WPSOffice_Level2"/>
      <w:bookmarkStart w:id="40" w:name="_Toc13854_WPSOffice_Level2"/>
      <w:bookmarkStart w:id="41" w:name="_Toc17626_WPSOffice_Level2"/>
      <w:bookmarkStart w:id="42" w:name="_Toc17858_WPSOffice_Level2"/>
    </w:p>
    <w:p>
      <w:pPr>
        <w:keepNext w:val="0"/>
        <w:keepLines w:val="0"/>
        <w:pageBreakBefore w:val="0"/>
        <w:kinsoku/>
        <w:wordWrap/>
        <w:overflowPunct/>
        <w:topLinePunct w:val="0"/>
        <w:autoSpaceDE/>
        <w:autoSpaceDN/>
        <w:bidi w:val="0"/>
        <w:adjustRightInd/>
        <w:snapToGrid/>
        <w:spacing w:beforeAutospacing="0" w:afterAutospacing="0" w:line="590" w:lineRule="exact"/>
        <w:ind w:firstLine="645"/>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13701_WPSOffice_Level2"/>
      <w:bookmarkStart w:id="44" w:name="_Toc21415_WPSOffice_Level2"/>
      <w:bookmarkStart w:id="45" w:name="_Toc4265_WPSOffice_Level2"/>
      <w:bookmarkStart w:id="46" w:name="_Toc7988_WPSOffice_Level2"/>
      <w:bookmarkStart w:id="47" w:name="_Toc23591_WPSOffice_Level2"/>
      <w:bookmarkStart w:id="48" w:name="_Toc23493_WPSOffice_Level2"/>
    </w:p>
    <w:p>
      <w:pPr>
        <w:keepNext w:val="0"/>
        <w:keepLines w:val="0"/>
        <w:pageBreakBefore w:val="0"/>
        <w:kinsoku/>
        <w:wordWrap/>
        <w:overflowPunct/>
        <w:topLinePunct w:val="0"/>
        <w:autoSpaceDE/>
        <w:autoSpaceDN/>
        <w:bidi w:val="0"/>
        <w:adjustRightInd/>
        <w:snapToGrid/>
        <w:spacing w:beforeAutospacing="0" w:afterAutospacing="0" w:line="590" w:lineRule="exact"/>
        <w:ind w:firstLine="645"/>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keepNext w:val="0"/>
        <w:keepLines w:val="0"/>
        <w:pageBreakBefore w:val="0"/>
        <w:kinsoku/>
        <w:wordWrap/>
        <w:overflowPunct/>
        <w:topLinePunct w:val="0"/>
        <w:autoSpaceDE/>
        <w:autoSpaceDN/>
        <w:bidi w:val="0"/>
        <w:adjustRightInd/>
        <w:snapToGrid/>
        <w:spacing w:beforeAutospacing="0" w:afterAutospacing="0" w:line="590" w:lineRule="exact"/>
        <w:ind w:firstLine="645"/>
        <w:textAlignment w:val="auto"/>
        <w:rPr>
          <w:rFonts w:hint="eastAsia" w:ascii="黑体" w:hAnsi="黑体" w:eastAsia="黑体" w:cs="黑体"/>
          <w:color w:val="auto"/>
          <w:sz w:val="32"/>
          <w:szCs w:val="32"/>
        </w:rPr>
      </w:pPr>
      <w:bookmarkStart w:id="49" w:name="_Toc7879_WPSOffice_Level2"/>
      <w:bookmarkStart w:id="50" w:name="_Toc22783_WPSOffice_Level2"/>
      <w:bookmarkStart w:id="51" w:name="_Toc25166_WPSOffice_Level2"/>
      <w:bookmarkStart w:id="52" w:name="_Toc23829_WPSOffice_Level2"/>
      <w:bookmarkStart w:id="53" w:name="_Toc13516_WPSOffice_Level2"/>
      <w:bookmarkStart w:id="54" w:name="_Toc2158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17283_WPSOffice_Level2"/>
      <w:bookmarkStart w:id="56" w:name="_Toc5343_WPSOffice_Level2"/>
      <w:bookmarkStart w:id="57" w:name="_Toc25362_WPSOffice_Level2"/>
      <w:bookmarkStart w:id="58" w:name="_Toc17833_WPSOffice_Level2"/>
      <w:bookmarkStart w:id="59" w:name="_Toc8373_WPSOffice_Level2"/>
      <w:bookmarkStart w:id="60" w:name="_Toc2632_WPSOffice_Level2"/>
    </w:p>
    <w:p>
      <w:pPr>
        <w:keepNext w:val="0"/>
        <w:keepLines w:val="0"/>
        <w:pageBreakBefore w:val="0"/>
        <w:kinsoku/>
        <w:wordWrap/>
        <w:overflowPunct/>
        <w:topLinePunct w:val="0"/>
        <w:autoSpaceDE/>
        <w:autoSpaceDN/>
        <w:bidi w:val="0"/>
        <w:adjustRightInd/>
        <w:snapToGrid/>
        <w:spacing w:beforeAutospacing="0" w:afterAutospacing="0" w:line="590" w:lineRule="exact"/>
        <w:ind w:firstLine="645"/>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keepNext w:val="0"/>
        <w:keepLines w:val="0"/>
        <w:pageBreakBefore w:val="0"/>
        <w:kinsoku/>
        <w:wordWrap/>
        <w:overflowPunct/>
        <w:topLinePunct w:val="0"/>
        <w:autoSpaceDE/>
        <w:autoSpaceDN/>
        <w:bidi w:val="0"/>
        <w:adjustRightInd/>
        <w:snapToGrid/>
        <w:spacing w:beforeAutospacing="0" w:afterAutospacing="0" w:line="590" w:lineRule="exact"/>
        <w:ind w:left="1118" w:leftChars="304" w:hanging="480" w:hangingChars="150"/>
        <w:textAlignment w:val="auto"/>
        <w:rPr>
          <w:rFonts w:hint="eastAsia" w:ascii="黑体" w:hAnsi="黑体" w:eastAsia="黑体" w:cs="黑体"/>
          <w:color w:val="auto"/>
          <w:sz w:val="32"/>
          <w:szCs w:val="32"/>
        </w:rPr>
      </w:pPr>
      <w:bookmarkStart w:id="61" w:name="_Toc13345_WPSOffice_Level2"/>
      <w:bookmarkStart w:id="62" w:name="_Toc5594_WPSOffice_Level2"/>
      <w:bookmarkStart w:id="63" w:name="_Toc6020_WPSOffice_Level2"/>
      <w:bookmarkStart w:id="64" w:name="_Toc1533_WPSOffice_Level2"/>
      <w:bookmarkStart w:id="65" w:name="_Toc21310_WPSOffice_Level2"/>
      <w:bookmarkStart w:id="66" w:name="_Toc11799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keepNext w:val="0"/>
        <w:keepLines w:val="0"/>
        <w:pageBreakBefore w:val="0"/>
        <w:kinsoku/>
        <w:wordWrap/>
        <w:overflowPunct/>
        <w:topLinePunct w:val="0"/>
        <w:autoSpaceDE/>
        <w:autoSpaceDN/>
        <w:bidi w:val="0"/>
        <w:adjustRightInd/>
        <w:snapToGrid/>
        <w:spacing w:beforeAutospacing="0" w:afterAutospacing="0" w:line="590" w:lineRule="exact"/>
        <w:ind w:left="1118" w:leftChars="304" w:hanging="480" w:hangingChars="15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keepNext w:val="0"/>
        <w:keepLines w:val="0"/>
        <w:pageBreakBefore w:val="0"/>
        <w:kinsoku/>
        <w:wordWrap/>
        <w:overflowPunct/>
        <w:topLinePunct w:val="0"/>
        <w:autoSpaceDE/>
        <w:autoSpaceDN/>
        <w:bidi w:val="0"/>
        <w:adjustRightInd/>
        <w:snapToGrid/>
        <w:spacing w:beforeAutospacing="0" w:afterAutospacing="0" w:line="590" w:lineRule="exact"/>
        <w:ind w:firstLine="640"/>
        <w:textAlignment w:val="auto"/>
        <w:rPr>
          <w:rFonts w:hint="eastAsia" w:ascii="黑体" w:hAnsi="黑体" w:eastAsia="黑体" w:cs="黑体"/>
          <w:color w:val="auto"/>
          <w:sz w:val="32"/>
          <w:szCs w:val="32"/>
        </w:rPr>
      </w:pPr>
      <w:bookmarkStart w:id="67" w:name="_Toc19961_WPSOffice_Level2"/>
      <w:bookmarkStart w:id="68" w:name="_Toc29886_WPSOffice_Level2"/>
      <w:bookmarkStart w:id="69" w:name="_Toc9377_WPSOffice_Level2"/>
      <w:bookmarkStart w:id="70" w:name="_Toc1820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keepNext w:val="0"/>
        <w:keepLines w:val="0"/>
        <w:pageBreakBefore w:val="0"/>
        <w:kinsoku/>
        <w:wordWrap/>
        <w:overflowPunct/>
        <w:topLinePunct w:val="0"/>
        <w:autoSpaceDE/>
        <w:autoSpaceDN/>
        <w:bidi w:val="0"/>
        <w:adjustRightInd/>
        <w:snapToGrid/>
        <w:spacing w:beforeAutospacing="0" w:afterAutospacing="0" w:line="590" w:lineRule="exact"/>
        <w:ind w:firstLine="640"/>
        <w:textAlignment w:val="auto"/>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keepNext w:val="0"/>
        <w:keepLines w:val="0"/>
        <w:pageBreakBefore w:val="0"/>
        <w:kinsoku/>
        <w:wordWrap/>
        <w:overflowPunct/>
        <w:topLinePunct w:val="0"/>
        <w:autoSpaceDE/>
        <w:autoSpaceDN/>
        <w:bidi w:val="0"/>
        <w:adjustRightInd/>
        <w:snapToGrid/>
        <w:spacing w:beforeAutospacing="0" w:afterAutospacing="0" w:line="590" w:lineRule="exact"/>
        <w:textAlignment w:val="auto"/>
        <w:rPr>
          <w:rFonts w:hint="eastAsia" w:ascii="黑体" w:hAnsi="黑体" w:eastAsia="黑体" w:cs="黑体"/>
          <w:color w:val="auto"/>
          <w:sz w:val="32"/>
          <w:szCs w:val="32"/>
        </w:rPr>
      </w:pPr>
    </w:p>
    <w:p>
      <w:pPr>
        <w:keepNext w:val="0"/>
        <w:keepLines w:val="0"/>
        <w:pageBreakBefore w:val="0"/>
        <w:kinsoku/>
        <w:wordWrap/>
        <w:overflowPunct/>
        <w:topLinePunct w:val="0"/>
        <w:autoSpaceDE/>
        <w:autoSpaceDN/>
        <w:bidi w:val="0"/>
        <w:adjustRightInd/>
        <w:snapToGrid/>
        <w:spacing w:beforeAutospacing="0" w:afterAutospacing="0" w:line="590" w:lineRule="exact"/>
        <w:jc w:val="center"/>
        <w:textAlignment w:val="auto"/>
        <w:rPr>
          <w:rFonts w:hint="eastAsia" w:ascii="黑体" w:hAnsi="ˎ̥" w:eastAsia="黑体"/>
          <w:color w:val="auto"/>
          <w:sz w:val="32"/>
          <w:szCs w:val="32"/>
        </w:rPr>
      </w:pPr>
      <w:bookmarkStart w:id="71" w:name="_Toc16686_WPSOffice_Level1"/>
      <w:bookmarkStart w:id="72" w:name="_Toc31264_WPSOffice_Level1"/>
      <w:bookmarkStart w:id="73" w:name="_Toc29683_WPSOffice_Level1"/>
      <w:bookmarkStart w:id="74" w:name="_Toc27590_WPSOffice_Level1"/>
      <w:bookmarkStart w:id="75" w:name="_Toc4402_WPSOffice_Level1"/>
      <w:bookmarkStart w:id="76" w:name="_Toc28629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1"/>
      <w:bookmarkEnd w:id="72"/>
      <w:bookmarkEnd w:id="73"/>
      <w:bookmarkEnd w:id="74"/>
      <w:bookmarkEnd w:id="75"/>
      <w:bookmarkEnd w:id="76"/>
    </w:p>
    <w:p>
      <w:pPr>
        <w:keepNext w:val="0"/>
        <w:keepLines w:val="0"/>
        <w:pageBreakBefore w:val="0"/>
        <w:kinsoku/>
        <w:wordWrap/>
        <w:overflowPunct/>
        <w:topLinePunct w:val="0"/>
        <w:autoSpaceDE/>
        <w:autoSpaceDN/>
        <w:bidi w:val="0"/>
        <w:adjustRightInd/>
        <w:snapToGrid/>
        <w:spacing w:beforeAutospacing="0" w:afterAutospacing="0" w:line="590"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581.04</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581.04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51.29</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8.11</w:t>
      </w:r>
      <w:r>
        <w:rPr>
          <w:rFonts w:hint="eastAsia" w:ascii="仿宋_GB2312" w:hAnsi="ˎ̥" w:eastAsia="仿宋_GB2312"/>
          <w:color w:val="auto"/>
          <w:sz w:val="32"/>
          <w:szCs w:val="32"/>
        </w:rPr>
        <w:t>%。主要原因：一是</w:t>
      </w:r>
      <w:r>
        <w:rPr>
          <w:rFonts w:hint="eastAsia" w:ascii="仿宋_GB2312" w:hAnsi="ˎ̥" w:eastAsia="仿宋_GB2312" w:cs="仿宋_GB2312"/>
          <w:color w:val="auto"/>
          <w:sz w:val="32"/>
          <w:szCs w:val="32"/>
          <w:lang w:eastAsia="zh-CN"/>
        </w:rPr>
        <w:t>教师和学生人员</w:t>
      </w:r>
      <w:r>
        <w:rPr>
          <w:rFonts w:hint="eastAsia" w:ascii="仿宋_GB2312" w:hAnsi="ˎ̥" w:eastAsia="仿宋_GB2312" w:cs="仿宋_GB2312"/>
          <w:color w:val="auto"/>
          <w:sz w:val="32"/>
          <w:szCs w:val="32"/>
          <w:lang w:val="en-US" w:eastAsia="zh-CN"/>
        </w:rPr>
        <w:t>经费减少</w:t>
      </w:r>
      <w:r>
        <w:rPr>
          <w:rFonts w:hint="eastAsia" w:ascii="仿宋_GB2312" w:hAnsi="ˎ̥" w:eastAsia="仿宋_GB2312"/>
          <w:color w:val="auto"/>
          <w:sz w:val="32"/>
          <w:szCs w:val="32"/>
        </w:rPr>
        <w:t>；二是</w:t>
      </w:r>
      <w:r>
        <w:rPr>
          <w:rFonts w:hint="default" w:ascii="仿宋_GB2312" w:hAnsi="ˎ̥" w:eastAsia="仿宋_GB2312" w:cs="仿宋_GB2312"/>
          <w:color w:val="auto"/>
          <w:kern w:val="0"/>
          <w:sz w:val="32"/>
          <w:szCs w:val="32"/>
        </w:rPr>
        <w:t>开支</w:t>
      </w:r>
      <w:r>
        <w:rPr>
          <w:rFonts w:hint="eastAsia" w:ascii="仿宋_GB2312" w:hAnsi="ˎ̥" w:eastAsia="仿宋_GB2312" w:cs="仿宋_GB2312"/>
          <w:color w:val="auto"/>
          <w:sz w:val="32"/>
          <w:szCs w:val="32"/>
          <w:lang w:val="en-US" w:eastAsia="zh-CN"/>
        </w:rPr>
        <w:t>减少</w:t>
      </w:r>
      <w:r>
        <w:rPr>
          <w:rFonts w:hint="eastAsia" w:ascii="仿宋_GB2312" w:hAnsi="ˎ̥" w:eastAsia="仿宋_GB2312"/>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90" w:lineRule="exact"/>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580.71</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default" w:ascii="仿宋_GB2312" w:hAnsi="ˎ̥" w:eastAsia="仿宋_GB2312" w:cs="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0.04</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0.03</w:t>
      </w:r>
      <w:r>
        <w:rPr>
          <w:rFonts w:hint="eastAsia" w:ascii="仿宋_GB2312" w:hAnsi="ˎ̥" w:eastAsia="仿宋_GB2312"/>
          <w:color w:val="auto"/>
          <w:sz w:val="32"/>
          <w:szCs w:val="32"/>
        </w:rPr>
        <w:t>万元，主要原因是</w:t>
      </w:r>
      <w:r>
        <w:rPr>
          <w:rFonts w:hint="default" w:ascii="仿宋_GB2312" w:hAnsi="ˎ̥" w:eastAsia="仿宋_GB2312" w:cs="仿宋_GB2312"/>
          <w:color w:val="auto"/>
          <w:kern w:val="0"/>
          <w:sz w:val="32"/>
          <w:szCs w:val="32"/>
          <w:shd w:val="clear" w:color="auto" w:fill="FFFFFF"/>
        </w:rPr>
        <w:t>事业基金弥补收支差额</w:t>
      </w:r>
      <w:r>
        <w:rPr>
          <w:rFonts w:hint="default" w:ascii="仿宋_GB2312" w:hAnsi="ˎ̥"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0.29</w:t>
      </w:r>
      <w:r>
        <w:rPr>
          <w:rFonts w:hint="eastAsia" w:ascii="仿宋_GB2312" w:hAnsi="ˎ̥" w:eastAsia="仿宋_GB2312"/>
          <w:color w:val="auto"/>
          <w:sz w:val="32"/>
          <w:szCs w:val="32"/>
        </w:rPr>
        <w:t>万元，主要是</w:t>
      </w:r>
      <w:r>
        <w:rPr>
          <w:rFonts w:hint="default" w:ascii="仿宋_GB2312" w:hAnsi="ˎ̥" w:eastAsia="仿宋_GB2312" w:cs="仿宋_GB2312"/>
          <w:color w:val="auto"/>
          <w:kern w:val="0"/>
          <w:sz w:val="32"/>
          <w:szCs w:val="32"/>
          <w:shd w:val="clear" w:color="auto" w:fill="FFFFFF"/>
        </w:rPr>
        <w:t>学校</w:t>
      </w:r>
      <w:r>
        <w:rPr>
          <w:rFonts w:hint="eastAsia" w:ascii="仿宋_GB2312" w:hAnsi="ˎ̥" w:eastAsia="仿宋_GB2312" w:cs="仿宋_GB2312"/>
          <w:color w:val="auto"/>
          <w:kern w:val="0"/>
          <w:sz w:val="32"/>
          <w:szCs w:val="32"/>
          <w:shd w:val="clear" w:color="auto" w:fill="FFFFFF"/>
          <w:lang w:val="en-US" w:eastAsia="zh-CN"/>
        </w:rPr>
        <w:t>经费</w:t>
      </w:r>
      <w:r>
        <w:rPr>
          <w:rFonts w:hint="eastAsia" w:ascii="仿宋_GB2312" w:hAnsi="ˎ̥" w:eastAsia="仿宋_GB2312" w:cs="仿宋_GB2312"/>
          <w:color w:val="auto"/>
          <w:kern w:val="0"/>
          <w:sz w:val="32"/>
          <w:szCs w:val="32"/>
          <w:shd w:val="clear" w:color="auto" w:fill="FFFFFF"/>
          <w:lang w:eastAsia="zh-CN"/>
        </w:rPr>
        <w:t>有</w:t>
      </w:r>
      <w:r>
        <w:rPr>
          <w:rFonts w:hint="default" w:ascii="仿宋_GB2312" w:hAnsi="ˎ̥" w:eastAsia="仿宋_GB2312" w:cs="仿宋_GB2312"/>
          <w:color w:val="auto"/>
          <w:kern w:val="0"/>
          <w:sz w:val="32"/>
          <w:szCs w:val="32"/>
          <w:shd w:val="clear" w:color="auto" w:fill="FFFFFF"/>
        </w:rPr>
        <w:t>跨年度</w:t>
      </w:r>
      <w:r>
        <w:rPr>
          <w:rFonts w:hint="eastAsia" w:ascii="仿宋_GB2312" w:hAnsi="ˎ̥" w:eastAsia="仿宋_GB2312"/>
          <w:color w:val="auto"/>
          <w:sz w:val="32"/>
          <w:szCs w:val="32"/>
        </w:rPr>
        <w:t>（简要说明结转结余形成或来源），较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52.63</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w:t>
      </w:r>
      <w:r>
        <w:rPr>
          <w:rFonts w:hint="eastAsia" w:ascii="仿宋_GB2312" w:hAnsi="ˎ̥" w:eastAsia="仿宋_GB2312" w:cs="仿宋_GB2312"/>
          <w:color w:val="auto"/>
          <w:sz w:val="32"/>
          <w:szCs w:val="32"/>
          <w:lang w:eastAsia="zh-CN"/>
        </w:rPr>
        <w:t>其他收入（利息）</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580.83</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本年经费刚好花完</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48.38</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7.69</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预算数多了</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0.21</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2.9</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93.25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其他收入减少</w:t>
      </w:r>
      <w:bookmarkStart w:id="119" w:name="_GoBack"/>
      <w:bookmarkEnd w:id="119"/>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580.71</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575.13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99.04</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5.58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0.96</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580.83</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551.77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95.00</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29.06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5.00</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575.13</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575.13</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51.96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8.29</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社保</w:t>
      </w:r>
      <w:r>
        <w:rPr>
          <w:rFonts w:hint="eastAsia" w:ascii="仿宋_GB2312" w:hAnsi="ˎ̥" w:eastAsia="仿宋_GB2312"/>
          <w:color w:val="auto"/>
          <w:sz w:val="32"/>
          <w:szCs w:val="32"/>
        </w:rPr>
        <w:t>减少；二是</w:t>
      </w:r>
      <w:r>
        <w:rPr>
          <w:rFonts w:hint="eastAsia" w:ascii="仿宋_GB2312" w:hAnsi="ˎ̥" w:eastAsia="仿宋_GB2312"/>
          <w:color w:val="auto"/>
          <w:sz w:val="32"/>
          <w:szCs w:val="32"/>
          <w:lang w:val="en-US" w:eastAsia="zh-CN"/>
        </w:rPr>
        <w:t>卫生健康支出</w:t>
      </w:r>
      <w:r>
        <w:rPr>
          <w:rFonts w:hint="eastAsia" w:ascii="仿宋_GB2312" w:hAnsi="ˎ̥" w:eastAsia="仿宋_GB2312"/>
          <w:color w:val="auto"/>
          <w:sz w:val="32"/>
          <w:szCs w:val="32"/>
        </w:rPr>
        <w:t>减少。</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s="仿宋_GB2312"/>
          <w:color w:val="auto"/>
          <w:sz w:val="32"/>
          <w:szCs w:val="32"/>
          <w:lang w:val="en-US" w:eastAsia="zh-CN"/>
        </w:rPr>
        <w:t>上年度钱花完</w:t>
      </w:r>
      <w:r>
        <w:rPr>
          <w:rFonts w:hint="eastAsia" w:ascii="仿宋_GB2312" w:hAnsi="ˎ̥" w:eastAsia="仿宋_GB2312"/>
          <w:color w:val="auto"/>
          <w:sz w:val="32"/>
          <w:szCs w:val="32"/>
        </w:rPr>
        <w:t>（简要说明结转结余形成或来源），较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没有增长</w:t>
      </w:r>
      <w:r>
        <w:rPr>
          <w:rFonts w:hint="eastAsia" w:ascii="仿宋_GB2312" w:hAnsi="ˎ̥" w:eastAsia="仿宋_GB2312"/>
          <w:color w:val="auto"/>
          <w:sz w:val="32"/>
          <w:szCs w:val="32"/>
        </w:rPr>
        <w:t>。</w:t>
      </w:r>
    </w:p>
    <w:p>
      <w:pPr>
        <w:keepNext w:val="0"/>
        <w:keepLines w:val="0"/>
        <w:pageBreakBefore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s="仿宋_GB2312"/>
          <w:color w:val="auto"/>
          <w:sz w:val="32"/>
          <w:szCs w:val="32"/>
          <w:lang w:val="en-US" w:eastAsia="zh-CN"/>
        </w:rPr>
        <w:t>上年度花完了</w:t>
      </w:r>
      <w:r>
        <w:rPr>
          <w:rFonts w:hint="eastAsia" w:ascii="仿宋_GB2312" w:hAnsi="ˎ̥" w:eastAsia="仿宋_GB2312"/>
          <w:color w:val="auto"/>
          <w:sz w:val="32"/>
          <w:szCs w:val="32"/>
        </w:rPr>
        <w:t>（简要说明结转结余的</w:t>
      </w:r>
      <w:r>
        <w:rPr>
          <w:rFonts w:ascii="仿宋_GB2312" w:hAnsi="ˎ̥" w:eastAsia="仿宋_GB2312"/>
          <w:color w:val="auto"/>
          <w:sz w:val="32"/>
          <w:szCs w:val="32"/>
        </w:rPr>
        <w:t>构成</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3.11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其他收入</w:t>
      </w:r>
      <w:r>
        <w:rPr>
          <w:rFonts w:hint="eastAsia" w:ascii="仿宋_GB2312" w:hAnsi="ˎ̥" w:eastAsia="仿宋_GB2312"/>
          <w:color w:val="auto"/>
          <w:sz w:val="32"/>
          <w:szCs w:val="32"/>
        </w:rPr>
        <w:t>减少。</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bookmarkStart w:id="77" w:name="_Toc13694_WPSOffice_Level2"/>
      <w:bookmarkStart w:id="78" w:name="_Toc17398_WPSOffice_Level2"/>
      <w:bookmarkStart w:id="79" w:name="_Toc9989_WPSOffice_Level2"/>
      <w:bookmarkStart w:id="80" w:name="_Toc23005_WPSOffice_Level2"/>
      <w:bookmarkStart w:id="81" w:name="_Toc21737_WPSOffice_Level2"/>
      <w:bookmarkStart w:id="82" w:name="_Toc19665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575.13</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99.02</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51.96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8.29</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社保</w:t>
      </w:r>
      <w:r>
        <w:rPr>
          <w:rFonts w:hint="eastAsia" w:ascii="仿宋_GB2312" w:hAnsi="ˎ̥" w:eastAsia="仿宋_GB2312"/>
          <w:color w:val="auto"/>
          <w:sz w:val="32"/>
          <w:szCs w:val="32"/>
        </w:rPr>
        <w:t>减少</w:t>
      </w:r>
      <w:r>
        <w:rPr>
          <w:rFonts w:hint="eastAsia" w:ascii="仿宋_GB2312" w:hAnsi="ˎ̥" w:eastAsia="仿宋_GB2312"/>
          <w:color w:val="auto"/>
          <w:sz w:val="32"/>
          <w:szCs w:val="32"/>
          <w:lang w:val="en-US" w:eastAsia="zh-CN"/>
        </w:rPr>
        <w:t>了</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bookmarkStart w:id="83" w:name="_Toc19075_WPSOffice_Level2"/>
      <w:bookmarkStart w:id="84" w:name="_Toc18793_WPSOffice_Level2"/>
      <w:bookmarkStart w:id="85" w:name="_Toc2711_WPSOffice_Level2"/>
      <w:bookmarkStart w:id="86" w:name="_Toc19535_WPSOffice_Level2"/>
      <w:bookmarkStart w:id="87" w:name="_Toc23864_WPSOffice_Level2"/>
      <w:bookmarkStart w:id="88" w:name="_Toc27767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575.13</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s="仿宋_GB2312"/>
          <w:b/>
          <w:bCs w:val="0"/>
          <w:color w:val="auto"/>
          <w:sz w:val="32"/>
          <w:szCs w:val="32"/>
          <w:lang w:val="en-US" w:eastAsia="zh-CN"/>
        </w:rPr>
        <w:t>教育</w:t>
      </w:r>
      <w:r>
        <w:rPr>
          <w:rFonts w:hint="default" w:ascii="仿宋_GB2312" w:hAnsi="ˎ̥" w:eastAsia="仿宋_GB2312" w:cs="仿宋_GB2312"/>
          <w:color w:val="auto"/>
          <w:sz w:val="32"/>
          <w:szCs w:val="32"/>
        </w:rPr>
        <w:t>支出</w:t>
      </w:r>
      <w:r>
        <w:rPr>
          <w:rFonts w:hint="eastAsia" w:ascii="仿宋_GB2312" w:hAnsi="ˎ̥" w:eastAsia="仿宋_GB2312" w:cs="仿宋_GB2312"/>
          <w:color w:val="auto"/>
          <w:sz w:val="32"/>
          <w:szCs w:val="32"/>
          <w:lang w:val="en-US" w:eastAsia="zh-CN"/>
        </w:rPr>
        <w:t>393.79</w:t>
      </w:r>
      <w:r>
        <w:rPr>
          <w:rFonts w:hint="default" w:ascii="仿宋_GB2312" w:hAnsi="ˎ̥" w:eastAsia="仿宋_GB2312" w:cs="仿宋_GB2312"/>
          <w:color w:val="auto"/>
          <w:sz w:val="32"/>
          <w:szCs w:val="32"/>
        </w:rPr>
        <w:t>万元，占</w:t>
      </w:r>
      <w:r>
        <w:rPr>
          <w:rFonts w:hint="eastAsia" w:ascii="仿宋_GB2312" w:hAnsi="ˎ̥" w:eastAsia="仿宋_GB2312" w:cs="仿宋_GB2312"/>
          <w:color w:val="auto"/>
          <w:sz w:val="32"/>
          <w:szCs w:val="32"/>
          <w:lang w:val="en-US" w:eastAsia="zh-CN"/>
        </w:rPr>
        <w:t>68.47</w:t>
      </w:r>
      <w:r>
        <w:rPr>
          <w:rFonts w:hint="default" w:ascii="仿宋_GB2312" w:hAnsi="ˎ̥" w:eastAsia="仿宋_GB2312" w:cs="仿宋_GB2312"/>
          <w:color w:val="auto"/>
          <w:sz w:val="32"/>
          <w:szCs w:val="32"/>
          <w:lang w:val="en-US"/>
        </w:rPr>
        <w:t>%</w:t>
      </w:r>
      <w:r>
        <w:rPr>
          <w:rFonts w:hint="default" w:ascii="仿宋_GB2312" w:hAnsi="ˎ̥" w:eastAsia="仿宋_GB2312" w:cs="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89.86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15.62</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39.53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6.87</w:t>
      </w:r>
      <w:r>
        <w:rPr>
          <w:rFonts w:hint="eastAsia" w:ascii="仿宋_GB2312" w:hAnsi="ˎ̥" w:eastAsia="仿宋_GB2312"/>
          <w:color w:val="auto"/>
          <w:sz w:val="32"/>
          <w:szCs w:val="32"/>
        </w:rPr>
        <w:t>%；卫生健康支出</w:t>
      </w:r>
      <w:r>
        <w:rPr>
          <w:rFonts w:hint="eastAsia" w:ascii="仿宋_GB2312" w:hAnsi="ˎ̥" w:eastAsia="仿宋_GB2312"/>
          <w:color w:val="auto"/>
          <w:sz w:val="32"/>
          <w:szCs w:val="32"/>
          <w:lang w:val="en-US" w:eastAsia="zh-CN"/>
        </w:rPr>
        <w:t>61.95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10.77</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bookmarkStart w:id="89" w:name="_Toc9502_WPSOffice_Level2"/>
      <w:bookmarkStart w:id="90" w:name="_Toc15415_WPSOffice_Level2"/>
      <w:bookmarkStart w:id="91" w:name="_Toc25136_WPSOffice_Level2"/>
      <w:bookmarkStart w:id="92" w:name="_Toc29364_WPSOffice_Level2"/>
      <w:bookmarkStart w:id="93" w:name="_Toc22318_WPSOffice_Level2"/>
      <w:bookmarkStart w:id="94" w:name="_Toc21701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697.54</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575.13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82.45</w:t>
      </w:r>
      <w:r>
        <w:rPr>
          <w:rFonts w:hint="eastAsia" w:ascii="仿宋_GB2312" w:hAnsi="ˎ̥" w:eastAsia="仿宋_GB2312"/>
          <w:color w:val="auto"/>
          <w:sz w:val="32"/>
          <w:szCs w:val="32"/>
        </w:rPr>
        <w:t>%。其中：</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right="0" w:firstLine="640" w:firstLineChars="200"/>
        <w:textAlignment w:val="auto"/>
        <w:rPr>
          <w:rFonts w:hint="default" w:ascii="仿宋_GB2312" w:hAnsi="ˎ̥" w:eastAsia="仿宋_GB2312" w:cs="仿宋_GB2312"/>
          <w:b/>
          <w:bCs w:val="0"/>
          <w:color w:val="auto"/>
          <w:sz w:val="32"/>
          <w:szCs w:val="32"/>
          <w:lang w:val="en-US"/>
        </w:rPr>
      </w:pPr>
      <w:r>
        <w:rPr>
          <w:rFonts w:hint="eastAsia" w:ascii="仿宋_GB2312" w:hAnsi="ˎ̥" w:eastAsia="仿宋_GB2312"/>
          <w:color w:val="auto"/>
          <w:sz w:val="32"/>
          <w:szCs w:val="32"/>
        </w:rPr>
        <w:t xml:space="preserve">  </w:t>
      </w:r>
      <w:r>
        <w:rPr>
          <w:rFonts w:hint="eastAsia" w:ascii="仿宋_GB2312" w:hAnsi="ˎ̥" w:eastAsia="仿宋_GB2312" w:cs="仿宋_GB2312"/>
          <w:color w:val="auto"/>
          <w:sz w:val="32"/>
          <w:szCs w:val="32"/>
          <w:lang w:val="en-US" w:eastAsia="zh-CN"/>
        </w:rPr>
        <w:t>1、</w:t>
      </w:r>
      <w:r>
        <w:rPr>
          <w:rFonts w:hint="default" w:ascii="仿宋_GB2312" w:hAnsi="ˎ̥" w:eastAsia="仿宋_GB2312" w:cs="仿宋_GB2312"/>
          <w:b/>
          <w:bCs/>
          <w:color w:val="auto"/>
          <w:kern w:val="0"/>
          <w:sz w:val="32"/>
          <w:szCs w:val="32"/>
        </w:rPr>
        <w:t>教育支出类</w:t>
      </w:r>
      <w:r>
        <w:rPr>
          <w:rFonts w:hint="default" w:ascii="仿宋_GB2312" w:hAnsi="ˎ̥" w:eastAsia="仿宋_GB2312" w:cs="仿宋_GB2312"/>
          <w:b/>
          <w:bCs w:val="0"/>
          <w:color w:val="auto"/>
          <w:sz w:val="32"/>
          <w:szCs w:val="32"/>
        </w:rPr>
        <w:t>（项）。</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1347" w:firstLine="640" w:firstLineChars="200"/>
        <w:jc w:val="both"/>
        <w:textAlignment w:val="auto"/>
        <w:rPr>
          <w:rFonts w:hint="default" w:ascii="仿宋_GB2312" w:hAnsi="ˎ̥" w:eastAsia="仿宋_GB2312" w:cs="仿宋_GB2312"/>
          <w:color w:val="auto"/>
          <w:kern w:val="0"/>
          <w:sz w:val="32"/>
          <w:szCs w:val="32"/>
        </w:rPr>
      </w:pPr>
      <w:r>
        <w:rPr>
          <w:rFonts w:hint="default" w:ascii="仿宋_GB2312" w:hAnsi="ˎ̥" w:eastAsia="仿宋_GB2312" w:cs="仿宋_GB2312"/>
          <w:color w:val="auto"/>
          <w:sz w:val="32"/>
          <w:szCs w:val="32"/>
        </w:rPr>
        <w:t>年初预算为</w:t>
      </w:r>
      <w:r>
        <w:rPr>
          <w:rFonts w:hint="eastAsia" w:ascii="仿宋_GB2312" w:hAnsi="ˎ̥" w:eastAsia="仿宋_GB2312" w:cs="仿宋_GB2312"/>
          <w:color w:val="auto"/>
          <w:sz w:val="32"/>
          <w:szCs w:val="32"/>
          <w:lang w:val="en-US" w:eastAsia="zh-CN"/>
        </w:rPr>
        <w:t>420.17</w:t>
      </w:r>
      <w:r>
        <w:rPr>
          <w:rFonts w:hint="default" w:ascii="仿宋_GB2312" w:hAnsi="ˎ̥" w:eastAsia="仿宋_GB2312" w:cs="仿宋_GB2312"/>
          <w:color w:val="auto"/>
          <w:sz w:val="32"/>
          <w:szCs w:val="32"/>
        </w:rPr>
        <w:t>万元，支出决算为</w:t>
      </w:r>
      <w:r>
        <w:rPr>
          <w:rFonts w:hint="eastAsia" w:ascii="仿宋_GB2312" w:hAnsi="ˎ̥" w:eastAsia="仿宋_GB2312" w:cs="仿宋_GB2312"/>
          <w:color w:val="auto"/>
          <w:sz w:val="32"/>
          <w:szCs w:val="32"/>
          <w:lang w:val="en-US" w:eastAsia="zh-CN"/>
        </w:rPr>
        <w:t>389.49</w:t>
      </w:r>
      <w:r>
        <w:rPr>
          <w:rFonts w:hint="default" w:ascii="仿宋_GB2312" w:hAnsi="ˎ̥" w:eastAsia="仿宋_GB2312" w:cs="仿宋_GB2312"/>
          <w:color w:val="auto"/>
          <w:sz w:val="32"/>
          <w:szCs w:val="32"/>
        </w:rPr>
        <w:t>万元，完成年初预算的</w:t>
      </w:r>
      <w:r>
        <w:rPr>
          <w:rFonts w:hint="eastAsia" w:ascii="仿宋_GB2312" w:hAnsi="ˎ̥" w:eastAsia="仿宋_GB2312" w:cs="仿宋_GB2312"/>
          <w:color w:val="auto"/>
          <w:sz w:val="32"/>
          <w:szCs w:val="32"/>
          <w:lang w:val="en-US" w:eastAsia="zh-CN"/>
        </w:rPr>
        <w:t>92.70</w:t>
      </w:r>
      <w:r>
        <w:rPr>
          <w:rFonts w:hint="default" w:ascii="仿宋_GB2312" w:hAnsi="ˎ̥" w:eastAsia="仿宋_GB2312" w:cs="仿宋_GB2312"/>
          <w:color w:val="auto"/>
          <w:sz w:val="32"/>
          <w:szCs w:val="32"/>
          <w:lang w:val="en-US"/>
        </w:rPr>
        <w:t>%</w:t>
      </w:r>
      <w:r>
        <w:rPr>
          <w:rFonts w:hint="default" w:ascii="仿宋_GB2312" w:hAnsi="ˎ̥" w:eastAsia="仿宋_GB2312" w:cs="仿宋_GB2312"/>
          <w:color w:val="auto"/>
          <w:sz w:val="32"/>
          <w:szCs w:val="32"/>
        </w:rPr>
        <w:t>。决算数</w:t>
      </w:r>
      <w:r>
        <w:rPr>
          <w:rFonts w:hint="eastAsia" w:ascii="仿宋_GB2312" w:hAnsi="ˎ̥" w:eastAsia="仿宋_GB2312" w:cs="仿宋_GB2312"/>
          <w:color w:val="auto"/>
          <w:sz w:val="32"/>
          <w:szCs w:val="32"/>
          <w:lang w:val="en-US" w:eastAsia="zh-CN"/>
        </w:rPr>
        <w:t>小</w:t>
      </w:r>
      <w:r>
        <w:rPr>
          <w:rFonts w:hint="default" w:ascii="仿宋_GB2312" w:hAnsi="ˎ̥" w:eastAsia="仿宋_GB2312" w:cs="仿宋_GB2312"/>
          <w:color w:val="auto"/>
          <w:sz w:val="32"/>
          <w:szCs w:val="32"/>
        </w:rPr>
        <w:t>于预算数的主要原因：</w:t>
      </w:r>
      <w:r>
        <w:rPr>
          <w:rFonts w:hint="eastAsia" w:ascii="仿宋_GB2312" w:hAnsi="ˎ̥" w:eastAsia="仿宋_GB2312" w:cs="仿宋_GB2312"/>
          <w:color w:val="auto"/>
          <w:sz w:val="32"/>
          <w:szCs w:val="32"/>
          <w:lang w:val="en-US" w:eastAsia="zh-CN"/>
        </w:rPr>
        <w:t>一是</w:t>
      </w:r>
      <w:r>
        <w:rPr>
          <w:rFonts w:hint="default" w:ascii="仿宋_GB2312" w:hAnsi="ˎ̥" w:eastAsia="仿宋_GB2312" w:cs="仿宋_GB2312"/>
          <w:color w:val="auto"/>
          <w:kern w:val="0"/>
          <w:sz w:val="32"/>
          <w:szCs w:val="32"/>
        </w:rPr>
        <w:t>本年预算调整；二是</w:t>
      </w:r>
      <w:r>
        <w:rPr>
          <w:rFonts w:hint="eastAsia" w:ascii="仿宋_GB2312" w:hAnsi="ˎ̥" w:eastAsia="仿宋_GB2312" w:cs="仿宋_GB2312"/>
          <w:color w:val="auto"/>
          <w:kern w:val="0"/>
          <w:sz w:val="32"/>
          <w:szCs w:val="32"/>
          <w:lang w:eastAsia="zh-CN"/>
        </w:rPr>
        <w:t>人员</w:t>
      </w:r>
      <w:r>
        <w:rPr>
          <w:rFonts w:hint="eastAsia" w:ascii="仿宋_GB2312" w:hAnsi="ˎ̥" w:eastAsia="仿宋_GB2312" w:cs="仿宋_GB2312"/>
          <w:color w:val="auto"/>
          <w:kern w:val="0"/>
          <w:sz w:val="32"/>
          <w:szCs w:val="32"/>
          <w:lang w:val="en-US" w:eastAsia="zh-CN"/>
        </w:rPr>
        <w:t>经费减少</w:t>
      </w:r>
      <w:r>
        <w:rPr>
          <w:rFonts w:hint="default" w:ascii="仿宋_GB2312" w:hAnsi="ˎ̥" w:eastAsia="仿宋_GB2312" w:cs="仿宋_GB2312"/>
          <w:color w:val="auto"/>
          <w:kern w:val="0"/>
          <w:sz w:val="32"/>
          <w:szCs w:val="32"/>
        </w:rPr>
        <w:t>。</w:t>
      </w:r>
    </w:p>
    <w:p>
      <w:pPr>
        <w:keepNext w:val="0"/>
        <w:keepLines w:val="0"/>
        <w:pageBreakBefore w:val="0"/>
        <w:widowControl/>
        <w:numPr>
          <w:ilvl w:val="0"/>
          <w:numId w:val="0"/>
        </w:numPr>
        <w:suppressLineNumbers w:val="0"/>
        <w:tabs>
          <w:tab w:val="left" w:pos="342"/>
        </w:tabs>
        <w:kinsoku/>
        <w:wordWrap/>
        <w:overflowPunct/>
        <w:topLinePunct w:val="0"/>
        <w:autoSpaceDE/>
        <w:autoSpaceDN/>
        <w:bidi w:val="0"/>
        <w:adjustRightInd/>
        <w:snapToGrid/>
        <w:spacing w:beforeAutospacing="0" w:afterAutospacing="0" w:line="590" w:lineRule="exact"/>
        <w:ind w:left="627" w:leftChars="0"/>
        <w:textAlignment w:val="auto"/>
        <w:rPr>
          <w:rFonts w:hint="default" w:ascii="仿宋_GB2312" w:hAnsi="ˎ̥" w:eastAsia="仿宋_GB2312" w:cs="宋体"/>
          <w:b/>
          <w:bCs/>
          <w:color w:val="auto"/>
          <w:kern w:val="0"/>
          <w:sz w:val="32"/>
          <w:szCs w:val="32"/>
        </w:rPr>
      </w:pPr>
      <w:r>
        <w:rPr>
          <w:rFonts w:hint="eastAsia" w:ascii="仿宋_GB2312" w:hAnsi="ˎ̥" w:eastAsia="仿宋_GB2312" w:cs="仿宋_GB2312"/>
          <w:b/>
          <w:bCs/>
          <w:color w:val="auto"/>
          <w:kern w:val="0"/>
          <w:sz w:val="32"/>
          <w:szCs w:val="32"/>
          <w:lang w:val="en-US" w:eastAsia="zh-CN"/>
        </w:rPr>
        <w:t>2、</w:t>
      </w:r>
      <w:r>
        <w:rPr>
          <w:rFonts w:hint="eastAsia" w:ascii="仿宋_GB2312" w:hAnsi="ˎ̥" w:eastAsia="仿宋_GB2312" w:cs="仿宋_GB2312"/>
          <w:b/>
          <w:bCs/>
          <w:color w:val="auto"/>
          <w:kern w:val="0"/>
          <w:sz w:val="32"/>
          <w:szCs w:val="32"/>
          <w:lang w:eastAsia="zh-CN"/>
        </w:rPr>
        <w:tab/>
      </w:r>
      <w:r>
        <w:rPr>
          <w:rFonts w:hint="default" w:ascii="仿宋_GB2312" w:hAnsi="ˎ̥" w:eastAsia="仿宋_GB2312" w:cs="仿宋_GB2312"/>
          <w:b/>
          <w:bCs/>
          <w:color w:val="auto"/>
          <w:kern w:val="0"/>
          <w:sz w:val="32"/>
          <w:szCs w:val="32"/>
        </w:rPr>
        <w:t>社会保障和就业支出类。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1347" w:firstLine="640" w:firstLineChars="200"/>
        <w:textAlignment w:val="auto"/>
        <w:rPr>
          <w:rFonts w:hint="default" w:ascii="仿宋_GB2312" w:hAnsi="ˎ̥" w:eastAsia="仿宋_GB2312" w:cs="仿宋_GB2312"/>
          <w:color w:val="auto"/>
          <w:kern w:val="0"/>
          <w:sz w:val="32"/>
          <w:szCs w:val="32"/>
        </w:rPr>
      </w:pPr>
      <w:r>
        <w:rPr>
          <w:rFonts w:hint="default" w:ascii="仿宋_GB2312" w:hAnsi="ˎ̥" w:eastAsia="仿宋_GB2312" w:cs="仿宋_GB2312"/>
          <w:color w:val="auto"/>
          <w:kern w:val="0"/>
          <w:sz w:val="32"/>
          <w:szCs w:val="32"/>
        </w:rPr>
        <w:t>年初预算为</w:t>
      </w:r>
      <w:r>
        <w:rPr>
          <w:rFonts w:hint="eastAsia" w:ascii="仿宋_GB2312" w:hAnsi="ˎ̥" w:eastAsia="仿宋_GB2312" w:cs="仿宋_GB2312"/>
          <w:color w:val="auto"/>
          <w:kern w:val="0"/>
          <w:sz w:val="32"/>
          <w:szCs w:val="32"/>
          <w:lang w:val="en-US" w:eastAsia="zh-CN"/>
        </w:rPr>
        <w:t>86.42</w:t>
      </w:r>
      <w:r>
        <w:rPr>
          <w:rFonts w:hint="default" w:ascii="仿宋_GB2312" w:hAnsi="ˎ̥" w:eastAsia="仿宋_GB2312" w:cs="仿宋_GB2312"/>
          <w:color w:val="auto"/>
          <w:kern w:val="0"/>
          <w:sz w:val="32"/>
          <w:szCs w:val="32"/>
        </w:rPr>
        <w:t>万元，支出决算为</w:t>
      </w:r>
      <w:r>
        <w:rPr>
          <w:rFonts w:hint="eastAsia" w:ascii="仿宋_GB2312" w:hAnsi="ˎ̥" w:eastAsia="仿宋_GB2312" w:cs="仿宋_GB2312"/>
          <w:color w:val="auto"/>
          <w:kern w:val="0"/>
          <w:sz w:val="32"/>
          <w:szCs w:val="32"/>
          <w:lang w:val="en-US" w:eastAsia="zh-CN"/>
        </w:rPr>
        <w:t>89.86</w:t>
      </w:r>
      <w:r>
        <w:rPr>
          <w:rFonts w:hint="default" w:ascii="仿宋_GB2312" w:hAnsi="ˎ̥" w:eastAsia="仿宋_GB2312" w:cs="仿宋_GB2312"/>
          <w:color w:val="auto"/>
          <w:kern w:val="0"/>
          <w:sz w:val="32"/>
          <w:szCs w:val="32"/>
        </w:rPr>
        <w:t>万元，完成年初预算的</w:t>
      </w:r>
      <w:r>
        <w:rPr>
          <w:rFonts w:hint="eastAsia" w:ascii="仿宋_GB2312" w:hAnsi="ˎ̥" w:eastAsia="仿宋_GB2312" w:cs="仿宋_GB2312"/>
          <w:color w:val="auto"/>
          <w:kern w:val="0"/>
          <w:sz w:val="32"/>
          <w:szCs w:val="32"/>
          <w:lang w:val="en-US" w:eastAsia="zh-CN"/>
        </w:rPr>
        <w:t>103.98</w:t>
      </w:r>
      <w:r>
        <w:rPr>
          <w:rFonts w:hint="default" w:ascii="仿宋_GB2312" w:hAnsi="ˎ̥" w:eastAsia="仿宋_GB2312" w:cs="仿宋_GB2312"/>
          <w:color w:val="auto"/>
          <w:kern w:val="0"/>
          <w:sz w:val="32"/>
          <w:szCs w:val="32"/>
        </w:rPr>
        <w:t>%。决算数</w:t>
      </w:r>
      <w:r>
        <w:rPr>
          <w:rFonts w:hint="eastAsia" w:ascii="仿宋_GB2312" w:hAnsi="ˎ̥" w:eastAsia="仿宋_GB2312" w:cs="仿宋_GB2312"/>
          <w:color w:val="auto"/>
          <w:kern w:val="0"/>
          <w:sz w:val="32"/>
          <w:szCs w:val="32"/>
          <w:lang w:val="en-US" w:eastAsia="zh-CN"/>
        </w:rPr>
        <w:t>大</w:t>
      </w:r>
      <w:r>
        <w:rPr>
          <w:rFonts w:hint="default" w:ascii="仿宋_GB2312" w:hAnsi="ˎ̥" w:eastAsia="仿宋_GB2312" w:cs="仿宋_GB2312"/>
          <w:color w:val="auto"/>
          <w:kern w:val="0"/>
          <w:sz w:val="32"/>
          <w:szCs w:val="32"/>
        </w:rPr>
        <w:t>于预算数的主要原因：为事业单位医疗上缴标准调整。</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1347"/>
        <w:textAlignment w:val="auto"/>
        <w:rPr>
          <w:rFonts w:hint="default" w:ascii="仿宋_GB2312" w:hAnsi="ˎ̥" w:eastAsia="仿宋_GB2312" w:cs="仿宋_GB2312"/>
          <w:color w:val="auto"/>
          <w:kern w:val="0"/>
          <w:sz w:val="32"/>
          <w:szCs w:val="32"/>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90" w:lineRule="exact"/>
        <w:ind w:leftChars="0"/>
        <w:textAlignment w:val="auto"/>
        <w:rPr>
          <w:rFonts w:hint="default" w:ascii="仿宋_GB2312" w:hAnsi="ˎ̥" w:eastAsia="仿宋_GB2312" w:cs="仿宋_GB2312"/>
          <w:b/>
          <w:bCs/>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lang w:val="en-US" w:eastAsia="zh-CN"/>
        </w:rPr>
        <w:t>3、</w:t>
      </w:r>
      <w:r>
        <w:rPr>
          <w:rFonts w:hint="default" w:ascii="仿宋_GB2312" w:hAnsi="ˎ̥" w:eastAsia="仿宋_GB2312" w:cs="仿宋_GB2312"/>
          <w:color w:val="auto"/>
          <w:kern w:val="0"/>
          <w:sz w:val="32"/>
          <w:szCs w:val="32"/>
          <w:shd w:val="clear" w:color="auto" w:fill="FFFFFF"/>
        </w:rPr>
        <w:t>卫生</w:t>
      </w:r>
      <w:r>
        <w:rPr>
          <w:rFonts w:hint="default" w:ascii="仿宋_GB2312" w:hAnsi="ˎ̥" w:eastAsia="仿宋_GB2312" w:cs="仿宋_GB2312"/>
          <w:b/>
          <w:bCs/>
          <w:color w:val="auto"/>
          <w:kern w:val="0"/>
          <w:sz w:val="32"/>
          <w:szCs w:val="32"/>
          <w:shd w:val="clear" w:color="auto" w:fill="FFFFFF"/>
        </w:rPr>
        <w:t>健康支出（类）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1347" w:firstLine="642"/>
        <w:textAlignment w:val="auto"/>
        <w:rPr>
          <w:rFonts w:hint="default" w:ascii="仿宋_GB2312" w:hAnsi="ˎ̥" w:eastAsia="仿宋_GB2312" w:cs="仿宋_GB2312"/>
          <w:color w:val="auto"/>
          <w:kern w:val="0"/>
          <w:sz w:val="32"/>
          <w:szCs w:val="32"/>
        </w:rPr>
      </w:pPr>
      <w:r>
        <w:rPr>
          <w:rFonts w:hint="default" w:ascii="仿宋_GB2312" w:hAnsi="ˎ̥" w:eastAsia="仿宋_GB2312" w:cs="仿宋_GB2312"/>
          <w:color w:val="auto"/>
          <w:kern w:val="0"/>
          <w:sz w:val="32"/>
          <w:szCs w:val="32"/>
        </w:rPr>
        <w:t>年初预算为</w:t>
      </w:r>
      <w:r>
        <w:rPr>
          <w:rFonts w:hint="eastAsia" w:ascii="仿宋_GB2312" w:hAnsi="ˎ̥" w:eastAsia="仿宋_GB2312" w:cs="仿宋_GB2312"/>
          <w:color w:val="auto"/>
          <w:kern w:val="0"/>
          <w:sz w:val="32"/>
          <w:szCs w:val="32"/>
          <w:lang w:val="en-US" w:eastAsia="zh-CN"/>
        </w:rPr>
        <w:t>142.90</w:t>
      </w:r>
      <w:r>
        <w:rPr>
          <w:rFonts w:hint="default" w:ascii="仿宋_GB2312" w:hAnsi="ˎ̥" w:eastAsia="仿宋_GB2312" w:cs="仿宋_GB2312"/>
          <w:color w:val="auto"/>
          <w:kern w:val="0"/>
          <w:sz w:val="32"/>
          <w:szCs w:val="32"/>
        </w:rPr>
        <w:t>万元，支出决算为</w:t>
      </w:r>
      <w:r>
        <w:rPr>
          <w:rFonts w:hint="eastAsia" w:ascii="仿宋_GB2312" w:hAnsi="ˎ̥" w:eastAsia="仿宋_GB2312" w:cs="仿宋_GB2312"/>
          <w:color w:val="auto"/>
          <w:kern w:val="0"/>
          <w:sz w:val="32"/>
          <w:szCs w:val="32"/>
          <w:lang w:val="en-US" w:eastAsia="zh-CN"/>
        </w:rPr>
        <w:t>61.95</w:t>
      </w:r>
      <w:r>
        <w:rPr>
          <w:rFonts w:hint="default" w:ascii="仿宋_GB2312" w:hAnsi="ˎ̥" w:eastAsia="仿宋_GB2312" w:cs="仿宋_GB2312"/>
          <w:color w:val="auto"/>
          <w:kern w:val="0"/>
          <w:sz w:val="32"/>
          <w:szCs w:val="32"/>
        </w:rPr>
        <w:t>万元，完成年初预算的</w:t>
      </w:r>
      <w:r>
        <w:rPr>
          <w:rFonts w:hint="eastAsia" w:ascii="仿宋_GB2312" w:hAnsi="ˎ̥" w:eastAsia="仿宋_GB2312" w:cs="仿宋_GB2312"/>
          <w:color w:val="auto"/>
          <w:kern w:val="0"/>
          <w:sz w:val="32"/>
          <w:szCs w:val="32"/>
          <w:lang w:val="en-US" w:eastAsia="zh-CN"/>
        </w:rPr>
        <w:t>43.35</w:t>
      </w:r>
      <w:r>
        <w:rPr>
          <w:rFonts w:hint="default" w:ascii="仿宋_GB2312" w:hAnsi="ˎ̥" w:eastAsia="仿宋_GB2312" w:cs="仿宋_GB2312"/>
          <w:color w:val="auto"/>
          <w:kern w:val="0"/>
          <w:sz w:val="32"/>
          <w:szCs w:val="32"/>
        </w:rPr>
        <w:t>%。决算数</w:t>
      </w:r>
      <w:r>
        <w:rPr>
          <w:rFonts w:hint="eastAsia" w:ascii="仿宋_GB2312" w:hAnsi="ˎ̥" w:eastAsia="仿宋_GB2312" w:cs="仿宋_GB2312"/>
          <w:color w:val="auto"/>
          <w:kern w:val="0"/>
          <w:sz w:val="32"/>
          <w:szCs w:val="32"/>
          <w:lang w:val="en-US" w:eastAsia="zh-CN"/>
        </w:rPr>
        <w:t>小</w:t>
      </w:r>
      <w:r>
        <w:rPr>
          <w:rFonts w:hint="default" w:ascii="仿宋_GB2312" w:hAnsi="ˎ̥" w:eastAsia="仿宋_GB2312" w:cs="仿宋_GB2312"/>
          <w:color w:val="auto"/>
          <w:kern w:val="0"/>
          <w:sz w:val="32"/>
          <w:szCs w:val="32"/>
        </w:rPr>
        <w:t>于预算数的主要原因：年初预算没有安排，人员</w:t>
      </w:r>
      <w:r>
        <w:rPr>
          <w:rFonts w:hint="eastAsia" w:ascii="仿宋_GB2312" w:hAnsi="ˎ̥" w:eastAsia="仿宋_GB2312" w:cs="仿宋_GB2312"/>
          <w:color w:val="auto"/>
          <w:kern w:val="0"/>
          <w:sz w:val="32"/>
          <w:szCs w:val="32"/>
          <w:lang w:val="en-US" w:eastAsia="zh-CN"/>
        </w:rPr>
        <w:t>经费减少</w:t>
      </w:r>
      <w:r>
        <w:rPr>
          <w:rFonts w:hint="default" w:ascii="仿宋_GB2312" w:hAnsi="ˎ̥" w:eastAsia="仿宋_GB2312" w:cs="仿宋_GB2312"/>
          <w:color w:val="auto"/>
          <w:kern w:val="0"/>
          <w:sz w:val="32"/>
          <w:szCs w:val="32"/>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90" w:lineRule="exact"/>
        <w:ind w:leftChars="0"/>
        <w:textAlignment w:val="auto"/>
        <w:rPr>
          <w:rFonts w:hint="default" w:ascii="仿宋_GB2312" w:hAnsi="ˎ̥" w:eastAsia="仿宋_GB2312" w:cs="宋体"/>
          <w:color w:val="auto"/>
          <w:kern w:val="0"/>
          <w:sz w:val="32"/>
          <w:szCs w:val="32"/>
        </w:rPr>
      </w:pPr>
      <w:r>
        <w:rPr>
          <w:rFonts w:hint="eastAsia" w:ascii="仿宋_GB2312" w:hAnsi="ˎ̥" w:eastAsia="仿宋_GB2312" w:cs="仿宋_GB2312"/>
          <w:b/>
          <w:bCs/>
          <w:color w:val="auto"/>
          <w:kern w:val="0"/>
          <w:sz w:val="32"/>
          <w:szCs w:val="32"/>
          <w:lang w:val="en-US" w:eastAsia="zh-CN"/>
        </w:rPr>
        <w:t>4、</w:t>
      </w:r>
      <w:r>
        <w:rPr>
          <w:rFonts w:hint="default" w:ascii="仿宋_GB2312" w:hAnsi="ˎ̥" w:eastAsia="仿宋_GB2312" w:cs="仿宋_GB2312"/>
          <w:b/>
          <w:bCs/>
          <w:color w:val="auto"/>
          <w:kern w:val="0"/>
          <w:sz w:val="32"/>
          <w:szCs w:val="32"/>
        </w:rPr>
        <w:t>住房保障支出类。</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s="仿宋_GB2312"/>
          <w:color w:val="auto"/>
          <w:kern w:val="0"/>
          <w:sz w:val="32"/>
          <w:szCs w:val="32"/>
        </w:rPr>
        <w:t>年初预算为</w:t>
      </w:r>
      <w:r>
        <w:rPr>
          <w:rFonts w:hint="eastAsia" w:ascii="仿宋_GB2312" w:hAnsi="ˎ̥" w:eastAsia="仿宋_GB2312" w:cs="仿宋_GB2312"/>
          <w:color w:val="auto"/>
          <w:kern w:val="0"/>
          <w:sz w:val="32"/>
          <w:szCs w:val="32"/>
          <w:lang w:val="en-US" w:eastAsia="zh-CN"/>
        </w:rPr>
        <w:t>48.05</w:t>
      </w:r>
      <w:r>
        <w:rPr>
          <w:rFonts w:hint="default" w:ascii="仿宋_GB2312" w:hAnsi="ˎ̥" w:eastAsia="仿宋_GB2312" w:cs="仿宋_GB2312"/>
          <w:color w:val="auto"/>
          <w:kern w:val="0"/>
          <w:sz w:val="32"/>
          <w:szCs w:val="32"/>
        </w:rPr>
        <w:t>万元，支出决算为</w:t>
      </w:r>
      <w:r>
        <w:rPr>
          <w:rFonts w:hint="eastAsia" w:ascii="仿宋_GB2312" w:hAnsi="ˎ̥" w:eastAsia="仿宋_GB2312" w:cs="仿宋_GB2312"/>
          <w:color w:val="auto"/>
          <w:kern w:val="0"/>
          <w:sz w:val="32"/>
          <w:szCs w:val="32"/>
          <w:lang w:val="en-US" w:eastAsia="zh-CN"/>
        </w:rPr>
        <w:t>39.53</w:t>
      </w:r>
      <w:r>
        <w:rPr>
          <w:rFonts w:hint="default" w:ascii="仿宋_GB2312" w:hAnsi="ˎ̥" w:eastAsia="仿宋_GB2312" w:cs="仿宋_GB2312"/>
          <w:color w:val="auto"/>
          <w:kern w:val="0"/>
          <w:sz w:val="32"/>
          <w:szCs w:val="32"/>
        </w:rPr>
        <w:t>万元，完成年初预算的</w:t>
      </w:r>
      <w:r>
        <w:rPr>
          <w:rFonts w:hint="eastAsia" w:ascii="仿宋_GB2312" w:hAnsi="ˎ̥" w:eastAsia="仿宋_GB2312" w:cs="仿宋_GB2312"/>
          <w:color w:val="auto"/>
          <w:kern w:val="0"/>
          <w:sz w:val="32"/>
          <w:szCs w:val="32"/>
          <w:lang w:val="en-US" w:eastAsia="zh-CN"/>
        </w:rPr>
        <w:t>82.26</w:t>
      </w:r>
      <w:r>
        <w:rPr>
          <w:rFonts w:hint="default" w:ascii="仿宋_GB2312" w:hAnsi="ˎ̥" w:eastAsia="仿宋_GB2312" w:cs="仿宋_GB2312"/>
          <w:color w:val="auto"/>
          <w:kern w:val="0"/>
          <w:sz w:val="32"/>
          <w:szCs w:val="32"/>
        </w:rPr>
        <w:t>%。决算数</w:t>
      </w:r>
      <w:r>
        <w:rPr>
          <w:rFonts w:hint="eastAsia" w:ascii="仿宋_GB2312" w:hAnsi="ˎ̥" w:eastAsia="仿宋_GB2312" w:cs="仿宋_GB2312"/>
          <w:color w:val="auto"/>
          <w:kern w:val="0"/>
          <w:sz w:val="32"/>
          <w:szCs w:val="32"/>
          <w:lang w:val="en-US" w:eastAsia="zh-CN"/>
        </w:rPr>
        <w:t>小</w:t>
      </w:r>
      <w:r>
        <w:rPr>
          <w:rFonts w:hint="default" w:ascii="仿宋_GB2312" w:hAnsi="ˎ̥" w:eastAsia="仿宋_GB2312" w:cs="仿宋_GB2312"/>
          <w:color w:val="auto"/>
          <w:kern w:val="0"/>
          <w:sz w:val="32"/>
          <w:szCs w:val="32"/>
        </w:rPr>
        <w:t>于预算数的主要原因：一是经费核算基数略有差额；二是单位职业年金未清算结转下年。</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551.73</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544.18</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7.55</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beforeAutospacing="0" w:afterAutospacing="0" w:line="59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default" w:ascii="仿宋_GB2312" w:hAnsi="ˎ̥" w:eastAsia="仿宋_GB2312" w:cs="仿宋_GB2312"/>
          <w:color w:val="auto"/>
          <w:kern w:val="0"/>
          <w:sz w:val="32"/>
          <w:szCs w:val="32"/>
          <w:shd w:val="clear" w:color="auto" w:fill="FFFFFF"/>
        </w:rPr>
        <w:t>没有政府性基金预算财政拨款</w:t>
      </w:r>
      <w:r>
        <w:rPr>
          <w:rFonts w:hint="default" w:ascii="仿宋_GB2312" w:hAnsi="ˎ̥" w:eastAsia="仿宋_GB2312" w:cs="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r>
        <w:rPr>
          <w:rFonts w:hint="eastAsia" w:ascii="仿宋_GB2312" w:hAnsi="ˎ̥" w:eastAsia="仿宋_GB2312"/>
          <w:color w:val="auto"/>
          <w:sz w:val="32"/>
          <w:szCs w:val="32"/>
          <w:lang w:val="en-US" w:eastAsia="zh-CN"/>
        </w:rPr>
        <w:t>无。</w:t>
      </w:r>
    </w:p>
    <w:p>
      <w:pPr>
        <w:keepNext w:val="0"/>
        <w:keepLines w:val="0"/>
        <w:pageBreakBefore w:val="0"/>
        <w:widowControl w:val="0"/>
        <w:tabs>
          <w:tab w:val="center" w:pos="4473"/>
        </w:tabs>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beforeAutospacing="0" w:afterAutospacing="0" w:line="59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p>
    <w:p>
      <w:pPr>
        <w:keepNext w:val="0"/>
        <w:keepLines w:val="0"/>
        <w:pageBreakBefore w:val="0"/>
        <w:widowControl w:val="0"/>
        <w:tabs>
          <w:tab w:val="center" w:pos="4473"/>
        </w:tabs>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辆，主要用于……，年末公务用车保有量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共涉及资金0万元，占一般公共预算项目支出总额的0%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从评价情况来看，……（预算</w:t>
      </w:r>
      <w:r>
        <w:rPr>
          <w:rFonts w:hint="eastAsia" w:ascii="仿宋_GB2312" w:eastAsia="仿宋_GB2312"/>
          <w:color w:val="auto"/>
          <w:sz w:val="32"/>
          <w:szCs w:val="32"/>
          <w:lang w:eastAsia="zh-CN"/>
        </w:rPr>
        <w:t>单位</w:t>
      </w:r>
      <w:r>
        <w:rPr>
          <w:rFonts w:hint="eastAsia" w:ascii="仿宋_GB2312" w:eastAsia="仿宋_GB2312"/>
          <w:color w:val="auto"/>
          <w:sz w:val="32"/>
          <w:szCs w:val="32"/>
        </w:rPr>
        <w:t>如有，请对预算绩效评价情况进行简单说明；没有，则简要说明本年没有进行相关工作及理由。</w:t>
      </w:r>
      <w:r>
        <w:rPr>
          <w:rFonts w:hint="eastAsia" w:ascii="仿宋_GB2312" w:eastAsia="仿宋_GB2312"/>
          <w:color w:val="auto"/>
          <w:sz w:val="32"/>
          <w:szCs w:val="32"/>
          <w:lang w:eastAsia="zh-CN"/>
        </w:rPr>
        <w:t>单位</w:t>
      </w:r>
      <w:r>
        <w:rPr>
          <w:rFonts w:hint="eastAsia" w:ascii="仿宋_GB2312" w:eastAsia="仿宋_GB2312"/>
          <w:color w:val="auto"/>
          <w:sz w:val="32"/>
          <w:szCs w:val="32"/>
        </w:rPr>
        <w:t>所属单位不需填写此项）。</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参照如下格式说明（表述应与决算内容保持一致）：我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在</w:t>
      </w:r>
      <w:r>
        <w:rPr>
          <w:rFonts w:hint="eastAsia" w:ascii="仿宋_GB2312" w:eastAsia="仿宋_GB2312"/>
          <w:color w:val="auto"/>
          <w:sz w:val="32"/>
          <w:szCs w:val="32"/>
          <w:lang w:eastAsia="zh-CN"/>
        </w:rPr>
        <w:t>单位</w:t>
      </w:r>
      <w:r>
        <w:rPr>
          <w:rFonts w:hint="eastAsia" w:ascii="仿宋_GB2312" w:eastAsia="仿宋_GB2312"/>
          <w:color w:val="auto"/>
          <w:sz w:val="32"/>
          <w:szCs w:val="32"/>
        </w:rPr>
        <w:t>决算中反映</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00</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0</w:t>
      </w:r>
      <w:r>
        <w:rPr>
          <w:rFonts w:hint="eastAsia" w:ascii="仿宋_GB2312" w:eastAsia="仿宋_GB2312"/>
          <w:color w:val="auto"/>
          <w:sz w:val="32"/>
          <w:szCs w:val="32"/>
        </w:rPr>
        <w:t>项目绩效自评表：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可作为附件附后</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0</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%。项目绩效目标完成情况：一是</w:t>
      </w:r>
      <w:r>
        <w:rPr>
          <w:rFonts w:hint="eastAsia" w:ascii="仿宋_GB2312" w:eastAsia="仿宋_GB2312"/>
          <w:color w:val="auto"/>
          <w:sz w:val="32"/>
          <w:szCs w:val="32"/>
          <w:lang w:val="en-US" w:eastAsia="zh-CN"/>
        </w:rPr>
        <w:t>:无</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:无</w:t>
      </w:r>
      <w:r>
        <w:rPr>
          <w:rFonts w:hint="eastAsia" w:ascii="仿宋_GB2312" w:eastAsia="仿宋_GB2312"/>
          <w:color w:val="auto"/>
          <w:sz w:val="32"/>
          <w:szCs w:val="32"/>
        </w:rPr>
        <w:t>。发现的主要问题及原因：一是</w:t>
      </w:r>
      <w:r>
        <w:rPr>
          <w:rFonts w:hint="eastAsia" w:ascii="仿宋_GB2312" w:eastAsia="仿宋_GB2312"/>
          <w:color w:val="auto"/>
          <w:sz w:val="32"/>
          <w:szCs w:val="32"/>
          <w:lang w:val="en-US" w:eastAsia="zh-CN"/>
        </w:rPr>
        <w:t>:无</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:无</w:t>
      </w:r>
      <w:r>
        <w:rPr>
          <w:rFonts w:hint="eastAsia" w:ascii="仿宋_GB2312" w:eastAsia="仿宋_GB2312"/>
          <w:color w:val="auto"/>
          <w:sz w:val="32"/>
          <w:szCs w:val="32"/>
        </w:rPr>
        <w:t>。下一步改进措施：一是</w:t>
      </w:r>
      <w:r>
        <w:rPr>
          <w:rFonts w:hint="eastAsia" w:ascii="仿宋_GB2312" w:eastAsia="仿宋_GB2312"/>
          <w:color w:val="auto"/>
          <w:sz w:val="32"/>
          <w:szCs w:val="32"/>
          <w:lang w:val="en-US" w:eastAsia="zh-CN"/>
        </w:rPr>
        <w:t>:无</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:无</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eastAsia="仿宋_GB2312"/>
          <w:color w:val="auto"/>
          <w:sz w:val="32"/>
          <w:szCs w:val="32"/>
        </w:rPr>
      </w:pP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评价项目数量在3个以内的，至少将1个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评价项目数量大于3个的，至少将2个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eastAsia="仿宋_GB2312"/>
          <w:color w:val="auto"/>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zh-CN"/>
        </w:rPr>
        <w:t>反映财政单位组织开展的预算单位重点项目财政评价情况，如有，可将评价报告附后。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bCs/>
          <w:color w:val="auto"/>
          <w:sz w:val="32"/>
          <w:szCs w:val="32"/>
        </w:rPr>
      </w:pPr>
      <w:bookmarkStart w:id="95" w:name="_Toc23598_WPSOffice_Level2"/>
      <w:bookmarkStart w:id="96" w:name="_Toc15262_WPSOffice_Level2"/>
      <w:bookmarkStart w:id="97" w:name="_Toc5978_WPSOffice_Level2"/>
      <w:bookmarkStart w:id="98" w:name="_Toc15565_WPSOffice_Level2"/>
      <w:bookmarkStart w:id="99" w:name="_Toc32639_WPSOffice_Level2"/>
      <w:bookmarkStart w:id="100" w:name="_Toc18325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 xml:space="preserve">办公设施设备购置经费增加（减少）/资产运行维护支出增加（减少）/信息系统运行维护支出增加（减少）/人员编制数量增加（减少）/落实过紧日子要求压减 </w:t>
      </w:r>
      <w:r>
        <w:rPr>
          <w:rFonts w:hint="eastAsia" w:ascii="仿宋_GB2312" w:hAnsi="ˎ̥" w:eastAsia="仿宋_GB2312"/>
          <w:color w:val="auto"/>
          <w:sz w:val="32"/>
          <w:szCs w:val="32"/>
          <w:lang w:val="en-US" w:eastAsia="zh-CN" w:bidi="ar"/>
        </w:rPr>
        <w:t>0</w:t>
      </w:r>
      <w:r>
        <w:rPr>
          <w:rFonts w:hint="eastAsia" w:ascii="仿宋_GB2312" w:hAnsi="ˎ̥" w:eastAsia="仿宋_GB2312"/>
          <w:color w:val="auto"/>
          <w:sz w:val="32"/>
          <w:szCs w:val="32"/>
          <w:lang w:bidi="ar"/>
        </w:rPr>
        <w:t xml:space="preserve"> 支出/……等</w:t>
      </w:r>
      <w:r>
        <w:rPr>
          <w:rFonts w:hint="eastAsia" w:ascii="仿宋_GB2312" w:hAnsi="ˎ̥" w:eastAsia="仿宋_GB2312"/>
          <w:color w:val="auto"/>
          <w:sz w:val="32"/>
          <w:szCs w:val="32"/>
        </w:rPr>
        <w:t>（具体增减原因由</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bCs/>
          <w:color w:val="auto"/>
          <w:sz w:val="32"/>
          <w:szCs w:val="32"/>
        </w:rPr>
      </w:pPr>
      <w:bookmarkStart w:id="101" w:name="_Toc25333_WPSOffice_Level2"/>
      <w:bookmarkStart w:id="102" w:name="_Toc30383_WPSOffice_Level2"/>
      <w:bookmarkStart w:id="103" w:name="_Toc3131_WPSOffice_Level2"/>
      <w:bookmarkStart w:id="104" w:name="_Toc23966_WPSOffice_Level2"/>
      <w:bookmarkStart w:id="105" w:name="_Toc32689_WPSOffice_Level2"/>
      <w:bookmarkStart w:id="106" w:name="_Toc13084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楷体" w:hAnsi="楷体" w:eastAsia="楷体" w:cs="楷体"/>
          <w:bCs/>
          <w:color w:val="auto"/>
          <w:sz w:val="32"/>
          <w:szCs w:val="32"/>
        </w:rPr>
      </w:pPr>
      <w:bookmarkStart w:id="107" w:name="_Toc19989_WPSOffice_Level2"/>
      <w:bookmarkStart w:id="108" w:name="_Toc10902_WPSOffice_Level2"/>
      <w:bookmarkStart w:id="109" w:name="_Toc15129_WPSOffice_Level2"/>
      <w:bookmarkStart w:id="110" w:name="_Toc29584_WPSOffice_Level2"/>
      <w:bookmarkStart w:id="111" w:name="_Toc527_WPSOffice_Level2"/>
      <w:bookmarkStart w:id="112" w:name="_Toc6016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4849.5</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其中：办公用房</w:t>
      </w:r>
      <w:r>
        <w:rPr>
          <w:rFonts w:hint="eastAsia" w:ascii="仿宋_GB2312" w:hAnsi="ˎ̥" w:eastAsia="仿宋_GB2312"/>
          <w:color w:val="auto"/>
          <w:sz w:val="32"/>
          <w:szCs w:val="32"/>
          <w:lang w:val="en-US" w:eastAsia="zh-CN"/>
        </w:rPr>
        <w:t>528</w:t>
      </w:r>
      <w:r>
        <w:rPr>
          <w:rFonts w:hint="eastAsia" w:ascii="仿宋_GB2312" w:hAnsi="ˎ̥" w:eastAsia="仿宋_GB2312"/>
          <w:color w:val="auto"/>
          <w:sz w:val="32"/>
          <w:szCs w:val="32"/>
        </w:rPr>
        <w:t>平方米，业务用房</w:t>
      </w:r>
      <w:r>
        <w:rPr>
          <w:rFonts w:hint="eastAsia" w:ascii="仿宋_GB2312" w:hAnsi="ˎ̥" w:eastAsia="仿宋_GB2312"/>
          <w:color w:val="auto"/>
          <w:sz w:val="32"/>
          <w:szCs w:val="32"/>
          <w:lang w:val="en-US" w:eastAsia="zh-CN"/>
        </w:rPr>
        <w:t>1516.8</w:t>
      </w:r>
      <w:r>
        <w:rPr>
          <w:rFonts w:hint="eastAsia" w:ascii="仿宋_GB2312" w:hAnsi="ˎ̥" w:eastAsia="仿宋_GB2312"/>
          <w:color w:val="auto"/>
          <w:sz w:val="32"/>
          <w:szCs w:val="32"/>
        </w:rPr>
        <w:t>平方米，其他（不含构筑物）</w:t>
      </w:r>
      <w:r>
        <w:rPr>
          <w:rFonts w:hint="eastAsia" w:ascii="仿宋_GB2312" w:hAnsi="ˎ̥" w:eastAsia="仿宋_GB2312"/>
          <w:color w:val="auto"/>
          <w:sz w:val="32"/>
          <w:szCs w:val="32"/>
          <w:lang w:val="en-US" w:eastAsia="zh-CN"/>
        </w:rPr>
        <w:t>316.8</w:t>
      </w:r>
      <w:r>
        <w:rPr>
          <w:rFonts w:hint="eastAsia" w:ascii="仿宋_GB2312" w:hAnsi="ˎ̥" w:eastAsia="仿宋_GB2312"/>
          <w:color w:val="auto"/>
          <w:sz w:val="32"/>
          <w:szCs w:val="32"/>
        </w:rPr>
        <w:t>平方米。</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辆，其他用车主要是……。</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jc w:val="center"/>
        <w:textAlignment w:val="auto"/>
        <w:rPr>
          <w:rFonts w:hint="eastAsia" w:ascii="黑体" w:hAnsi="ˎ̥" w:eastAsia="黑体"/>
          <w:color w:val="auto"/>
          <w:sz w:val="32"/>
          <w:szCs w:val="32"/>
        </w:rPr>
      </w:pPr>
      <w:bookmarkStart w:id="113" w:name="_Toc17580_WPSOffice_Level1"/>
      <w:bookmarkStart w:id="114" w:name="_Toc4398_WPSOffice_Level1"/>
      <w:bookmarkStart w:id="115" w:name="_Toc11039_WPSOffice_Level1"/>
      <w:bookmarkStart w:id="116" w:name="_Toc8808_WPSOffice_Level1"/>
      <w:bookmarkStart w:id="117" w:name="_Toc8874_WPSOffice_Level1"/>
      <w:bookmarkStart w:id="118" w:name="_Toc15425_WPSOffice_Level1"/>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3B9E5C"/>
    <w:multiLevelType w:val="singleLevel"/>
    <w:tmpl w:val="A53B9E5C"/>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6CC9E94C"/>
    <w:multiLevelType w:val="singleLevel"/>
    <w:tmpl w:val="6CC9E94C"/>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MGU0YWMyNTJmNzNiOWYzMjBhZDE2ZTdmOGMxYTU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419E6"/>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3DA169E"/>
    <w:rsid w:val="09201287"/>
    <w:rsid w:val="0958124A"/>
    <w:rsid w:val="0FC80124"/>
    <w:rsid w:val="136F98C7"/>
    <w:rsid w:val="17427E68"/>
    <w:rsid w:val="1755065F"/>
    <w:rsid w:val="1AFC29C9"/>
    <w:rsid w:val="1CA52F2E"/>
    <w:rsid w:val="1E3630B9"/>
    <w:rsid w:val="26EEC2B5"/>
    <w:rsid w:val="28A90ABE"/>
    <w:rsid w:val="29472309"/>
    <w:rsid w:val="2B406E77"/>
    <w:rsid w:val="2C2A0C43"/>
    <w:rsid w:val="2D1E73A5"/>
    <w:rsid w:val="32563BA4"/>
    <w:rsid w:val="32717154"/>
    <w:rsid w:val="34B63260"/>
    <w:rsid w:val="35566575"/>
    <w:rsid w:val="37FDA7E2"/>
    <w:rsid w:val="3A314D88"/>
    <w:rsid w:val="3A746883"/>
    <w:rsid w:val="3B0823CC"/>
    <w:rsid w:val="3CA15DE9"/>
    <w:rsid w:val="3FE61EE5"/>
    <w:rsid w:val="406508EE"/>
    <w:rsid w:val="408D6263"/>
    <w:rsid w:val="41B40CEE"/>
    <w:rsid w:val="48317291"/>
    <w:rsid w:val="485F7024"/>
    <w:rsid w:val="48E70666"/>
    <w:rsid w:val="4C6877E5"/>
    <w:rsid w:val="4D6A468D"/>
    <w:rsid w:val="4EA86137"/>
    <w:rsid w:val="5501684B"/>
    <w:rsid w:val="56CA7FD0"/>
    <w:rsid w:val="57FA38D1"/>
    <w:rsid w:val="5F7D3333"/>
    <w:rsid w:val="60A80CEC"/>
    <w:rsid w:val="60D51392"/>
    <w:rsid w:val="61385890"/>
    <w:rsid w:val="687436E1"/>
    <w:rsid w:val="6DA45C50"/>
    <w:rsid w:val="6DE54372"/>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7126</Words>
  <Characters>7752</Characters>
  <Lines>67</Lines>
  <Paragraphs>18</Paragraphs>
  <TotalTime>10</TotalTime>
  <ScaleCrop>false</ScaleCrop>
  <LinksUpToDate>false</LinksUpToDate>
  <CharactersWithSpaces>7834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2025-10-28T00:43:02Z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