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E9079">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屯昌县屯城镇大同中心小学2024年度</w:t>
      </w:r>
    </w:p>
    <w:p w14:paraId="74C51A94">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14:paraId="00C2FF0A">
      <w:pPr>
        <w:spacing w:line="578" w:lineRule="exact"/>
        <w:jc w:val="center"/>
        <w:rPr>
          <w:rFonts w:hint="eastAsia" w:ascii="黑体" w:hAnsi="ˎ̥" w:eastAsia="黑体"/>
          <w:b/>
          <w:sz w:val="32"/>
          <w:szCs w:val="32"/>
        </w:rPr>
      </w:pPr>
    </w:p>
    <w:p w14:paraId="3092A45D">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745EF14D">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0CE2D1C2">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2265B01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5A813693">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14:paraId="335DEE90">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14:paraId="425EC837">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766DBBE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8A7E01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DFCE668">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6B08A9A">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3129926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6ED09012">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733A6C48">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6A40E090">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0067A96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5AC5830E">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3EC48371">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7BED70AC">
      <w:pPr>
        <w:spacing w:line="578" w:lineRule="exact"/>
        <w:jc w:val="both"/>
        <w:rPr>
          <w:rFonts w:hint="eastAsia" w:ascii="黑体" w:hAnsi="ˎ̥" w:eastAsia="黑体"/>
          <w:sz w:val="32"/>
          <w:szCs w:val="32"/>
        </w:rPr>
      </w:pPr>
      <w:bookmarkStart w:id="2" w:name="_Toc10720_WPSOffice_Level1"/>
      <w:bookmarkStart w:id="3" w:name="_Toc10049_WPSOffice_Level1"/>
      <w:bookmarkStart w:id="4" w:name="_Toc22941_WPSOffice_Level1"/>
      <w:bookmarkStart w:id="5" w:name="_Toc32433_WPSOffice_Level1"/>
      <w:bookmarkStart w:id="6" w:name="_Toc1704_WPSOffice_Level1"/>
      <w:bookmarkStart w:id="7" w:name="_Toc23465_WPSOffice_Level1"/>
      <w:bookmarkStart w:id="8" w:name="_Toc24238_WPSOffice_Level2"/>
      <w:bookmarkStart w:id="9" w:name="_Toc20205_WPSOffice_Level2"/>
      <w:bookmarkStart w:id="10" w:name="_Toc32622_WPSOffice_Level2"/>
      <w:bookmarkStart w:id="11" w:name="_Toc14159_WPSOffice_Level2"/>
      <w:bookmarkStart w:id="12" w:name="_Toc26580_WPSOffice_Level2"/>
      <w:bookmarkStart w:id="13" w:name="_Toc20274_WPSOffice_Level2"/>
    </w:p>
    <w:p w14:paraId="40275C9F">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7442EDDB">
      <w:pPr>
        <w:spacing w:line="578" w:lineRule="exact"/>
        <w:ind w:firstLine="640" w:firstLineChars="200"/>
        <w:rPr>
          <w:rFonts w:hint="eastAsia" w:ascii="楷体" w:hAnsi="楷体" w:eastAsia="楷体" w:cs="楷体"/>
          <w:sz w:val="32"/>
          <w:szCs w:val="32"/>
        </w:rPr>
      </w:pPr>
    </w:p>
    <w:p w14:paraId="3039EE32">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14:paraId="67B6780E">
      <w:pPr>
        <w:keepNext w:val="0"/>
        <w:keepLines w:val="0"/>
        <w:widowControl/>
        <w:suppressLineNumbers w:val="0"/>
        <w:autoSpaceDE w:val="0"/>
        <w:autoSpaceDN/>
        <w:ind w:left="0" w:firstLine="640" w:firstLineChars="200"/>
        <w:rPr>
          <w:rFonts w:hint="eastAsia" w:ascii="仿宋_GB2312" w:hAnsi="宋体" w:eastAsia="仿宋_GB2312" w:cs="仿宋_GB2312"/>
          <w:color w:val="auto"/>
          <w:kern w:val="0"/>
          <w:sz w:val="32"/>
          <w:szCs w:val="32"/>
        </w:rPr>
      </w:pPr>
      <w:bookmarkStart w:id="14" w:name="_Toc24059_WPSOffice_Level2"/>
      <w:bookmarkStart w:id="15" w:name="_Toc4833_WPSOffice_Level2"/>
      <w:bookmarkStart w:id="16" w:name="_Toc6572_WPSOffice_Level2"/>
      <w:bookmarkStart w:id="17" w:name="_Toc24474_WPSOffice_Level2"/>
      <w:bookmarkStart w:id="18" w:name="_Toc17796_WPSOffice_Level2"/>
      <w:r>
        <w:rPr>
          <w:rFonts w:hint="eastAsia" w:ascii="仿宋_GB2312" w:hAnsi="宋体" w:eastAsia="仿宋_GB2312" w:cs="仿宋_GB2312"/>
          <w:color w:val="auto"/>
          <w:kern w:val="0"/>
          <w:sz w:val="32"/>
          <w:szCs w:val="32"/>
        </w:rPr>
        <w:t>1.我校是一所乡镇中心小学，管辖区内共有4所村完全小学。我校为财政全额拨款的事业单位，也是独立预、结算单位，内设机构1个。202</w:t>
      </w:r>
      <w:r>
        <w:rPr>
          <w:rFonts w:hint="eastAsia" w:ascii="仿宋_GB2312" w:hAnsi="宋体" w:eastAsia="仿宋_GB2312" w:cs="仿宋_GB2312"/>
          <w:color w:val="auto"/>
          <w:kern w:val="0"/>
          <w:sz w:val="32"/>
          <w:szCs w:val="32"/>
          <w:lang w:val="en-US" w:eastAsia="zh-CN"/>
        </w:rPr>
        <w:t>4</w:t>
      </w:r>
      <w:r>
        <w:rPr>
          <w:rFonts w:hint="eastAsia" w:ascii="仿宋_GB2312" w:hAnsi="宋体" w:eastAsia="仿宋_GB2312" w:cs="仿宋_GB2312"/>
          <w:color w:val="auto"/>
          <w:kern w:val="0"/>
          <w:sz w:val="32"/>
          <w:szCs w:val="32"/>
        </w:rPr>
        <w:t>年年末共有教</w:t>
      </w:r>
      <w:r>
        <w:rPr>
          <w:rFonts w:hint="eastAsia" w:ascii="仿宋_GB2312" w:hAnsi="宋体" w:eastAsia="仿宋_GB2312" w:cs="仿宋_GB2312"/>
          <w:color w:val="auto"/>
          <w:kern w:val="0"/>
          <w:sz w:val="32"/>
          <w:szCs w:val="32"/>
          <w:highlight w:val="none"/>
        </w:rPr>
        <w:t>职工</w:t>
      </w:r>
      <w:r>
        <w:rPr>
          <w:rFonts w:hint="eastAsia" w:ascii="仿宋_GB2312" w:hAnsi="宋体" w:eastAsia="仿宋_GB2312" w:cs="仿宋_GB2312"/>
          <w:color w:val="auto"/>
          <w:kern w:val="0"/>
          <w:sz w:val="32"/>
          <w:szCs w:val="32"/>
          <w:highlight w:val="none"/>
          <w:lang w:val="en-US" w:eastAsia="zh-CN"/>
        </w:rPr>
        <w:t>99</w:t>
      </w:r>
      <w:r>
        <w:rPr>
          <w:rFonts w:hint="eastAsia" w:ascii="仿宋_GB2312" w:hAnsi="宋体" w:eastAsia="仿宋_GB2312" w:cs="仿宋_GB2312"/>
          <w:color w:val="auto"/>
          <w:kern w:val="0"/>
          <w:sz w:val="32"/>
          <w:szCs w:val="32"/>
          <w:highlight w:val="none"/>
        </w:rPr>
        <w:t>人，</w:t>
      </w:r>
      <w:r>
        <w:rPr>
          <w:rFonts w:hint="eastAsia" w:ascii="仿宋_GB2312" w:hAnsi="宋体" w:eastAsia="仿宋_GB2312" w:cs="仿宋_GB2312"/>
          <w:color w:val="auto"/>
          <w:kern w:val="0"/>
          <w:sz w:val="32"/>
          <w:szCs w:val="32"/>
        </w:rPr>
        <w:t>在校学生</w:t>
      </w:r>
      <w:r>
        <w:rPr>
          <w:rFonts w:hint="eastAsia" w:ascii="仿宋_GB2312" w:hAnsi="宋体" w:eastAsia="仿宋_GB2312" w:cs="仿宋_GB2312"/>
          <w:color w:val="auto"/>
          <w:kern w:val="0"/>
          <w:sz w:val="32"/>
          <w:szCs w:val="32"/>
          <w:lang w:val="en-US" w:eastAsia="zh-CN"/>
        </w:rPr>
        <w:t>738</w:t>
      </w:r>
      <w:r>
        <w:rPr>
          <w:rFonts w:hint="eastAsia" w:ascii="仿宋_GB2312" w:hAnsi="宋体" w:eastAsia="仿宋_GB2312" w:cs="仿宋_GB2312"/>
          <w:color w:val="auto"/>
          <w:kern w:val="0"/>
          <w:sz w:val="32"/>
          <w:szCs w:val="32"/>
        </w:rPr>
        <w:t>人。</w:t>
      </w:r>
    </w:p>
    <w:p w14:paraId="21DF718F">
      <w:pPr>
        <w:keepNext w:val="0"/>
        <w:keepLines w:val="0"/>
        <w:widowControl/>
        <w:suppressLineNumbers w:val="0"/>
        <w:autoSpaceDE w:val="0"/>
        <w:autoSpaceDN/>
        <w:spacing w:before="0" w:beforeAutospacing="0" w:after="0" w:afterAutospacing="0"/>
        <w:ind w:left="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2.贯彻执行国家和省政府关于教育工作的方针、政策和法规,教书育人为本地区教育服务。</w:t>
      </w:r>
    </w:p>
    <w:p w14:paraId="033F37E6">
      <w:pPr>
        <w:keepNext w:val="0"/>
        <w:keepLines w:val="0"/>
        <w:widowControl/>
        <w:suppressLineNumbers w:val="0"/>
        <w:autoSpaceDE w:val="0"/>
        <w:autoSpaceDN/>
        <w:spacing w:before="0" w:beforeAutospacing="0" w:after="0" w:afterAutospacing="0"/>
        <w:ind w:left="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3.研究拟订本中心学校教育改革与发展战略和教育事业发展规划、年度计划;制定教育体制改革政策以及教育事业的发展重点、结构、规模、速度和步骤,并负责指导、协调、督促实施;负责本校教育信息的统计工作。</w:t>
      </w:r>
    </w:p>
    <w:p w14:paraId="53E8F5C2">
      <w:pPr>
        <w:keepNext w:val="0"/>
        <w:keepLines w:val="0"/>
        <w:widowControl/>
        <w:suppressLineNumbers w:val="0"/>
        <w:autoSpaceDE w:val="0"/>
        <w:autoSpaceDN/>
        <w:spacing w:before="0" w:beforeAutospacing="0" w:after="0" w:afterAutospacing="0"/>
        <w:ind w:left="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4.教育系统的纪检、监察、审计、统战、老干部和群团工作。</w:t>
      </w:r>
    </w:p>
    <w:p w14:paraId="6A629208">
      <w:pPr>
        <w:keepNext w:val="0"/>
        <w:keepLines w:val="0"/>
        <w:widowControl/>
        <w:suppressLineNumbers w:val="0"/>
        <w:autoSpaceDE w:val="0"/>
        <w:autoSpaceDN/>
        <w:spacing w:before="0" w:beforeAutospacing="0" w:after="0" w:afterAutospacing="0"/>
        <w:ind w:left="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5.综合管理本中心校基础教育、幼儿教育、特殊教育远程教育等工作。</w:t>
      </w:r>
    </w:p>
    <w:p w14:paraId="0A8C1FB2">
      <w:pPr>
        <w:keepNext w:val="0"/>
        <w:keepLines w:val="0"/>
        <w:widowControl/>
        <w:suppressLineNumbers w:val="0"/>
        <w:autoSpaceDE w:val="0"/>
        <w:autoSpaceDN/>
        <w:spacing w:before="0" w:beforeAutospacing="0" w:after="0" w:afterAutospacing="0"/>
        <w:ind w:left="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6.协调指导各完小校教育体制、办学体制及学校内部管理及本校的培训。</w:t>
      </w:r>
    </w:p>
    <w:p w14:paraId="273290E6">
      <w:pPr>
        <w:keepNext w:val="0"/>
        <w:keepLines w:val="0"/>
        <w:widowControl/>
        <w:suppressLineNumbers w:val="0"/>
        <w:autoSpaceDE w:val="0"/>
        <w:autoSpaceDN/>
        <w:spacing w:before="0" w:beforeAutospacing="0" w:after="0" w:afterAutospacing="0"/>
        <w:ind w:left="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7.统筹管理本中心小学教育经费;及非税收入经费管理。</w:t>
      </w:r>
    </w:p>
    <w:p w14:paraId="6A18E8AC">
      <w:pPr>
        <w:keepNext w:val="0"/>
        <w:keepLines w:val="0"/>
        <w:widowControl/>
        <w:suppressLineNumbers w:val="0"/>
        <w:autoSpaceDE w:val="0"/>
        <w:autoSpaceDN/>
        <w:spacing w:before="0" w:beforeAutospacing="0" w:after="0" w:afterAutospacing="0"/>
        <w:ind w:left="0" w:right="0" w:rightChars="0" w:firstLine="640" w:firstLineChars="200"/>
        <w:jc w:val="left"/>
        <w:rPr>
          <w:rFonts w:hint="eastAsia" w:ascii="黑体" w:hAnsi="黑体" w:eastAsia="黑体" w:cs="黑体"/>
          <w:sz w:val="32"/>
          <w:szCs w:val="32"/>
        </w:rPr>
      </w:pPr>
      <w:r>
        <w:rPr>
          <w:rFonts w:hint="eastAsia" w:ascii="仿宋_GB2312" w:hAnsi="ˎ̥" w:eastAsia="仿宋_GB2312" w:cs="仿宋_GB2312"/>
          <w:color w:val="auto"/>
          <w:kern w:val="0"/>
          <w:sz w:val="32"/>
          <w:szCs w:val="32"/>
          <w:shd w:val="clear" w:color="auto" w:fill="FFFFFF"/>
        </w:rPr>
        <w:t xml:space="preserve">8.主管全中心小学教师工作。负责教师资格认定管理工作、继续教育培训工作。 </w:t>
      </w:r>
    </w:p>
    <w:p w14:paraId="2039FF58">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14:paraId="3E4FDEE8">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纳入屯昌县屯城镇大同中心小学</w:t>
      </w:r>
      <w:r>
        <w:rPr>
          <w:rFonts w:hint="eastAsia" w:ascii="仿宋_GB2312" w:hAnsi="ˎ̥" w:eastAsia="仿宋_GB2312" w:cs="仿宋_GB2312"/>
          <w:color w:val="auto"/>
          <w:kern w:val="0"/>
          <w:sz w:val="32"/>
          <w:szCs w:val="32"/>
          <w:shd w:val="clear" w:color="auto" w:fill="FFFFFF"/>
          <w:lang w:eastAsia="zh-CN"/>
        </w:rPr>
        <w:t>单位</w:t>
      </w:r>
      <w:r>
        <w:rPr>
          <w:rFonts w:hint="eastAsia" w:ascii="仿宋_GB2312" w:hAnsi="ˎ̥" w:eastAsia="仿宋_GB2312" w:cs="仿宋_GB2312"/>
          <w:color w:val="auto"/>
          <w:kern w:val="0"/>
          <w:sz w:val="32"/>
          <w:szCs w:val="32"/>
          <w:shd w:val="clear" w:color="auto" w:fill="FFFFFF"/>
        </w:rPr>
        <w:t>202</w:t>
      </w:r>
      <w:r>
        <w:rPr>
          <w:rFonts w:hint="eastAsia" w:ascii="仿宋_GB2312" w:hAnsi="ˎ̥" w:eastAsia="仿宋_GB2312" w:cs="仿宋_GB2312"/>
          <w:color w:val="auto"/>
          <w:kern w:val="0"/>
          <w:sz w:val="32"/>
          <w:szCs w:val="32"/>
          <w:shd w:val="clear" w:color="auto" w:fill="FFFFFF"/>
          <w:lang w:val="en-US" w:eastAsia="zh-CN"/>
        </w:rPr>
        <w:t>4</w:t>
      </w:r>
      <w:r>
        <w:rPr>
          <w:rFonts w:hint="eastAsia" w:ascii="仿宋_GB2312" w:hAnsi="ˎ̥" w:eastAsia="仿宋_GB2312" w:cs="仿宋_GB2312"/>
          <w:color w:val="auto"/>
          <w:kern w:val="0"/>
          <w:sz w:val="32"/>
          <w:szCs w:val="32"/>
          <w:shd w:val="clear" w:color="auto" w:fill="FFFFFF"/>
        </w:rPr>
        <w:t>年度</w:t>
      </w:r>
      <w:r>
        <w:rPr>
          <w:rFonts w:hint="eastAsia" w:ascii="仿宋_GB2312" w:hAnsi="ˎ̥" w:eastAsia="仿宋_GB2312" w:cs="仿宋_GB2312"/>
          <w:color w:val="auto"/>
          <w:kern w:val="0"/>
          <w:sz w:val="32"/>
          <w:szCs w:val="32"/>
          <w:shd w:val="clear" w:color="auto" w:fill="FFFFFF"/>
          <w:lang w:eastAsia="zh-CN"/>
        </w:rPr>
        <w:t>单位</w:t>
      </w:r>
      <w:r>
        <w:rPr>
          <w:rFonts w:hint="eastAsia" w:ascii="仿宋_GB2312" w:hAnsi="ˎ̥" w:eastAsia="仿宋_GB2312" w:cs="仿宋_GB2312"/>
          <w:color w:val="auto"/>
          <w:kern w:val="0"/>
          <w:sz w:val="32"/>
          <w:szCs w:val="32"/>
          <w:shd w:val="clear" w:color="auto" w:fill="FFFFFF"/>
        </w:rPr>
        <w:t>决算编制范围的二级预算单位包括：</w:t>
      </w:r>
    </w:p>
    <w:p w14:paraId="62FA4CB0">
      <w:pPr>
        <w:keepNext w:val="0"/>
        <w:keepLines w:val="0"/>
        <w:widowControl/>
        <w:suppressLineNumbers w:val="0"/>
        <w:spacing w:before="0" w:beforeAutospacing="0" w:after="100" w:afterAutospacing="1"/>
        <w:ind w:left="0" w:right="0" w:rightChars="0" w:firstLine="640" w:firstLineChars="200"/>
        <w:jc w:val="left"/>
        <w:rPr>
          <w:rFonts w:hint="eastAsia" w:ascii="仿宋_GB2312" w:hAnsi="ˎ̥" w:eastAsia="仿宋_GB2312" w:cs="仿宋_GB2312"/>
          <w:color w:val="auto"/>
          <w:kern w:val="0"/>
          <w:sz w:val="32"/>
          <w:szCs w:val="32"/>
          <w:shd w:val="clear" w:color="auto" w:fill="FFFFFF"/>
        </w:rPr>
      </w:pPr>
      <w:r>
        <w:rPr>
          <w:rFonts w:hint="eastAsia" w:ascii="仿宋_GB2312" w:hAnsi="ˎ̥" w:eastAsia="仿宋_GB2312" w:cs="仿宋_GB2312"/>
          <w:color w:val="auto"/>
          <w:kern w:val="0"/>
          <w:sz w:val="32"/>
          <w:szCs w:val="32"/>
          <w:shd w:val="clear" w:color="auto" w:fill="FFFFFF"/>
        </w:rPr>
        <w:t>（一）屯昌县屯城镇大同中心小学本级</w:t>
      </w:r>
    </w:p>
    <w:p w14:paraId="1050DB23">
      <w:pPr>
        <w:keepNext w:val="0"/>
        <w:keepLines w:val="0"/>
        <w:widowControl/>
        <w:suppressLineNumbers w:val="0"/>
        <w:spacing w:before="0" w:beforeAutospacing="0" w:after="0" w:afterAutospacing="0"/>
        <w:ind w:left="0" w:right="0" w:rightChars="0" w:firstLine="640" w:firstLineChars="200"/>
        <w:jc w:val="left"/>
        <w:rPr>
          <w:rFonts w:hint="eastAsia" w:ascii="黑体" w:hAnsi="ˎ̥" w:eastAsia="黑体"/>
          <w:color w:val="auto"/>
          <w:sz w:val="32"/>
          <w:szCs w:val="32"/>
        </w:rPr>
      </w:pPr>
      <w:r>
        <w:rPr>
          <w:rFonts w:hint="eastAsia" w:ascii="仿宋_GB2312" w:hAnsi="ˎ̥" w:eastAsia="仿宋_GB2312" w:cs="仿宋_GB2312"/>
          <w:color w:val="auto"/>
          <w:kern w:val="0"/>
          <w:sz w:val="32"/>
          <w:szCs w:val="32"/>
          <w:shd w:val="clear" w:color="auto" w:fill="FFFFFF"/>
        </w:rPr>
        <w:t>（二）广青小学</w:t>
      </w:r>
      <w:r>
        <w:rPr>
          <w:rFonts w:hint="eastAsia" w:ascii="仿宋_GB2312" w:hAnsi="ˎ̥" w:eastAsia="仿宋_GB2312" w:cs="仿宋_GB2312"/>
          <w:color w:val="auto"/>
          <w:kern w:val="0"/>
          <w:sz w:val="32"/>
          <w:szCs w:val="32"/>
          <w:shd w:val="clear" w:color="auto" w:fill="FFFFFF"/>
          <w:lang w:eastAsia="zh-CN"/>
        </w:rPr>
        <w:t>、</w:t>
      </w:r>
      <w:r>
        <w:rPr>
          <w:rFonts w:hint="eastAsia" w:ascii="仿宋_GB2312" w:hAnsi="ˎ̥" w:eastAsia="仿宋_GB2312" w:cs="仿宋_GB2312"/>
          <w:color w:val="auto"/>
          <w:kern w:val="0"/>
          <w:sz w:val="32"/>
          <w:szCs w:val="32"/>
          <w:shd w:val="clear" w:color="auto" w:fill="FFFFFF"/>
        </w:rPr>
        <w:t>海军小学。</w:t>
      </w:r>
      <w:r>
        <w:rPr>
          <w:rFonts w:hint="eastAsia" w:ascii="楷体" w:hAnsi="楷体" w:eastAsia="楷体" w:cs="楷体"/>
          <w:color w:val="auto"/>
          <w:kern w:val="0"/>
          <w:sz w:val="32"/>
          <w:szCs w:val="32"/>
        </w:rPr>
        <w:t>（下属单位）</w:t>
      </w:r>
    </w:p>
    <w:p w14:paraId="5B9C3DF8">
      <w:pPr>
        <w:spacing w:line="578" w:lineRule="exact"/>
        <w:ind w:firstLine="640" w:firstLineChars="200"/>
        <w:rPr>
          <w:rFonts w:hint="eastAsia" w:ascii="黑体" w:hAnsi="ˎ̥" w:eastAsia="黑体"/>
          <w:sz w:val="32"/>
          <w:szCs w:val="32"/>
        </w:rPr>
      </w:pPr>
      <w:r>
        <w:rPr>
          <w:rFonts w:hint="eastAsia" w:ascii="仿宋_GB2312" w:hAnsi="ˎ̥" w:eastAsia="仿宋_GB2312"/>
          <w:sz w:val="32"/>
          <w:szCs w:val="32"/>
        </w:rPr>
        <w:t>层预算单位，没有下属单位的，可只说明单位内设机构即可。）</w:t>
      </w:r>
      <w:bookmarkStart w:id="19" w:name="_Toc15521_WPSOffice_Level1"/>
      <w:bookmarkStart w:id="20" w:name="_Toc8164_WPSOffice_Level1"/>
      <w:bookmarkStart w:id="21" w:name="_Toc28253_WPSOffice_Level1"/>
      <w:bookmarkStart w:id="22" w:name="_Toc6234_WPSOffice_Level1"/>
      <w:bookmarkStart w:id="23" w:name="_Toc30690_WPSOffice_Level1"/>
      <w:bookmarkStart w:id="24" w:name="_Toc30451_WPSOffice_Level1"/>
      <w:bookmarkStart w:id="25" w:name="_Toc32695_WPSOffice_Level2"/>
      <w:bookmarkStart w:id="26" w:name="_Toc8867_WPSOffice_Level2"/>
      <w:bookmarkStart w:id="27" w:name="_Toc11518_WPSOffice_Level2"/>
      <w:bookmarkStart w:id="28" w:name="_Toc4029_WPSOffice_Level2"/>
      <w:bookmarkStart w:id="29" w:name="_Toc6211_WPSOffice_Level2"/>
      <w:bookmarkStart w:id="30" w:name="_Toc32472_WPSOffice_Level2"/>
    </w:p>
    <w:p w14:paraId="461936DA">
      <w:pPr>
        <w:spacing w:line="578" w:lineRule="exact"/>
        <w:jc w:val="center"/>
        <w:rPr>
          <w:rFonts w:hint="eastAsia" w:ascii="黑体" w:hAnsi="黑体" w:eastAsia="黑体" w:cs="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14:paraId="4AAA2A0C">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14:paraId="25BDB45A">
      <w:pPr>
        <w:spacing w:line="578" w:lineRule="exact"/>
        <w:ind w:firstLine="645"/>
        <w:rPr>
          <w:rFonts w:hint="eastAsia" w:ascii="黑体" w:hAnsi="黑体" w:eastAsia="黑体" w:cs="黑体"/>
          <w:sz w:val="32"/>
          <w:szCs w:val="32"/>
        </w:rPr>
      </w:pPr>
      <w:bookmarkStart w:id="31" w:name="_Toc25608_WPSOffice_Level2"/>
      <w:bookmarkStart w:id="32" w:name="_Toc14349_WPSOffice_Level2"/>
      <w:bookmarkStart w:id="33" w:name="_Toc23139_WPSOffice_Level2"/>
      <w:bookmarkStart w:id="34" w:name="_Toc26621_WPSOffice_Level2"/>
      <w:bookmarkStart w:id="35" w:name="_Toc28622_WPSOffice_Level2"/>
      <w:bookmarkStart w:id="36" w:name="_Toc30334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3262_WPSOffice_Level2"/>
      <w:bookmarkStart w:id="38" w:name="_Toc5489_WPSOffice_Level2"/>
      <w:bookmarkStart w:id="39" w:name="_Toc14658_WPSOffice_Level2"/>
      <w:bookmarkStart w:id="40" w:name="_Toc13854_WPSOffice_Level2"/>
      <w:bookmarkStart w:id="41" w:name="_Toc17626_WPSOffice_Level2"/>
      <w:bookmarkStart w:id="42" w:name="_Toc17858_WPSOffice_Level2"/>
    </w:p>
    <w:p w14:paraId="70D59370">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7988_WPSOffice_Level2"/>
      <w:bookmarkStart w:id="44" w:name="_Toc23493_WPSOffice_Level2"/>
      <w:bookmarkStart w:id="45" w:name="_Toc23591_WPSOffice_Level2"/>
      <w:bookmarkStart w:id="46" w:name="_Toc13701_WPSOffice_Level2"/>
      <w:bookmarkStart w:id="47" w:name="_Toc21415_WPSOffice_Level2"/>
      <w:bookmarkStart w:id="48" w:name="_Toc4265_WPSOffice_Level2"/>
    </w:p>
    <w:p w14:paraId="066642FA">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14:paraId="54BB6131">
      <w:pPr>
        <w:spacing w:line="578" w:lineRule="exact"/>
        <w:ind w:firstLine="645"/>
        <w:rPr>
          <w:rFonts w:hint="eastAsia" w:ascii="黑体" w:hAnsi="黑体" w:eastAsia="黑体" w:cs="黑体"/>
          <w:sz w:val="32"/>
          <w:szCs w:val="32"/>
        </w:rPr>
      </w:pPr>
      <w:bookmarkStart w:id="49" w:name="_Toc23829_WPSOffice_Level2"/>
      <w:bookmarkStart w:id="50" w:name="_Toc25166_WPSOffice_Level2"/>
      <w:bookmarkStart w:id="51" w:name="_Toc7879_WPSOffice_Level2"/>
      <w:bookmarkStart w:id="52" w:name="_Toc22783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17833_WPSOffice_Level2"/>
      <w:bookmarkStart w:id="56" w:name="_Toc17283_WPSOffice_Level2"/>
      <w:bookmarkStart w:id="57" w:name="_Toc25362_WPSOffice_Level2"/>
      <w:bookmarkStart w:id="58" w:name="_Toc8373_WPSOffice_Level2"/>
      <w:bookmarkStart w:id="59" w:name="_Toc2632_WPSOffice_Level2"/>
      <w:bookmarkStart w:id="60" w:name="_Toc5343_WPSOffice_Level2"/>
    </w:p>
    <w:p w14:paraId="6A69FC25">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14:paraId="5F7A88ED">
      <w:pPr>
        <w:spacing w:line="578" w:lineRule="exact"/>
        <w:ind w:left="1118" w:leftChars="304" w:hanging="480" w:hangingChars="150"/>
        <w:rPr>
          <w:rFonts w:hint="eastAsia" w:ascii="黑体" w:hAnsi="黑体" w:eastAsia="黑体" w:cs="黑体"/>
          <w:sz w:val="32"/>
          <w:szCs w:val="32"/>
        </w:rPr>
      </w:pPr>
      <w:bookmarkStart w:id="61" w:name="_Toc13345_WPSOffice_Level2"/>
      <w:bookmarkStart w:id="62" w:name="_Toc21310_WPSOffice_Level2"/>
      <w:bookmarkStart w:id="63" w:name="_Toc5594_WPSOffice_Level2"/>
      <w:bookmarkStart w:id="64" w:name="_Toc11799_WPSOffice_Level2"/>
      <w:bookmarkStart w:id="65" w:name="_Toc6020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14:paraId="4587440F">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E9729BF">
      <w:pPr>
        <w:spacing w:line="578" w:lineRule="exact"/>
        <w:ind w:firstLine="640"/>
        <w:rPr>
          <w:rFonts w:hint="eastAsia" w:ascii="黑体" w:hAnsi="黑体" w:eastAsia="黑体" w:cs="黑体"/>
          <w:sz w:val="32"/>
          <w:szCs w:val="32"/>
        </w:rPr>
      </w:pPr>
      <w:bookmarkStart w:id="67" w:name="_Toc1820_WPSOffice_Level2"/>
      <w:bookmarkStart w:id="68" w:name="_Toc29886_WPSOffice_Level2"/>
      <w:bookmarkStart w:id="69" w:name="_Toc9377_WPSOffice_Level2"/>
      <w:bookmarkStart w:id="70" w:name="_Toc19961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14:paraId="1ACD5309">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146C3B21">
      <w:pPr>
        <w:spacing w:line="578" w:lineRule="exact"/>
        <w:rPr>
          <w:rFonts w:hint="eastAsia" w:ascii="黑体" w:hAnsi="黑体" w:eastAsia="黑体" w:cs="黑体"/>
          <w:sz w:val="32"/>
          <w:szCs w:val="32"/>
        </w:rPr>
      </w:pPr>
    </w:p>
    <w:p w14:paraId="6EE7409B">
      <w:pPr>
        <w:spacing w:line="578" w:lineRule="exact"/>
        <w:jc w:val="center"/>
        <w:rPr>
          <w:rFonts w:hint="eastAsia" w:ascii="黑体" w:hAnsi="ˎ̥" w:eastAsia="黑体"/>
          <w:sz w:val="32"/>
          <w:szCs w:val="32"/>
        </w:rPr>
      </w:pPr>
      <w:bookmarkStart w:id="71" w:name="_Toc27590_WPSOffice_Level1"/>
      <w:bookmarkStart w:id="72" w:name="_Toc16686_WPSOffice_Level1"/>
      <w:bookmarkStart w:id="73" w:name="_Toc29683_WPSOffice_Level1"/>
      <w:bookmarkStart w:id="74" w:name="_Toc4402_WPSOffice_Level1"/>
      <w:bookmarkStart w:id="75" w:name="_Toc31264_WPSOffice_Level1"/>
      <w:bookmarkStart w:id="76" w:name="_Toc28629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14:paraId="7D355759">
      <w:pPr>
        <w:spacing w:line="578" w:lineRule="exact"/>
        <w:jc w:val="center"/>
        <w:rPr>
          <w:rFonts w:hint="eastAsia" w:ascii="黑体" w:hAnsi="ˎ̥" w:eastAsia="黑体"/>
          <w:sz w:val="32"/>
          <w:szCs w:val="32"/>
        </w:rPr>
      </w:pPr>
    </w:p>
    <w:p w14:paraId="2F36A220">
      <w:pPr>
        <w:spacing w:before="100" w:beforeAutospacing="1" w:after="100" w:afterAutospacing="1"/>
        <w:ind w:firstLine="640" w:firstLineChars="200"/>
        <w:rPr>
          <w:rFonts w:ascii="仿宋_GB2312" w:hAnsi="ˎ̥" w:eastAsia="仿宋_GB2312"/>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2,277.17</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2,277.17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139.16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5.76</w:t>
      </w:r>
      <w:r>
        <w:rPr>
          <w:rFonts w:hint="eastAsia" w:ascii="仿宋_GB2312" w:hAnsi="ˎ̥" w:eastAsia="仿宋_GB2312"/>
          <w:color w:val="auto"/>
          <w:sz w:val="32"/>
          <w:szCs w:val="32"/>
        </w:rPr>
        <w:t>%。主要原因：</w:t>
      </w:r>
      <w:r>
        <w:rPr>
          <w:rFonts w:hint="eastAsia" w:ascii="仿宋_GB2312" w:hAnsi="ˎ̥" w:eastAsia="仿宋_GB2312" w:cs="仿宋_GB2312"/>
          <w:color w:val="auto"/>
          <w:kern w:val="0"/>
          <w:sz w:val="32"/>
          <w:szCs w:val="32"/>
          <w:shd w:val="clear" w:color="auto" w:fill="FFFFFF"/>
        </w:rPr>
        <w:t>一是教育支出减少</w:t>
      </w:r>
      <w:r>
        <w:rPr>
          <w:rFonts w:hint="eastAsia" w:ascii="仿宋_GB2312" w:hAnsi="ˎ̥" w:eastAsia="仿宋_GB2312" w:cs="仿宋_GB2312"/>
          <w:color w:val="auto"/>
          <w:sz w:val="32"/>
          <w:szCs w:val="32"/>
        </w:rPr>
        <w:t>；</w:t>
      </w:r>
      <w:r>
        <w:rPr>
          <w:rFonts w:hint="eastAsia" w:ascii="仿宋_GB2312" w:hAnsi="ˎ̥" w:eastAsia="仿宋_GB2312" w:cs="仿宋_GB2312"/>
          <w:color w:val="auto"/>
          <w:kern w:val="0"/>
          <w:sz w:val="32"/>
          <w:szCs w:val="32"/>
          <w:shd w:val="clear" w:color="auto" w:fill="FFFFFF"/>
        </w:rPr>
        <w:t>二是社会保障和就业支出减少。</w:t>
      </w:r>
    </w:p>
    <w:p w14:paraId="0BA4DF0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CDE482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本年</w:t>
      </w:r>
      <w:r>
        <w:rPr>
          <w:rFonts w:ascii="仿宋_GB2312" w:hAnsi="ˎ̥" w:eastAsia="仿宋_GB2312"/>
          <w:color w:val="auto"/>
          <w:sz w:val="32"/>
          <w:szCs w:val="32"/>
          <w:highlight w:val="none"/>
        </w:rPr>
        <w:t>收入</w:t>
      </w:r>
      <w:r>
        <w:rPr>
          <w:rFonts w:hint="default" w:ascii="仿宋_GB2312" w:hAnsi="ˎ̥" w:eastAsia="仿宋_GB2312"/>
          <w:color w:val="auto"/>
          <w:sz w:val="32"/>
          <w:szCs w:val="32"/>
          <w:highlight w:val="none"/>
          <w:lang w:val="en-US"/>
        </w:rPr>
        <w:t>2,271.47</w:t>
      </w:r>
      <w:r>
        <w:rPr>
          <w:rFonts w:hint="eastAsia" w:ascii="仿宋_GB2312" w:hAnsi="ˎ̥" w:eastAsia="仿宋_GB2312"/>
          <w:color w:val="auto"/>
          <w:sz w:val="32"/>
          <w:szCs w:val="32"/>
          <w:highlight w:val="none"/>
        </w:rPr>
        <w:t>万元。</w:t>
      </w:r>
    </w:p>
    <w:p w14:paraId="4AC38B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使用非财政拨款结余</w:t>
      </w:r>
      <w:r>
        <w:rPr>
          <w:rFonts w:hint="default" w:ascii="仿宋_GB2312" w:hAnsi="ˎ̥" w:eastAsia="仿宋_GB2312"/>
          <w:color w:val="auto"/>
          <w:sz w:val="32"/>
          <w:szCs w:val="32"/>
          <w:highlight w:val="none"/>
          <w:lang w:val="en-US"/>
        </w:rPr>
        <w:t>0.01</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年度决算数减少</w:t>
      </w:r>
      <w:r>
        <w:rPr>
          <w:rFonts w:hint="eastAsia" w:ascii="仿宋_GB2312" w:hAnsi="ˎ̥" w:eastAsia="仿宋_GB2312"/>
          <w:color w:val="auto"/>
          <w:sz w:val="32"/>
          <w:szCs w:val="32"/>
          <w:highlight w:val="none"/>
          <w:lang w:val="en-US" w:eastAsia="zh-CN"/>
        </w:rPr>
        <w:t>0.01</w:t>
      </w:r>
      <w:r>
        <w:rPr>
          <w:rFonts w:hint="eastAsia" w:ascii="仿宋_GB2312" w:hAnsi="ˎ̥" w:eastAsia="仿宋_GB2312"/>
          <w:color w:val="auto"/>
          <w:sz w:val="32"/>
          <w:szCs w:val="32"/>
          <w:highlight w:val="none"/>
        </w:rPr>
        <w:t>万元，主要原因是</w:t>
      </w:r>
      <w:r>
        <w:rPr>
          <w:rFonts w:hint="eastAsia" w:ascii="仿宋_GB2312" w:hAnsi="ˎ̥" w:eastAsia="仿宋_GB2312"/>
          <w:color w:val="auto"/>
          <w:sz w:val="32"/>
          <w:szCs w:val="32"/>
          <w:highlight w:val="none"/>
          <w:lang w:val="en-US" w:eastAsia="zh-CN"/>
        </w:rPr>
        <w:t>手续费</w:t>
      </w:r>
      <w:r>
        <w:rPr>
          <w:rFonts w:hint="eastAsia" w:ascii="仿宋_GB2312" w:hAnsi="ˎ̥" w:eastAsia="仿宋_GB2312"/>
          <w:color w:val="auto"/>
          <w:sz w:val="32"/>
          <w:szCs w:val="32"/>
          <w:highlight w:val="none"/>
        </w:rPr>
        <w:t>。</w:t>
      </w:r>
    </w:p>
    <w:p w14:paraId="79718E6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仿宋_GB2312"/>
          <w:color w:val="auto"/>
          <w:kern w:val="0"/>
          <w:sz w:val="32"/>
          <w:szCs w:val="32"/>
          <w:highlight w:val="none"/>
          <w:lang w:val="en-US" w:eastAsia="zh-CN"/>
        </w:rPr>
      </w:pPr>
      <w:r>
        <w:rPr>
          <w:rFonts w:hint="eastAsia" w:ascii="仿宋_GB2312" w:hAnsi="ˎ̥" w:eastAsia="仿宋_GB2312"/>
          <w:sz w:val="32"/>
          <w:szCs w:val="32"/>
          <w:highlight w:val="none"/>
        </w:rPr>
        <w:t>年初</w:t>
      </w:r>
      <w:r>
        <w:rPr>
          <w:rFonts w:hint="eastAsia" w:ascii="仿宋_GB2312" w:hAnsi="ˎ̥" w:eastAsia="仿宋_GB2312"/>
          <w:color w:val="auto"/>
          <w:sz w:val="32"/>
          <w:szCs w:val="32"/>
          <w:highlight w:val="none"/>
        </w:rPr>
        <w:t>结转结余</w:t>
      </w:r>
      <w:r>
        <w:rPr>
          <w:rFonts w:hint="default" w:ascii="仿宋_GB2312" w:hAnsi="ˎ̥" w:eastAsia="仿宋_GB2312"/>
          <w:color w:val="auto"/>
          <w:sz w:val="32"/>
          <w:szCs w:val="32"/>
          <w:highlight w:val="none"/>
          <w:lang w:val="en-US"/>
        </w:rPr>
        <w:t>5.69</w:t>
      </w:r>
      <w:r>
        <w:rPr>
          <w:rFonts w:hint="eastAsia" w:ascii="仿宋_GB2312" w:hAnsi="ˎ̥" w:eastAsia="仿宋_GB2312"/>
          <w:color w:val="auto"/>
          <w:sz w:val="32"/>
          <w:szCs w:val="32"/>
          <w:highlight w:val="none"/>
        </w:rPr>
        <w:t>万元，主要是</w:t>
      </w:r>
      <w:r>
        <w:rPr>
          <w:rFonts w:hint="eastAsia" w:ascii="仿宋_GB2312" w:hAnsi="ˎ̥" w:eastAsia="仿宋_GB2312"/>
          <w:color w:val="auto"/>
          <w:sz w:val="32"/>
          <w:szCs w:val="32"/>
          <w:highlight w:val="none"/>
          <w:lang w:val="en-US" w:eastAsia="zh-CN"/>
        </w:rPr>
        <w:t>课后服务资金</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5.96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51.16</w:t>
      </w:r>
      <w:r>
        <w:rPr>
          <w:rFonts w:hint="eastAsia" w:ascii="仿宋_GB2312" w:hAnsi="ˎ̥" w:eastAsia="仿宋_GB2312"/>
          <w:color w:val="auto"/>
          <w:sz w:val="32"/>
          <w:szCs w:val="32"/>
        </w:rPr>
        <w:t>%，主要原因是</w:t>
      </w:r>
      <w:r>
        <w:rPr>
          <w:rFonts w:hint="eastAsia" w:ascii="仿宋_GB2312" w:hAnsi="ˎ̥" w:eastAsia="仿宋_GB2312" w:cs="仿宋_GB2312"/>
          <w:color w:val="auto"/>
          <w:kern w:val="0"/>
          <w:sz w:val="32"/>
          <w:szCs w:val="32"/>
          <w:highlight w:val="none"/>
          <w:lang w:val="en-US" w:eastAsia="zh-CN"/>
        </w:rPr>
        <w:t>使用上年度结转课后服务资金</w:t>
      </w:r>
      <w:r>
        <w:rPr>
          <w:rFonts w:hint="eastAsia" w:ascii="仿宋_GB2312" w:hAnsi="ˎ̥" w:eastAsia="仿宋_GB2312" w:cs="仿宋_GB2312"/>
          <w:color w:val="auto"/>
          <w:kern w:val="0"/>
          <w:sz w:val="32"/>
          <w:szCs w:val="32"/>
        </w:rPr>
        <w:t>和</w:t>
      </w:r>
      <w:r>
        <w:rPr>
          <w:rFonts w:hint="eastAsia" w:ascii="仿宋_GB2312" w:hAnsi="ˎ̥" w:eastAsia="仿宋_GB2312" w:cs="仿宋_GB2312"/>
          <w:color w:val="auto"/>
          <w:kern w:val="0"/>
          <w:sz w:val="32"/>
          <w:szCs w:val="32"/>
          <w:lang w:val="en-US" w:eastAsia="zh-CN"/>
        </w:rPr>
        <w:t>支付学</w:t>
      </w:r>
      <w:r>
        <w:rPr>
          <w:rFonts w:hint="eastAsia" w:ascii="仿宋_GB2312" w:hAnsi="ˎ̥" w:eastAsia="仿宋_GB2312" w:cs="仿宋_GB2312"/>
          <w:color w:val="auto"/>
          <w:kern w:val="0"/>
          <w:sz w:val="32"/>
          <w:szCs w:val="32"/>
          <w:highlight w:val="none"/>
          <w:lang w:val="en-US" w:eastAsia="zh-CN"/>
        </w:rPr>
        <w:t>校校门口公共服务配套设施建设质保金资金支出。</w:t>
      </w:r>
    </w:p>
    <w:p w14:paraId="28589D7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14:paraId="3515B4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2,272.52</w:t>
      </w:r>
      <w:r>
        <w:rPr>
          <w:rFonts w:hint="eastAsia" w:ascii="仿宋_GB2312" w:hAnsi="ˎ̥" w:eastAsia="仿宋_GB2312"/>
          <w:color w:val="auto"/>
          <w:sz w:val="32"/>
          <w:szCs w:val="32"/>
        </w:rPr>
        <w:t>万元。</w:t>
      </w:r>
    </w:p>
    <w:p w14:paraId="27A1B82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本年度没有结余分配金额</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w:t>
      </w:r>
      <w:r>
        <w:rPr>
          <w:rFonts w:hint="eastAsia" w:ascii="仿宋_GB2312" w:hAnsi="ˎ̥" w:eastAsia="仿宋_GB2312"/>
          <w:color w:val="auto"/>
          <w:sz w:val="32"/>
          <w:szCs w:val="32"/>
          <w:lang w:val="en-US" w:eastAsia="zh-CN"/>
        </w:rPr>
        <w:t>本年度没有结余分配金额</w:t>
      </w:r>
      <w:r>
        <w:rPr>
          <w:rFonts w:hint="eastAsia" w:ascii="仿宋_GB2312" w:hAnsi="ˎ̥" w:eastAsia="仿宋_GB2312"/>
          <w:color w:val="auto"/>
          <w:sz w:val="32"/>
          <w:szCs w:val="32"/>
        </w:rPr>
        <w:t>。</w:t>
      </w:r>
    </w:p>
    <w:p w14:paraId="2B23A55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4.65</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未使用完的课后服务费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1.04</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18.28</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年末课后服务经费结转结余减少</w:t>
      </w:r>
      <w:r>
        <w:rPr>
          <w:rFonts w:hint="eastAsia" w:ascii="仿宋_GB2312" w:hAnsi="ˎ̥" w:eastAsia="仿宋_GB2312"/>
          <w:color w:val="auto"/>
          <w:sz w:val="32"/>
          <w:szCs w:val="32"/>
        </w:rPr>
        <w:t>。</w:t>
      </w:r>
    </w:p>
    <w:p w14:paraId="7A94A141">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BCEAD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auto"/>
          <w:sz w:val="32"/>
          <w:szCs w:val="32"/>
        </w:rPr>
        <w:t>本年收入</w:t>
      </w:r>
      <w:r>
        <w:rPr>
          <w:rFonts w:hint="default" w:ascii="仿宋_GB2312" w:hAnsi="ˎ̥" w:eastAsia="仿宋_GB2312"/>
          <w:color w:val="auto"/>
          <w:sz w:val="32"/>
          <w:szCs w:val="32"/>
          <w:lang w:val="en-US"/>
        </w:rPr>
        <w:t>2,271.47</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2,240.95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98.66</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30.52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1.34</w:t>
      </w:r>
      <w:r>
        <w:rPr>
          <w:rFonts w:hint="eastAsia" w:ascii="仿宋_GB2312" w:hAnsi="ˎ̥" w:eastAsia="仿宋_GB2312"/>
          <w:color w:val="auto"/>
          <w:sz w:val="32"/>
          <w:szCs w:val="32"/>
        </w:rPr>
        <w:t>%。</w:t>
      </w:r>
    </w:p>
    <w:p w14:paraId="6B57147C">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39B1F481">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78C916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2,272.52</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2,092.83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92.09</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179.69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7.91</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20B5D3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5659DA8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752A76D1">
      <w:pPr>
        <w:spacing w:before="100" w:beforeAutospacing="1" w:after="100" w:afterAutospacing="1"/>
        <w:ind w:firstLine="640" w:firstLineChars="200"/>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2,240.95</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2,240.95</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142.24</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5.97</w:t>
      </w:r>
      <w:r>
        <w:rPr>
          <w:rFonts w:hint="eastAsia" w:ascii="仿宋_GB2312" w:hAnsi="ˎ̥" w:eastAsia="仿宋_GB2312"/>
          <w:color w:val="auto"/>
          <w:sz w:val="32"/>
          <w:szCs w:val="32"/>
        </w:rPr>
        <w:t>%，主</w:t>
      </w:r>
      <w:r>
        <w:rPr>
          <w:rFonts w:hint="eastAsia" w:ascii="仿宋_GB2312" w:hAnsi="ˎ̥" w:eastAsia="仿宋_GB2312"/>
          <w:sz w:val="32"/>
          <w:szCs w:val="32"/>
        </w:rPr>
        <w:t>要原因</w:t>
      </w:r>
      <w:r>
        <w:rPr>
          <w:rFonts w:hint="eastAsia" w:ascii="仿宋_GB2312" w:hAnsi="ˎ̥" w:eastAsia="仿宋_GB2312" w:cs="仿宋_GB2312"/>
          <w:kern w:val="0"/>
          <w:sz w:val="32"/>
          <w:szCs w:val="32"/>
          <w:shd w:val="clear" w:color="auto" w:fill="FFFFFF"/>
        </w:rPr>
        <w:t>主要原一是教育支出减少</w:t>
      </w:r>
      <w:r>
        <w:rPr>
          <w:rFonts w:hint="eastAsia" w:ascii="仿宋_GB2312" w:hAnsi="ˎ̥" w:eastAsia="仿宋_GB2312" w:cs="仿宋_GB2312"/>
          <w:sz w:val="32"/>
          <w:szCs w:val="32"/>
        </w:rPr>
        <w:t>；</w:t>
      </w:r>
      <w:r>
        <w:rPr>
          <w:rFonts w:hint="eastAsia" w:ascii="仿宋_GB2312" w:hAnsi="ˎ̥" w:eastAsia="仿宋_GB2312" w:cs="仿宋_GB2312"/>
          <w:kern w:val="0"/>
          <w:sz w:val="32"/>
          <w:szCs w:val="32"/>
          <w:shd w:val="clear" w:color="auto" w:fill="FFFFFF"/>
        </w:rPr>
        <w:t>二是社会保障和就业支出减少</w:t>
      </w:r>
      <w:r>
        <w:rPr>
          <w:rFonts w:hint="eastAsia" w:ascii="仿宋_GB2312" w:hAnsi="ˎ̥" w:eastAsia="仿宋_GB2312"/>
          <w:sz w:val="32"/>
          <w:szCs w:val="32"/>
        </w:rPr>
        <w:t>。</w:t>
      </w:r>
    </w:p>
    <w:p w14:paraId="3243C72B">
      <w:pPr>
        <w:spacing w:before="100" w:beforeAutospacing="1" w:after="100" w:afterAutospacing="1"/>
        <w:ind w:firstLine="640" w:firstLineChars="200"/>
        <w:rPr>
          <w:rFonts w:hint="eastAsia" w:ascii="仿宋_GB2312" w:hAnsi="ˎ̥" w:eastAsia="仿宋_GB2312"/>
          <w:sz w:val="32"/>
          <w:szCs w:val="32"/>
        </w:rPr>
      </w:pPr>
      <w:r>
        <w:rPr>
          <w:rFonts w:hint="eastAsia" w:ascii="仿宋_GB2312" w:hAnsi="ˎ̥" w:eastAsia="仿宋_GB2312"/>
          <w:sz w:val="32"/>
          <w:szCs w:val="32"/>
        </w:rPr>
        <w:t>支出减少</w:t>
      </w:r>
      <w:r>
        <w:rPr>
          <w:rFonts w:hint="eastAsia" w:ascii="仿宋_GB2312" w:hAnsi="ˎ̥" w:eastAsia="仿宋_GB2312"/>
          <w:sz w:val="32"/>
          <w:szCs w:val="32"/>
          <w:lang w:val="en-US" w:eastAsia="zh-CN"/>
        </w:rPr>
        <w:t>142.45</w:t>
      </w:r>
      <w:r>
        <w:rPr>
          <w:rFonts w:hint="eastAsia" w:ascii="仿宋_GB2312" w:hAnsi="ˎ̥" w:eastAsia="仿宋_GB2312"/>
          <w:sz w:val="32"/>
          <w:szCs w:val="32"/>
        </w:rPr>
        <w:t>万元，下降</w:t>
      </w:r>
      <w:r>
        <w:rPr>
          <w:rFonts w:hint="eastAsia" w:ascii="仿宋_GB2312" w:hAnsi="ˎ̥" w:eastAsia="仿宋_GB2312"/>
          <w:sz w:val="32"/>
          <w:szCs w:val="32"/>
          <w:lang w:val="en-US" w:eastAsia="zh-CN"/>
        </w:rPr>
        <w:t>5.98</w:t>
      </w:r>
      <w:r>
        <w:rPr>
          <w:rFonts w:hint="eastAsia" w:ascii="仿宋_GB2312" w:hAnsi="ˎ̥" w:eastAsia="仿宋_GB2312"/>
          <w:sz w:val="32"/>
          <w:szCs w:val="32"/>
        </w:rPr>
        <w:t>%，主要原因：</w:t>
      </w:r>
      <w:r>
        <w:rPr>
          <w:rFonts w:hint="eastAsia" w:ascii="仿宋_GB2312" w:hAnsi="ˎ̥" w:eastAsia="仿宋_GB2312" w:cs="仿宋_GB2312"/>
          <w:kern w:val="0"/>
          <w:sz w:val="32"/>
          <w:szCs w:val="32"/>
          <w:shd w:val="clear" w:color="auto" w:fill="FFFFFF"/>
        </w:rPr>
        <w:t>一是教育支出减少</w:t>
      </w:r>
      <w:r>
        <w:rPr>
          <w:rFonts w:hint="eastAsia" w:ascii="仿宋_GB2312" w:hAnsi="ˎ̥" w:eastAsia="仿宋_GB2312" w:cs="仿宋_GB2312"/>
          <w:sz w:val="32"/>
          <w:szCs w:val="32"/>
        </w:rPr>
        <w:t>；</w:t>
      </w:r>
      <w:r>
        <w:rPr>
          <w:rFonts w:hint="eastAsia" w:ascii="仿宋_GB2312" w:hAnsi="ˎ̥" w:eastAsia="仿宋_GB2312" w:cs="仿宋_GB2312"/>
          <w:kern w:val="0"/>
          <w:sz w:val="32"/>
          <w:szCs w:val="32"/>
          <w:shd w:val="clear" w:color="auto" w:fill="FFFFFF"/>
        </w:rPr>
        <w:t>二是社会保障和就业支出减少</w:t>
      </w:r>
      <w:r>
        <w:rPr>
          <w:rFonts w:hint="eastAsia" w:ascii="仿宋_GB2312" w:hAnsi="ˎ̥" w:eastAsia="仿宋_GB2312"/>
          <w:sz w:val="32"/>
          <w:szCs w:val="32"/>
        </w:rPr>
        <w:t>。</w:t>
      </w:r>
    </w:p>
    <w:p w14:paraId="7D73425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万元，主要是……（简要说明结转结余形成或来源），较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0.21</w:t>
      </w:r>
      <w:r>
        <w:rPr>
          <w:rFonts w:hint="eastAsia" w:ascii="仿宋_GB2312" w:hAnsi="ˎ̥" w:eastAsia="仿宋_GB2312"/>
          <w:color w:val="auto"/>
          <w:sz w:val="32"/>
          <w:szCs w:val="32"/>
        </w:rPr>
        <w:t>万元，下</w:t>
      </w:r>
      <w:r>
        <w:rPr>
          <w:rFonts w:hint="eastAsia" w:ascii="仿宋_GB2312" w:hAnsi="ˎ̥" w:eastAsia="仿宋_GB2312"/>
          <w:sz w:val="32"/>
          <w:szCs w:val="32"/>
        </w:rPr>
        <w:t>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财政拨款结余全部上缴国库</w:t>
      </w:r>
      <w:r>
        <w:rPr>
          <w:rFonts w:hint="eastAsia" w:ascii="仿宋_GB2312" w:hAnsi="ˎ̥" w:eastAsia="仿宋_GB2312"/>
          <w:color w:val="auto"/>
          <w:sz w:val="32"/>
          <w:szCs w:val="32"/>
        </w:rPr>
        <w:t>。</w:t>
      </w:r>
    </w:p>
    <w:p w14:paraId="7023215C">
      <w:pPr>
        <w:spacing w:line="578" w:lineRule="exact"/>
        <w:ind w:firstLine="640" w:firstLineChars="200"/>
        <w:rPr>
          <w:rFonts w:hint="eastAsia" w:ascii="仿宋_GB2312" w:hAnsi="ˎ̥" w:eastAsia="仿宋_GB2312"/>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财政拨款年初结转结余为0</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2024年财政拨款年初结转结余为0</w:t>
      </w:r>
      <w:r>
        <w:rPr>
          <w:rFonts w:hint="eastAsia" w:ascii="仿宋_GB2312" w:hAnsi="ˎ̥" w:eastAsia="仿宋_GB2312"/>
          <w:color w:val="auto"/>
          <w:sz w:val="32"/>
          <w:szCs w:val="32"/>
        </w:rPr>
        <w:t>。</w:t>
      </w:r>
    </w:p>
    <w:p w14:paraId="57CDAC3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2E512F18">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DC6C6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13694_WPSOffice_Level2"/>
      <w:bookmarkStart w:id="78" w:name="_Toc23005_WPSOffice_Level2"/>
      <w:bookmarkStart w:id="79" w:name="_Toc21737_WPSOffice_Level2"/>
      <w:bookmarkStart w:id="80" w:name="_Toc9989_WPSOffice_Level2"/>
      <w:bookmarkStart w:id="81" w:name="_Toc17398_WPSOffice_Level2"/>
      <w:bookmarkStart w:id="82" w:name="_Toc19665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14:paraId="079659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w:t>
      </w:r>
      <w:r>
        <w:rPr>
          <w:rFonts w:hint="default" w:ascii="仿宋_GB2312" w:hAnsi="ˎ̥" w:eastAsia="仿宋_GB2312"/>
          <w:color w:val="auto"/>
          <w:sz w:val="32"/>
          <w:szCs w:val="32"/>
          <w:lang w:val="en-US"/>
        </w:rPr>
        <w:t>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2,240.95</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98.61</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142.24</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5.</w:t>
      </w:r>
      <w:r>
        <w:rPr>
          <w:rFonts w:hint="eastAsia" w:ascii="仿宋_GB2312" w:hAnsi="ˎ̥" w:eastAsia="仿宋_GB2312"/>
          <w:sz w:val="32"/>
          <w:szCs w:val="32"/>
          <w:lang w:val="en-US" w:eastAsia="zh-CN"/>
        </w:rPr>
        <w:t>97</w:t>
      </w:r>
      <w:r>
        <w:rPr>
          <w:rFonts w:hint="eastAsia" w:ascii="仿宋_GB2312" w:hAnsi="ˎ̥" w:eastAsia="仿宋_GB2312"/>
          <w:sz w:val="32"/>
          <w:szCs w:val="32"/>
        </w:rPr>
        <w:t>%，主要原因是</w:t>
      </w:r>
      <w:r>
        <w:rPr>
          <w:rFonts w:hint="eastAsia" w:ascii="仿宋_GB2312" w:hAnsi="ˎ̥" w:eastAsia="仿宋_GB2312"/>
          <w:color w:val="auto"/>
          <w:sz w:val="32"/>
          <w:szCs w:val="32"/>
          <w:lang w:val="en-US" w:eastAsia="zh-CN"/>
        </w:rPr>
        <w:t>人员经费有所减少</w:t>
      </w:r>
      <w:r>
        <w:rPr>
          <w:rFonts w:hint="eastAsia" w:ascii="仿宋_GB2312" w:hAnsi="ˎ̥" w:eastAsia="仿宋_GB2312"/>
          <w:sz w:val="32"/>
          <w:szCs w:val="32"/>
        </w:rPr>
        <w:t>。</w:t>
      </w:r>
    </w:p>
    <w:p w14:paraId="28A9FA7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27767_WPSOffice_Level2"/>
      <w:bookmarkStart w:id="84" w:name="_Toc18793_WPSOffice_Level2"/>
      <w:bookmarkStart w:id="85" w:name="_Toc19535_WPSOffice_Level2"/>
      <w:bookmarkStart w:id="86" w:name="_Toc2711_WPSOffice_Level2"/>
      <w:bookmarkStart w:id="87" w:name="_Toc19075_WPSOffice_Level2"/>
      <w:bookmarkStart w:id="88" w:name="_Toc23864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14:paraId="249FE34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2,240.95</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1.23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0.05</w:t>
      </w:r>
      <w:r>
        <w:rPr>
          <w:rFonts w:hint="eastAsia" w:ascii="仿宋_GB2312" w:hAnsi="ˎ̥" w:eastAsia="仿宋_GB2312"/>
          <w:color w:val="auto"/>
          <w:sz w:val="32"/>
          <w:szCs w:val="32"/>
        </w:rPr>
        <w:t>%；</w:t>
      </w:r>
      <w:r>
        <w:rPr>
          <w:rFonts w:hint="eastAsia" w:ascii="仿宋_GB2312" w:hAnsi="ˎ̥" w:eastAsia="仿宋_GB2312"/>
          <w:b/>
          <w:color w:val="auto"/>
          <w:sz w:val="32"/>
          <w:szCs w:val="32"/>
          <w:lang w:val="en-US" w:eastAsia="zh-CN"/>
        </w:rPr>
        <w:t>教育（类）</w:t>
      </w:r>
      <w:r>
        <w:rPr>
          <w:rFonts w:hint="eastAsia" w:ascii="仿宋_GB2312" w:hAnsi="ˎ̥" w:eastAsia="仿宋_GB2312"/>
          <w:color w:val="auto"/>
          <w:sz w:val="32"/>
          <w:szCs w:val="32"/>
          <w:lang w:val="en-US" w:eastAsia="zh-CN"/>
        </w:rPr>
        <w:t>支出：1515.59万元，占67.63%；</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299.40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13.36</w:t>
      </w:r>
      <w:r>
        <w:rPr>
          <w:rFonts w:hint="eastAsia" w:ascii="仿宋_GB2312" w:hAnsi="ˎ̥" w:eastAsia="仿宋_GB2312"/>
          <w:color w:val="auto"/>
          <w:sz w:val="32"/>
          <w:szCs w:val="32"/>
        </w:rPr>
        <w:t>%；</w:t>
      </w:r>
      <w:r>
        <w:rPr>
          <w:rFonts w:hint="eastAsia" w:ascii="仿宋_GB2312" w:hAnsi="ˎ̥" w:eastAsia="仿宋_GB2312" w:cs="Times New Roman"/>
          <w:b/>
          <w:bCs/>
          <w:color w:val="auto"/>
          <w:sz w:val="32"/>
          <w:szCs w:val="32"/>
          <w:lang w:val="en-US" w:eastAsia="zh-CN"/>
        </w:rPr>
        <w:t>卫生健康（类）</w:t>
      </w:r>
      <w:r>
        <w:rPr>
          <w:rFonts w:hint="eastAsia" w:ascii="仿宋_GB2312" w:hAnsi="ˎ̥" w:eastAsia="仿宋_GB2312"/>
          <w:color w:val="auto"/>
          <w:sz w:val="32"/>
          <w:szCs w:val="32"/>
          <w:lang w:val="en-US" w:eastAsia="zh-CN"/>
        </w:rPr>
        <w:t>支出：279.69万元，占12.49%</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145.04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6.47</w:t>
      </w:r>
      <w:r>
        <w:rPr>
          <w:rFonts w:hint="eastAsia" w:ascii="仿宋_GB2312" w:hAnsi="ˎ̥" w:eastAsia="仿宋_GB2312"/>
          <w:color w:val="auto"/>
          <w:sz w:val="32"/>
          <w:szCs w:val="32"/>
        </w:rPr>
        <w:t>%。</w:t>
      </w:r>
    </w:p>
    <w:p w14:paraId="5E504F2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1F5326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15415_WPSOffice_Level2"/>
      <w:bookmarkStart w:id="90" w:name="_Toc21701_WPSOffice_Level2"/>
      <w:bookmarkStart w:id="91" w:name="_Toc29364_WPSOffice_Level2"/>
      <w:bookmarkStart w:id="92" w:name="_Toc9502_WPSOffice_Level2"/>
      <w:bookmarkStart w:id="93" w:name="_Toc25136_WPSOffice_Level2"/>
      <w:bookmarkStart w:id="94" w:name="_Toc22318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14:paraId="2C58F94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2431.06</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2,240.95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92.18</w:t>
      </w:r>
      <w:r>
        <w:rPr>
          <w:rFonts w:hint="eastAsia" w:ascii="仿宋_GB2312" w:hAnsi="ˎ̥" w:eastAsia="仿宋_GB2312"/>
          <w:color w:val="auto"/>
          <w:sz w:val="32"/>
          <w:szCs w:val="32"/>
        </w:rPr>
        <w:t>%。其中：</w:t>
      </w:r>
    </w:p>
    <w:p w14:paraId="7181552B">
      <w:pPr>
        <w:spacing w:line="578" w:lineRule="exact"/>
        <w:ind w:firstLine="640" w:firstLineChars="200"/>
        <w:rPr>
          <w:rFonts w:hint="eastAsia" w:ascii="仿宋_GB2312" w:hAnsi="ˎ̥" w:eastAsia="仿宋_GB2312"/>
          <w:b/>
          <w:color w:val="auto"/>
          <w:sz w:val="32"/>
          <w:szCs w:val="32"/>
          <w:highlight w:val="none"/>
        </w:rPr>
      </w:pPr>
      <w:r>
        <w:rPr>
          <w:rFonts w:hint="eastAsia" w:ascii="仿宋_GB2312" w:hAnsi="ˎ̥" w:eastAsia="仿宋_GB2312"/>
          <w:color w:val="auto"/>
          <w:sz w:val="32"/>
          <w:szCs w:val="32"/>
          <w:highlight w:val="none"/>
        </w:rPr>
        <w:t>1.</w:t>
      </w:r>
      <w:r>
        <w:rPr>
          <w:rFonts w:hint="eastAsia" w:ascii="仿宋_GB2312" w:hAnsi="ˎ̥" w:eastAsia="仿宋_GB2312"/>
          <w:b/>
          <w:color w:val="auto"/>
          <w:sz w:val="32"/>
          <w:szCs w:val="32"/>
          <w:highlight w:val="none"/>
        </w:rPr>
        <w:t>一般公共服务（类）</w:t>
      </w:r>
      <w:r>
        <w:rPr>
          <w:rFonts w:hint="eastAsia" w:ascii="仿宋_GB2312" w:hAnsi="ˎ̥" w:eastAsia="仿宋_GB2312"/>
          <w:b/>
          <w:color w:val="auto"/>
          <w:sz w:val="32"/>
          <w:szCs w:val="32"/>
          <w:highlight w:val="none"/>
          <w:lang w:val="en-US" w:eastAsia="zh-CN"/>
        </w:rPr>
        <w:t>其他共产党事务支出</w:t>
      </w:r>
      <w:r>
        <w:rPr>
          <w:rFonts w:hint="eastAsia" w:ascii="仿宋_GB2312" w:hAnsi="ˎ̥" w:eastAsia="仿宋_GB2312"/>
          <w:b/>
          <w:color w:val="auto"/>
          <w:sz w:val="32"/>
          <w:szCs w:val="32"/>
          <w:highlight w:val="none"/>
        </w:rPr>
        <w:t>（款）</w:t>
      </w:r>
      <w:r>
        <w:rPr>
          <w:rFonts w:hint="eastAsia" w:ascii="仿宋_GB2312" w:hAnsi="ˎ̥" w:eastAsia="仿宋_GB2312"/>
          <w:b/>
          <w:color w:val="auto"/>
          <w:sz w:val="32"/>
          <w:szCs w:val="32"/>
          <w:highlight w:val="none"/>
          <w:lang w:val="en-US" w:eastAsia="zh-CN"/>
        </w:rPr>
        <w:t>其他共产党事务支出</w:t>
      </w:r>
      <w:r>
        <w:rPr>
          <w:rFonts w:hint="eastAsia" w:ascii="仿宋_GB2312" w:hAnsi="ˎ̥" w:eastAsia="仿宋_GB2312"/>
          <w:b/>
          <w:color w:val="auto"/>
          <w:sz w:val="32"/>
          <w:szCs w:val="32"/>
          <w:highlight w:val="none"/>
        </w:rPr>
        <w:t>（项）。</w:t>
      </w:r>
    </w:p>
    <w:p w14:paraId="1CFE03B0">
      <w:pPr>
        <w:spacing w:line="578" w:lineRule="exact"/>
        <w:ind w:firstLine="640" w:firstLineChars="200"/>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年初预算为</w:t>
      </w:r>
      <w:r>
        <w:rPr>
          <w:rFonts w:hint="eastAsia" w:ascii="仿宋_GB2312" w:hAnsi="ˎ̥" w:eastAsia="仿宋_GB2312"/>
          <w:color w:val="auto"/>
          <w:sz w:val="32"/>
          <w:szCs w:val="32"/>
          <w:highlight w:val="none"/>
          <w:lang w:val="en-US" w:eastAsia="zh-CN"/>
        </w:rPr>
        <w:t>1.34</w:t>
      </w:r>
      <w:r>
        <w:rPr>
          <w:rFonts w:hint="eastAsia" w:ascii="仿宋_GB2312" w:hAnsi="ˎ̥" w:eastAsia="仿宋_GB2312"/>
          <w:color w:val="auto"/>
          <w:sz w:val="32"/>
          <w:szCs w:val="32"/>
          <w:highlight w:val="none"/>
        </w:rPr>
        <w:t>万元，支出决算为</w:t>
      </w:r>
      <w:r>
        <w:rPr>
          <w:rFonts w:hint="eastAsia" w:ascii="仿宋_GB2312" w:hAnsi="ˎ̥" w:eastAsia="仿宋_GB2312"/>
          <w:color w:val="auto"/>
          <w:sz w:val="32"/>
          <w:szCs w:val="32"/>
          <w:highlight w:val="none"/>
          <w:lang w:val="en-US" w:eastAsia="zh-CN"/>
        </w:rPr>
        <w:t>1.23</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91.79</w:t>
      </w:r>
      <w:r>
        <w:rPr>
          <w:rFonts w:hint="eastAsia" w:ascii="仿宋_GB2312" w:hAnsi="ˎ̥" w:eastAsia="仿宋_GB2312"/>
          <w:color w:val="auto"/>
          <w:sz w:val="32"/>
          <w:szCs w:val="32"/>
          <w:highlight w:val="none"/>
        </w:rPr>
        <w:t>%。决算数</w:t>
      </w:r>
      <w:r>
        <w:rPr>
          <w:rFonts w:hint="eastAsia" w:ascii="仿宋_GB2312" w:hAnsi="ˎ̥" w:eastAsia="仿宋_GB2312"/>
          <w:color w:val="auto"/>
          <w:sz w:val="32"/>
          <w:szCs w:val="32"/>
          <w:highlight w:val="none"/>
          <w:lang w:val="en-US" w:eastAsia="zh-CN"/>
        </w:rPr>
        <w:t>小于</w:t>
      </w:r>
      <w:r>
        <w:rPr>
          <w:rFonts w:hint="eastAsia" w:ascii="仿宋_GB2312" w:hAnsi="ˎ̥" w:eastAsia="仿宋_GB2312"/>
          <w:color w:val="auto"/>
          <w:sz w:val="32"/>
          <w:szCs w:val="32"/>
          <w:highlight w:val="none"/>
        </w:rPr>
        <w:t>预算数主要原因：</w:t>
      </w:r>
      <w:r>
        <w:rPr>
          <w:rFonts w:hint="eastAsia" w:ascii="仿宋_GB2312" w:hAnsi="ˎ̥" w:eastAsia="仿宋_GB2312"/>
          <w:color w:val="auto"/>
          <w:sz w:val="32"/>
          <w:szCs w:val="32"/>
          <w:highlight w:val="none"/>
          <w:lang w:val="en-US" w:eastAsia="zh-CN"/>
        </w:rPr>
        <w:t>本年度学校退休党支部工作经费少支出0.11万元</w:t>
      </w:r>
      <w:r>
        <w:rPr>
          <w:rFonts w:hint="eastAsia" w:ascii="仿宋_GB2312" w:hAnsi="ˎ̥" w:eastAsia="仿宋_GB2312"/>
          <w:color w:val="auto"/>
          <w:sz w:val="32"/>
          <w:szCs w:val="32"/>
          <w:highlight w:val="none"/>
        </w:rPr>
        <w:t>。</w:t>
      </w:r>
    </w:p>
    <w:p w14:paraId="16F078D0">
      <w:pPr>
        <w:keepNext w:val="0"/>
        <w:keepLines w:val="0"/>
        <w:widowControl/>
        <w:suppressLineNumbers w:val="0"/>
        <w:spacing w:before="0" w:beforeAutospacing="0" w:after="0" w:afterAutospacing="0"/>
        <w:ind w:right="0"/>
        <w:jc w:val="left"/>
        <w:rPr>
          <w:rFonts w:hint="eastAsia" w:ascii="仿宋_GB2312" w:hAnsi="ˎ̥" w:eastAsia="仿宋_GB2312" w:cs="仿宋_GB2312"/>
          <w:b/>
          <w:bCs/>
          <w:color w:val="auto"/>
          <w:kern w:val="0"/>
          <w:sz w:val="32"/>
          <w:szCs w:val="32"/>
          <w:highlight w:val="none"/>
          <w:shd w:val="clear" w:color="auto" w:fill="FFFFFF"/>
        </w:rPr>
      </w:pPr>
      <w:r>
        <w:rPr>
          <w:rFonts w:hint="eastAsia" w:ascii="仿宋_GB2312" w:hAnsi="ˎ̥" w:eastAsia="仿宋_GB2312"/>
          <w:color w:val="auto"/>
          <w:sz w:val="32"/>
          <w:szCs w:val="32"/>
          <w:highlight w:val="none"/>
        </w:rPr>
        <w:t xml:space="preserve"> </w:t>
      </w:r>
      <w:r>
        <w:rPr>
          <w:rFonts w:hint="eastAsia" w:ascii="仿宋_GB2312" w:hAnsi="ˎ̥" w:eastAsia="仿宋_GB2312" w:cs="仿宋_GB2312"/>
          <w:b/>
          <w:bCs/>
          <w:color w:val="auto"/>
          <w:kern w:val="0"/>
          <w:sz w:val="32"/>
          <w:szCs w:val="32"/>
          <w:highlight w:val="none"/>
          <w:shd w:val="clear" w:color="auto" w:fill="FFFFFF"/>
        </w:rPr>
        <w:t>2.教育支出（类）普通教育（款）初中教育（项）</w:t>
      </w:r>
    </w:p>
    <w:p w14:paraId="13906F29">
      <w:pPr>
        <w:spacing w:line="578" w:lineRule="exact"/>
        <w:ind w:firstLine="640" w:firstLineChars="200"/>
        <w:rPr>
          <w:rFonts w:hint="eastAsia" w:ascii="仿宋_GB2312" w:hAnsi="ˎ̥" w:eastAsia="仿宋_GB2312"/>
          <w:color w:val="auto"/>
          <w:sz w:val="32"/>
          <w:szCs w:val="32"/>
          <w:highlight w:val="none"/>
        </w:rPr>
      </w:pPr>
      <w:r>
        <w:rPr>
          <w:rFonts w:hint="eastAsia" w:ascii="仿宋_GB2312" w:hAnsi="ˎ̥" w:eastAsia="仿宋_GB2312" w:cs="仿宋_GB2312"/>
          <w:color w:val="auto"/>
          <w:kern w:val="0"/>
          <w:sz w:val="32"/>
          <w:szCs w:val="32"/>
          <w:highlight w:val="none"/>
          <w:shd w:val="clear" w:color="auto" w:fill="FFFFFF"/>
        </w:rPr>
        <w:t>年初预算为</w:t>
      </w:r>
      <w:r>
        <w:rPr>
          <w:rFonts w:hint="eastAsia" w:ascii="仿宋_GB2312" w:hAnsi="ˎ̥" w:eastAsia="仿宋_GB2312" w:cs="仿宋_GB2312"/>
          <w:color w:val="auto"/>
          <w:kern w:val="0"/>
          <w:sz w:val="32"/>
          <w:szCs w:val="32"/>
          <w:highlight w:val="none"/>
          <w:shd w:val="clear" w:color="auto" w:fill="FFFFFF"/>
          <w:lang w:val="en-US" w:eastAsia="zh-CN"/>
        </w:rPr>
        <w:t>1581.76</w:t>
      </w:r>
      <w:r>
        <w:rPr>
          <w:rFonts w:hint="eastAsia" w:ascii="仿宋_GB2312" w:hAnsi="ˎ̥" w:eastAsia="仿宋_GB2312" w:cs="仿宋_GB2312"/>
          <w:color w:val="auto"/>
          <w:kern w:val="0"/>
          <w:sz w:val="32"/>
          <w:szCs w:val="32"/>
          <w:highlight w:val="none"/>
          <w:shd w:val="clear" w:color="auto" w:fill="FFFFFF"/>
        </w:rPr>
        <w:t>万元，支出决算为</w:t>
      </w:r>
      <w:r>
        <w:rPr>
          <w:rFonts w:hint="eastAsia" w:ascii="仿宋_GB2312" w:hAnsi="ˎ̥" w:eastAsia="仿宋_GB2312" w:cs="仿宋_GB2312"/>
          <w:color w:val="auto"/>
          <w:kern w:val="0"/>
          <w:sz w:val="32"/>
          <w:szCs w:val="32"/>
          <w:highlight w:val="none"/>
          <w:shd w:val="clear" w:color="auto" w:fill="FFFFFF"/>
          <w:lang w:val="en-US" w:eastAsia="zh-CN"/>
        </w:rPr>
        <w:t>1515.59</w:t>
      </w:r>
      <w:r>
        <w:rPr>
          <w:rFonts w:hint="eastAsia" w:ascii="仿宋_GB2312" w:hAnsi="ˎ̥" w:eastAsia="仿宋_GB2312" w:cs="仿宋_GB2312"/>
          <w:color w:val="auto"/>
          <w:kern w:val="0"/>
          <w:sz w:val="32"/>
          <w:szCs w:val="32"/>
          <w:highlight w:val="none"/>
          <w:shd w:val="clear" w:color="auto" w:fill="FFFFFF"/>
        </w:rPr>
        <w:t>万元，完成年初预算的</w:t>
      </w:r>
      <w:r>
        <w:rPr>
          <w:rFonts w:hint="eastAsia" w:ascii="仿宋_GB2312" w:hAnsi="ˎ̥" w:eastAsia="仿宋_GB2312" w:cs="仿宋_GB2312"/>
          <w:color w:val="auto"/>
          <w:kern w:val="0"/>
          <w:sz w:val="32"/>
          <w:szCs w:val="32"/>
          <w:highlight w:val="none"/>
          <w:shd w:val="clear" w:color="auto" w:fill="FFFFFF"/>
          <w:lang w:val="en-US" w:eastAsia="zh-CN"/>
        </w:rPr>
        <w:t>95.81</w:t>
      </w:r>
      <w:r>
        <w:rPr>
          <w:rFonts w:hint="eastAsia" w:ascii="仿宋_GB2312" w:hAnsi="ˎ̥" w:eastAsia="仿宋_GB2312" w:cs="仿宋_GB2312"/>
          <w:color w:val="auto"/>
          <w:kern w:val="0"/>
          <w:sz w:val="32"/>
          <w:szCs w:val="32"/>
          <w:highlight w:val="none"/>
          <w:shd w:val="clear" w:color="auto" w:fill="FFFFFF"/>
        </w:rPr>
        <w:t>%。决算数</w:t>
      </w:r>
      <w:r>
        <w:rPr>
          <w:rFonts w:hint="eastAsia" w:ascii="仿宋_GB2312" w:hAnsi="ˎ̥" w:eastAsia="仿宋_GB2312" w:cs="仿宋_GB2312"/>
          <w:color w:val="auto"/>
          <w:kern w:val="0"/>
          <w:sz w:val="32"/>
          <w:szCs w:val="32"/>
          <w:highlight w:val="none"/>
          <w:shd w:val="clear" w:color="auto" w:fill="FFFFFF"/>
          <w:lang w:val="en-US" w:eastAsia="zh-CN"/>
        </w:rPr>
        <w:t>小</w:t>
      </w:r>
      <w:r>
        <w:rPr>
          <w:rFonts w:hint="eastAsia" w:ascii="仿宋_GB2312" w:hAnsi="ˎ̥" w:eastAsia="仿宋_GB2312" w:cs="仿宋_GB2312"/>
          <w:color w:val="auto"/>
          <w:kern w:val="0"/>
          <w:sz w:val="32"/>
          <w:szCs w:val="32"/>
          <w:highlight w:val="none"/>
          <w:shd w:val="clear" w:color="auto" w:fill="FFFFFF"/>
        </w:rPr>
        <w:t>于预算数的主要原因：一</w:t>
      </w:r>
      <w:r>
        <w:rPr>
          <w:rFonts w:hint="eastAsia" w:ascii="仿宋_GB2312" w:hAnsi="ˎ̥" w:eastAsia="仿宋_GB2312" w:cs="仿宋_GB2312"/>
          <w:color w:val="auto"/>
          <w:kern w:val="0"/>
          <w:sz w:val="32"/>
          <w:szCs w:val="32"/>
          <w:highlight w:val="none"/>
          <w:shd w:val="clear" w:color="auto" w:fill="FFFFFF"/>
          <w:lang w:val="en-US" w:eastAsia="zh-CN"/>
        </w:rPr>
        <w:t>年初预算数据较大</w:t>
      </w:r>
      <w:r>
        <w:rPr>
          <w:rFonts w:hint="eastAsia" w:ascii="仿宋_GB2312" w:hAnsi="ˎ̥" w:eastAsia="仿宋_GB2312" w:cs="仿宋_GB2312"/>
          <w:color w:val="auto"/>
          <w:kern w:val="0"/>
          <w:sz w:val="32"/>
          <w:szCs w:val="32"/>
          <w:highlight w:val="none"/>
          <w:shd w:val="clear" w:color="auto" w:fill="FFFFFF"/>
        </w:rPr>
        <w:t>；二本单位</w:t>
      </w:r>
      <w:r>
        <w:rPr>
          <w:rFonts w:hint="eastAsia" w:ascii="仿宋_GB2312" w:hAnsi="ˎ̥" w:eastAsia="仿宋_GB2312" w:cs="仿宋_GB2312"/>
          <w:color w:val="auto"/>
          <w:kern w:val="0"/>
          <w:sz w:val="32"/>
          <w:szCs w:val="32"/>
          <w:highlight w:val="none"/>
          <w:shd w:val="clear" w:color="auto" w:fill="FFFFFF"/>
          <w:lang w:val="en-US" w:eastAsia="zh-CN"/>
        </w:rPr>
        <w:t>退休人员增加</w:t>
      </w:r>
      <w:r>
        <w:rPr>
          <w:rFonts w:hint="eastAsia" w:ascii="仿宋_GB2312" w:hAnsi="ˎ̥" w:eastAsia="仿宋_GB2312" w:cs="仿宋_GB2312"/>
          <w:color w:val="auto"/>
          <w:kern w:val="0"/>
          <w:sz w:val="32"/>
          <w:szCs w:val="32"/>
          <w:highlight w:val="none"/>
          <w:shd w:val="clear" w:color="auto" w:fill="FFFFFF"/>
        </w:rPr>
        <w:t>。</w:t>
      </w:r>
    </w:p>
    <w:p w14:paraId="70042EF1">
      <w:pPr>
        <w:keepNext w:val="0"/>
        <w:keepLines w:val="0"/>
        <w:widowControl/>
        <w:numPr>
          <w:ilvl w:val="0"/>
          <w:numId w:val="2"/>
        </w:numPr>
        <w:suppressLineNumbers w:val="0"/>
        <w:spacing w:before="0" w:beforeAutospacing="0" w:after="0" w:afterAutospacing="0"/>
        <w:ind w:left="0" w:leftChars="0" w:right="0" w:rightChars="0" w:firstLine="0" w:firstLineChars="0"/>
        <w:jc w:val="left"/>
        <w:rPr>
          <w:rFonts w:hint="eastAsia" w:ascii="仿宋_GB2312" w:hAnsi="ˎ̥" w:eastAsia="仿宋_GB2312" w:cs="仿宋_GB2312"/>
          <w:b/>
          <w:bCs/>
          <w:color w:val="auto"/>
          <w:kern w:val="0"/>
          <w:sz w:val="32"/>
          <w:szCs w:val="32"/>
          <w:highlight w:val="none"/>
          <w:shd w:val="clear" w:color="auto" w:fill="FFFFFF"/>
        </w:rPr>
      </w:pPr>
      <w:r>
        <w:rPr>
          <w:rFonts w:hint="eastAsia" w:ascii="仿宋_GB2312" w:hAnsi="ˎ̥" w:eastAsia="仿宋_GB2312" w:cs="仿宋_GB2312"/>
          <w:b/>
          <w:bCs/>
          <w:color w:val="auto"/>
          <w:kern w:val="0"/>
          <w:sz w:val="32"/>
          <w:szCs w:val="32"/>
          <w:highlight w:val="none"/>
          <w:shd w:val="clear" w:color="auto" w:fill="FFFFFF"/>
        </w:rPr>
        <w:t>社会保障和就业（类）行政事业单位离退休（款）机关事业单位基本养老保险缴费支出（项）</w:t>
      </w:r>
    </w:p>
    <w:p w14:paraId="02B177C2">
      <w:pPr>
        <w:keepNext w:val="0"/>
        <w:keepLines w:val="0"/>
        <w:widowControl/>
        <w:suppressLineNumbers w:val="0"/>
        <w:ind w:left="0" w:firstLine="640" w:firstLineChars="200"/>
        <w:rPr>
          <w:rFonts w:hint="eastAsia" w:ascii="仿宋_GB2312" w:hAnsi="宋体" w:eastAsia="仿宋_GB2312" w:cs="仿宋_GB2312"/>
          <w:color w:val="auto"/>
          <w:kern w:val="0"/>
          <w:sz w:val="32"/>
          <w:szCs w:val="32"/>
          <w:highlight w:val="none"/>
        </w:rPr>
      </w:pPr>
      <w:r>
        <w:rPr>
          <w:rFonts w:hint="eastAsia" w:ascii="仿宋_GB2312" w:hAnsi="ˎ̥" w:eastAsia="仿宋_GB2312" w:cs="仿宋_GB2312"/>
          <w:color w:val="auto"/>
          <w:kern w:val="0"/>
          <w:sz w:val="32"/>
          <w:szCs w:val="32"/>
          <w:highlight w:val="none"/>
          <w:shd w:val="clear" w:color="auto" w:fill="FFFFFF"/>
        </w:rPr>
        <w:t>年初预算为</w:t>
      </w:r>
      <w:r>
        <w:rPr>
          <w:rFonts w:hint="eastAsia" w:ascii="仿宋_GB2312" w:hAnsi="ˎ̥" w:eastAsia="仿宋_GB2312" w:cs="仿宋_GB2312"/>
          <w:color w:val="auto"/>
          <w:kern w:val="0"/>
          <w:sz w:val="32"/>
          <w:szCs w:val="32"/>
          <w:highlight w:val="none"/>
          <w:shd w:val="clear" w:color="auto" w:fill="FFFFFF"/>
          <w:lang w:val="en-US" w:eastAsia="zh-CN"/>
        </w:rPr>
        <w:t>313.96</w:t>
      </w:r>
      <w:r>
        <w:rPr>
          <w:rFonts w:hint="eastAsia" w:ascii="仿宋_GB2312" w:hAnsi="ˎ̥" w:eastAsia="仿宋_GB2312" w:cs="仿宋_GB2312"/>
          <w:color w:val="auto"/>
          <w:kern w:val="0"/>
          <w:sz w:val="32"/>
          <w:szCs w:val="32"/>
          <w:highlight w:val="none"/>
          <w:shd w:val="clear" w:color="auto" w:fill="FFFFFF"/>
        </w:rPr>
        <w:t>万元，支出决算为</w:t>
      </w:r>
      <w:r>
        <w:rPr>
          <w:rFonts w:hint="eastAsia" w:ascii="仿宋_GB2312" w:hAnsi="ˎ̥" w:eastAsia="仿宋_GB2312"/>
          <w:color w:val="auto"/>
          <w:sz w:val="32"/>
          <w:szCs w:val="32"/>
          <w:highlight w:val="none"/>
          <w:lang w:val="en-US" w:eastAsia="zh-CN"/>
        </w:rPr>
        <w:t>299.40</w:t>
      </w:r>
      <w:r>
        <w:rPr>
          <w:rFonts w:hint="eastAsia" w:ascii="仿宋_GB2312" w:hAnsi="ˎ̥" w:eastAsia="仿宋_GB2312" w:cs="仿宋_GB2312"/>
          <w:color w:val="auto"/>
          <w:kern w:val="0"/>
          <w:sz w:val="32"/>
          <w:szCs w:val="32"/>
          <w:highlight w:val="none"/>
          <w:shd w:val="clear" w:color="auto" w:fill="FFFFFF"/>
        </w:rPr>
        <w:t>万元，完成年初预算的</w:t>
      </w:r>
      <w:r>
        <w:rPr>
          <w:rFonts w:hint="eastAsia" w:ascii="仿宋_GB2312" w:hAnsi="ˎ̥" w:eastAsia="仿宋_GB2312" w:cs="仿宋_GB2312"/>
          <w:color w:val="auto"/>
          <w:kern w:val="0"/>
          <w:sz w:val="32"/>
          <w:szCs w:val="32"/>
          <w:highlight w:val="none"/>
          <w:shd w:val="clear" w:color="auto" w:fill="FFFFFF"/>
          <w:lang w:val="en-US" w:eastAsia="zh-CN"/>
        </w:rPr>
        <w:t>104.86</w:t>
      </w:r>
      <w:r>
        <w:rPr>
          <w:rFonts w:hint="eastAsia" w:ascii="仿宋_GB2312" w:hAnsi="ˎ̥" w:eastAsia="仿宋_GB2312" w:cs="仿宋_GB2312"/>
          <w:color w:val="auto"/>
          <w:kern w:val="0"/>
          <w:sz w:val="32"/>
          <w:szCs w:val="32"/>
          <w:highlight w:val="none"/>
          <w:shd w:val="clear" w:color="auto" w:fill="FFFFFF"/>
        </w:rPr>
        <w:t>%。决算数大于预算数的主要原因：一是年初预算数相应减少</w:t>
      </w:r>
      <w:r>
        <w:rPr>
          <w:rFonts w:hint="eastAsia" w:ascii="仿宋_GB2312" w:hAnsi="宋体" w:eastAsia="仿宋_GB2312" w:cs="仿宋_GB2312"/>
          <w:color w:val="auto"/>
          <w:kern w:val="0"/>
          <w:sz w:val="32"/>
          <w:szCs w:val="32"/>
          <w:highlight w:val="none"/>
        </w:rPr>
        <w:t>；二是本年度有新增人员，人员经费增加。</w:t>
      </w:r>
    </w:p>
    <w:p w14:paraId="7D7C29E8">
      <w:pPr>
        <w:keepNext w:val="0"/>
        <w:keepLines w:val="0"/>
        <w:widowControl/>
        <w:suppressLineNumbers w:val="0"/>
        <w:spacing w:before="0" w:beforeAutospacing="0" w:after="0" w:afterAutospacing="0"/>
        <w:ind w:leftChars="0" w:right="0" w:rightChars="0"/>
        <w:jc w:val="left"/>
        <w:rPr>
          <w:rFonts w:hint="eastAsia" w:ascii="仿宋_GB2312" w:hAnsi="ˎ̥" w:eastAsia="仿宋_GB2312" w:cs="仿宋_GB2312"/>
          <w:b/>
          <w:bCs/>
          <w:color w:val="auto"/>
          <w:kern w:val="0"/>
          <w:sz w:val="32"/>
          <w:szCs w:val="32"/>
          <w:highlight w:val="none"/>
          <w:shd w:val="clear" w:color="auto" w:fill="FFFFFF"/>
        </w:rPr>
      </w:pPr>
      <w:r>
        <w:rPr>
          <w:rFonts w:hint="eastAsia" w:ascii="仿宋_GB2312" w:hAnsi="宋体" w:eastAsia="仿宋_GB2312" w:cs="仿宋_GB2312"/>
          <w:b/>
          <w:bCs/>
          <w:color w:val="auto"/>
          <w:kern w:val="0"/>
          <w:sz w:val="32"/>
          <w:szCs w:val="32"/>
          <w:highlight w:val="none"/>
        </w:rPr>
        <w:t>4.卫生健康</w:t>
      </w:r>
      <w:r>
        <w:rPr>
          <w:rFonts w:hint="eastAsia" w:ascii="仿宋_GB2312" w:hAnsi="ˎ̥" w:eastAsia="仿宋_GB2312" w:cs="仿宋_GB2312"/>
          <w:b/>
          <w:bCs/>
          <w:color w:val="auto"/>
          <w:kern w:val="0"/>
          <w:sz w:val="32"/>
          <w:szCs w:val="32"/>
          <w:highlight w:val="none"/>
          <w:shd w:val="clear" w:color="auto" w:fill="FFFFFF"/>
        </w:rPr>
        <w:t>（类）行政事业单位医疗（款）事业单位医疗、公补（项）</w:t>
      </w:r>
    </w:p>
    <w:p w14:paraId="7E8AE5DB">
      <w:pPr>
        <w:keepNext w:val="0"/>
        <w:keepLines w:val="0"/>
        <w:widowControl/>
        <w:suppressLineNumbers w:val="0"/>
        <w:spacing w:before="0" w:beforeAutospacing="0" w:after="0" w:afterAutospacing="0"/>
        <w:ind w:left="0" w:leftChars="0" w:right="0" w:rightChars="0" w:firstLine="640" w:firstLineChars="200"/>
        <w:jc w:val="left"/>
        <w:rPr>
          <w:rFonts w:hint="eastAsia" w:ascii="仿宋_GB2312" w:hAnsi="ˎ̥" w:eastAsia="仿宋_GB2312" w:cs="仿宋_GB2312"/>
          <w:color w:val="auto"/>
          <w:kern w:val="0"/>
          <w:sz w:val="32"/>
          <w:szCs w:val="32"/>
          <w:highlight w:val="none"/>
          <w:shd w:val="clear" w:color="auto" w:fill="FFFFFF"/>
        </w:rPr>
      </w:pPr>
      <w:r>
        <w:rPr>
          <w:rFonts w:hint="eastAsia" w:ascii="仿宋_GB2312" w:hAnsi="ˎ̥" w:eastAsia="仿宋_GB2312" w:cs="仿宋_GB2312"/>
          <w:color w:val="auto"/>
          <w:kern w:val="0"/>
          <w:sz w:val="32"/>
          <w:szCs w:val="32"/>
          <w:highlight w:val="none"/>
          <w:shd w:val="clear" w:color="auto" w:fill="FFFFFF"/>
        </w:rPr>
        <w:t>年初预算为</w:t>
      </w:r>
      <w:r>
        <w:rPr>
          <w:rFonts w:hint="eastAsia" w:ascii="仿宋_GB2312" w:hAnsi="ˎ̥" w:eastAsia="仿宋_GB2312" w:cs="仿宋_GB2312"/>
          <w:color w:val="auto"/>
          <w:kern w:val="0"/>
          <w:sz w:val="32"/>
          <w:szCs w:val="32"/>
          <w:highlight w:val="none"/>
          <w:shd w:val="clear" w:color="auto" w:fill="FFFFFF"/>
          <w:lang w:val="en-US" w:eastAsia="zh-CN"/>
        </w:rPr>
        <w:t>358.12</w:t>
      </w:r>
      <w:r>
        <w:rPr>
          <w:rFonts w:hint="eastAsia" w:ascii="仿宋_GB2312" w:hAnsi="ˎ̥" w:eastAsia="仿宋_GB2312" w:cs="仿宋_GB2312"/>
          <w:color w:val="auto"/>
          <w:kern w:val="0"/>
          <w:sz w:val="32"/>
          <w:szCs w:val="32"/>
          <w:highlight w:val="none"/>
          <w:shd w:val="clear" w:color="auto" w:fill="FFFFFF"/>
        </w:rPr>
        <w:t>万元，支出决算为</w:t>
      </w:r>
      <w:r>
        <w:rPr>
          <w:rFonts w:hint="eastAsia" w:ascii="仿宋_GB2312" w:hAnsi="ˎ̥" w:eastAsia="仿宋_GB2312"/>
          <w:color w:val="auto"/>
          <w:sz w:val="32"/>
          <w:szCs w:val="32"/>
          <w:highlight w:val="none"/>
          <w:lang w:val="en-US" w:eastAsia="zh-CN"/>
        </w:rPr>
        <w:t>279.69</w:t>
      </w:r>
      <w:r>
        <w:rPr>
          <w:rFonts w:hint="eastAsia" w:ascii="仿宋_GB2312" w:hAnsi="ˎ̥" w:eastAsia="仿宋_GB2312" w:cs="仿宋_GB2312"/>
          <w:color w:val="auto"/>
          <w:kern w:val="0"/>
          <w:sz w:val="32"/>
          <w:szCs w:val="32"/>
          <w:highlight w:val="none"/>
          <w:shd w:val="clear" w:color="auto" w:fill="FFFFFF"/>
        </w:rPr>
        <w:t>万元，完成年初预算的</w:t>
      </w:r>
      <w:r>
        <w:rPr>
          <w:rFonts w:hint="eastAsia" w:ascii="仿宋_GB2312" w:hAnsi="ˎ̥" w:eastAsia="仿宋_GB2312" w:cs="仿宋_GB2312"/>
          <w:color w:val="auto"/>
          <w:kern w:val="0"/>
          <w:sz w:val="32"/>
          <w:szCs w:val="32"/>
          <w:highlight w:val="none"/>
          <w:shd w:val="clear" w:color="auto" w:fill="FFFFFF"/>
          <w:lang w:val="en-US" w:eastAsia="zh-CN"/>
        </w:rPr>
        <w:t>78.10</w:t>
      </w:r>
      <w:r>
        <w:rPr>
          <w:rFonts w:hint="eastAsia" w:ascii="仿宋_GB2312" w:hAnsi="ˎ̥" w:eastAsia="仿宋_GB2312" w:cs="仿宋_GB2312"/>
          <w:color w:val="auto"/>
          <w:kern w:val="0"/>
          <w:sz w:val="32"/>
          <w:szCs w:val="32"/>
          <w:highlight w:val="none"/>
          <w:shd w:val="clear" w:color="auto" w:fill="FFFFFF"/>
        </w:rPr>
        <w:t>%。决算数</w:t>
      </w:r>
      <w:r>
        <w:rPr>
          <w:rFonts w:hint="eastAsia" w:ascii="仿宋_GB2312" w:hAnsi="ˎ̥" w:eastAsia="仿宋_GB2312" w:cs="仿宋_GB2312"/>
          <w:color w:val="auto"/>
          <w:kern w:val="0"/>
          <w:sz w:val="32"/>
          <w:szCs w:val="32"/>
          <w:highlight w:val="none"/>
          <w:shd w:val="clear" w:color="auto" w:fill="FFFFFF"/>
          <w:lang w:val="en-US" w:eastAsia="zh-CN"/>
        </w:rPr>
        <w:t>小</w:t>
      </w:r>
      <w:r>
        <w:rPr>
          <w:rFonts w:hint="eastAsia" w:ascii="仿宋_GB2312" w:hAnsi="ˎ̥" w:eastAsia="仿宋_GB2312" w:cs="仿宋_GB2312"/>
          <w:color w:val="auto"/>
          <w:kern w:val="0"/>
          <w:sz w:val="32"/>
          <w:szCs w:val="32"/>
          <w:highlight w:val="none"/>
          <w:shd w:val="clear" w:color="auto" w:fill="FFFFFF"/>
        </w:rPr>
        <w:t>于预算数的主要原因：</w:t>
      </w:r>
      <w:r>
        <w:rPr>
          <w:rFonts w:hint="eastAsia" w:ascii="仿宋_GB2312" w:hAnsi="ˎ̥" w:eastAsia="仿宋_GB2312" w:cs="仿宋_GB2312"/>
          <w:color w:val="auto"/>
          <w:kern w:val="0"/>
          <w:sz w:val="32"/>
          <w:szCs w:val="32"/>
          <w:highlight w:val="none"/>
          <w:shd w:val="clear" w:color="auto" w:fill="FFFFFF"/>
          <w:lang w:val="en-US" w:eastAsia="zh-CN"/>
        </w:rPr>
        <w:t>为避免年末出现资金缺口，年初预算金额相应增加</w:t>
      </w:r>
      <w:r>
        <w:rPr>
          <w:rFonts w:hint="eastAsia" w:ascii="仿宋_GB2312" w:hAnsi="宋体" w:eastAsia="仿宋_GB2312" w:cs="仿宋_GB2312"/>
          <w:color w:val="auto"/>
          <w:kern w:val="0"/>
          <w:sz w:val="32"/>
          <w:szCs w:val="32"/>
          <w:highlight w:val="none"/>
        </w:rPr>
        <w:t>。</w:t>
      </w:r>
    </w:p>
    <w:p w14:paraId="79E8022E">
      <w:pPr>
        <w:keepNext w:val="0"/>
        <w:keepLines w:val="0"/>
        <w:widowControl/>
        <w:suppressLineNumbers w:val="0"/>
        <w:spacing w:before="0" w:beforeAutospacing="0" w:after="0" w:afterAutospacing="0"/>
        <w:ind w:right="0" w:rightChars="0"/>
        <w:jc w:val="left"/>
        <w:rPr>
          <w:rFonts w:hint="eastAsia" w:ascii="仿宋_GB2312" w:hAnsi="ˎ̥" w:eastAsia="仿宋_GB2312" w:cs="仿宋_GB2312"/>
          <w:b/>
          <w:bCs/>
          <w:color w:val="auto"/>
          <w:kern w:val="0"/>
          <w:sz w:val="32"/>
          <w:szCs w:val="32"/>
          <w:highlight w:val="none"/>
          <w:shd w:val="clear" w:color="auto" w:fill="FFFFFF"/>
        </w:rPr>
      </w:pPr>
      <w:r>
        <w:rPr>
          <w:rFonts w:hint="eastAsia" w:ascii="仿宋_GB2312" w:hAnsi="ˎ̥" w:eastAsia="仿宋_GB2312" w:cs="仿宋_GB2312"/>
          <w:b/>
          <w:bCs/>
          <w:color w:val="auto"/>
          <w:kern w:val="0"/>
          <w:sz w:val="32"/>
          <w:szCs w:val="32"/>
          <w:highlight w:val="none"/>
          <w:shd w:val="clear" w:color="auto" w:fill="FFFFFF"/>
        </w:rPr>
        <w:t>5、住房保障支出（类）住房改革支出（款）住房公积金（项）</w:t>
      </w:r>
    </w:p>
    <w:p w14:paraId="323A8D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s="仿宋_GB2312"/>
          <w:color w:val="auto"/>
          <w:kern w:val="0"/>
          <w:sz w:val="32"/>
          <w:szCs w:val="32"/>
          <w:highlight w:val="none"/>
          <w:shd w:val="clear" w:color="auto" w:fill="FFFFFF"/>
          <w:lang w:val="en-US" w:eastAsia="zh-CN"/>
        </w:rPr>
      </w:pPr>
      <w:r>
        <w:rPr>
          <w:rFonts w:hint="eastAsia" w:ascii="仿宋_GB2312" w:hAnsi="ˎ̥" w:eastAsia="仿宋_GB2312" w:cs="仿宋_GB2312"/>
          <w:color w:val="auto"/>
          <w:kern w:val="0"/>
          <w:sz w:val="32"/>
          <w:szCs w:val="32"/>
          <w:highlight w:val="none"/>
          <w:shd w:val="clear" w:color="auto" w:fill="FFFFFF"/>
        </w:rPr>
        <w:t>年初预算为</w:t>
      </w:r>
      <w:r>
        <w:rPr>
          <w:rFonts w:hint="eastAsia" w:ascii="仿宋_GB2312" w:hAnsi="ˎ̥" w:eastAsia="仿宋_GB2312" w:cs="仿宋_GB2312"/>
          <w:color w:val="auto"/>
          <w:kern w:val="0"/>
          <w:sz w:val="32"/>
          <w:szCs w:val="32"/>
          <w:highlight w:val="none"/>
          <w:shd w:val="clear" w:color="auto" w:fill="FFFFFF"/>
          <w:lang w:val="en-US" w:eastAsia="zh-CN"/>
        </w:rPr>
        <w:t>177.21</w:t>
      </w:r>
      <w:r>
        <w:rPr>
          <w:rFonts w:hint="eastAsia" w:ascii="仿宋_GB2312" w:hAnsi="ˎ̥" w:eastAsia="仿宋_GB2312" w:cs="仿宋_GB2312"/>
          <w:color w:val="auto"/>
          <w:kern w:val="0"/>
          <w:sz w:val="32"/>
          <w:szCs w:val="32"/>
          <w:highlight w:val="none"/>
          <w:shd w:val="clear" w:color="auto" w:fill="FFFFFF"/>
        </w:rPr>
        <w:t>万元，支出决算为</w:t>
      </w:r>
      <w:r>
        <w:rPr>
          <w:rFonts w:hint="eastAsia" w:ascii="仿宋_GB2312" w:hAnsi="ˎ̥" w:eastAsia="仿宋_GB2312"/>
          <w:color w:val="auto"/>
          <w:sz w:val="32"/>
          <w:szCs w:val="32"/>
          <w:highlight w:val="none"/>
          <w:lang w:val="en-US" w:eastAsia="zh-CN"/>
        </w:rPr>
        <w:t>145.04</w:t>
      </w:r>
      <w:r>
        <w:rPr>
          <w:rFonts w:hint="eastAsia" w:ascii="仿宋_GB2312" w:hAnsi="ˎ̥" w:eastAsia="仿宋_GB2312" w:cs="仿宋_GB2312"/>
          <w:color w:val="auto"/>
          <w:kern w:val="0"/>
          <w:sz w:val="32"/>
          <w:szCs w:val="32"/>
          <w:highlight w:val="none"/>
          <w:shd w:val="clear" w:color="auto" w:fill="FFFFFF"/>
        </w:rPr>
        <w:t>万元，完成年初预算的</w:t>
      </w:r>
      <w:r>
        <w:rPr>
          <w:rFonts w:hint="eastAsia" w:ascii="仿宋_GB2312" w:hAnsi="ˎ̥" w:eastAsia="仿宋_GB2312" w:cs="仿宋_GB2312"/>
          <w:color w:val="auto"/>
          <w:kern w:val="0"/>
          <w:sz w:val="32"/>
          <w:szCs w:val="32"/>
          <w:highlight w:val="none"/>
          <w:shd w:val="clear" w:color="auto" w:fill="FFFFFF"/>
          <w:lang w:val="en-US" w:eastAsia="zh-CN"/>
        </w:rPr>
        <w:t>81.85</w:t>
      </w:r>
      <w:r>
        <w:rPr>
          <w:rFonts w:hint="eastAsia" w:ascii="仿宋_GB2312" w:hAnsi="ˎ̥" w:eastAsia="仿宋_GB2312" w:cs="仿宋_GB2312"/>
          <w:color w:val="auto"/>
          <w:kern w:val="0"/>
          <w:sz w:val="32"/>
          <w:szCs w:val="32"/>
          <w:highlight w:val="none"/>
          <w:shd w:val="clear" w:color="auto" w:fill="FFFFFF"/>
        </w:rPr>
        <w:t>%。决算数</w:t>
      </w:r>
      <w:r>
        <w:rPr>
          <w:rFonts w:hint="eastAsia" w:ascii="仿宋_GB2312" w:hAnsi="ˎ̥" w:eastAsia="仿宋_GB2312" w:cs="仿宋_GB2312"/>
          <w:color w:val="auto"/>
          <w:kern w:val="0"/>
          <w:sz w:val="32"/>
          <w:szCs w:val="32"/>
          <w:highlight w:val="none"/>
          <w:shd w:val="clear" w:color="auto" w:fill="FFFFFF"/>
          <w:lang w:val="en-US" w:eastAsia="zh-CN"/>
        </w:rPr>
        <w:t>小</w:t>
      </w:r>
      <w:r>
        <w:rPr>
          <w:rFonts w:hint="eastAsia" w:ascii="仿宋_GB2312" w:hAnsi="ˎ̥" w:eastAsia="仿宋_GB2312" w:cs="仿宋_GB2312"/>
          <w:color w:val="auto"/>
          <w:kern w:val="0"/>
          <w:sz w:val="32"/>
          <w:szCs w:val="32"/>
          <w:highlight w:val="none"/>
          <w:shd w:val="clear" w:color="auto" w:fill="FFFFFF"/>
        </w:rPr>
        <w:t>于预算数的主要原因：</w:t>
      </w:r>
      <w:r>
        <w:rPr>
          <w:rFonts w:hint="eastAsia" w:ascii="仿宋_GB2312" w:hAnsi="ˎ̥" w:eastAsia="仿宋_GB2312" w:cs="仿宋_GB2312"/>
          <w:color w:val="auto"/>
          <w:kern w:val="0"/>
          <w:sz w:val="32"/>
          <w:szCs w:val="32"/>
          <w:highlight w:val="none"/>
          <w:shd w:val="clear" w:color="auto" w:fill="FFFFFF"/>
          <w:lang w:val="en-US" w:eastAsia="zh-CN"/>
        </w:rPr>
        <w:t>为避免年末出现资金缺口，年初预算金额相应增加。</w:t>
      </w:r>
    </w:p>
    <w:p w14:paraId="6319C30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highlight w:val="none"/>
        </w:rPr>
      </w:pPr>
      <w:r>
        <w:rPr>
          <w:rFonts w:hint="eastAsia" w:ascii="仿宋_GB2312" w:hAnsi="ˎ̥" w:eastAsia="仿宋_GB2312"/>
          <w:sz w:val="32"/>
          <w:szCs w:val="32"/>
          <w:highlight w:val="none"/>
        </w:rPr>
        <w:t>（注</w:t>
      </w:r>
      <w:r>
        <w:rPr>
          <w:rFonts w:ascii="仿宋_GB2312" w:hAnsi="ˎ̥" w:eastAsia="仿宋_GB2312"/>
          <w:sz w:val="32"/>
          <w:szCs w:val="32"/>
          <w:highlight w:val="none"/>
        </w:rPr>
        <w:t>：</w:t>
      </w:r>
      <w:r>
        <w:rPr>
          <w:rFonts w:hint="eastAsia" w:ascii="仿宋_GB2312" w:hAnsi="ˎ̥" w:eastAsia="仿宋_GB2312"/>
          <w:sz w:val="32"/>
          <w:szCs w:val="32"/>
          <w:highlight w:val="none"/>
        </w:rPr>
        <w:t>本部分支出决算数可取自财决公开05表，年初预算数可取自各</w:t>
      </w:r>
      <w:r>
        <w:rPr>
          <w:rFonts w:hint="eastAsia" w:ascii="仿宋_GB2312" w:hAnsi="ˎ̥" w:eastAsia="仿宋_GB2312"/>
          <w:sz w:val="32"/>
          <w:szCs w:val="32"/>
          <w:highlight w:val="none"/>
          <w:lang w:val="en-US" w:eastAsia="zh-CN"/>
        </w:rPr>
        <w:t>预算</w:t>
      </w:r>
      <w:r>
        <w:rPr>
          <w:rFonts w:hint="eastAsia" w:ascii="仿宋_GB2312" w:hAnsi="ˎ̥" w:eastAsia="仿宋_GB2312"/>
          <w:sz w:val="32"/>
          <w:szCs w:val="32"/>
          <w:highlight w:val="none"/>
          <w:lang w:eastAsia="zh-CN"/>
        </w:rPr>
        <w:t>单位、</w:t>
      </w:r>
      <w:r>
        <w:rPr>
          <w:rFonts w:hint="eastAsia" w:ascii="仿宋_GB2312" w:hAnsi="ˎ̥" w:eastAsia="仿宋_GB2312"/>
          <w:sz w:val="32"/>
          <w:szCs w:val="32"/>
          <w:highlight w:val="none"/>
        </w:rPr>
        <w:t>单位年初预算大本，根据实际支出涉及的支出功能分类项级科目填列</w:t>
      </w:r>
      <w:r>
        <w:rPr>
          <w:rFonts w:hint="eastAsia" w:ascii="仿宋_GB2312" w:hAnsi="ˎ̥" w:eastAsia="仿宋_GB2312"/>
          <w:sz w:val="32"/>
          <w:szCs w:val="32"/>
          <w:highlight w:val="none"/>
          <w:lang w:eastAsia="zh-CN"/>
        </w:rPr>
        <w:t>。</w:t>
      </w:r>
      <w:r>
        <w:rPr>
          <w:rFonts w:hint="eastAsia" w:ascii="仿宋_GB2312" w:hAnsi="ˎ̥" w:eastAsia="仿宋_GB2312"/>
          <w:sz w:val="32"/>
          <w:szCs w:val="32"/>
          <w:highlight w:val="none"/>
        </w:rPr>
        <w:t>）</w:t>
      </w:r>
    </w:p>
    <w:p w14:paraId="2D68D5AF">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394C0C03">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eastAsia="zh-CN"/>
        </w:rPr>
        <w:t>2092.81</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2,064.09</w:t>
      </w:r>
      <w:r>
        <w:rPr>
          <w:rFonts w:hint="eastAsia" w:ascii="仿宋_GB2312" w:hAnsi="ˎ̥" w:eastAsia="仿宋_GB2312"/>
          <w:color w:val="auto"/>
          <w:sz w:val="32"/>
          <w:szCs w:val="32"/>
        </w:rPr>
        <w:t>万元，主要包括：工资福利支出中的基本工资</w:t>
      </w:r>
      <w:r>
        <w:rPr>
          <w:rFonts w:hint="eastAsia" w:ascii="仿宋_GB2312" w:hAnsi="ˎ̥" w:eastAsia="仿宋_GB2312"/>
          <w:color w:val="auto"/>
          <w:sz w:val="32"/>
          <w:szCs w:val="32"/>
          <w:lang w:val="en-US" w:eastAsia="zh-CN"/>
        </w:rPr>
        <w:t>480.57万元</w:t>
      </w:r>
      <w:r>
        <w:rPr>
          <w:rFonts w:hint="eastAsia" w:ascii="仿宋_GB2312" w:hAnsi="ˎ̥" w:eastAsia="仿宋_GB2312"/>
          <w:color w:val="auto"/>
          <w:sz w:val="32"/>
          <w:szCs w:val="32"/>
        </w:rPr>
        <w:t>、津贴补</w:t>
      </w:r>
      <w:r>
        <w:rPr>
          <w:rFonts w:hint="eastAsia" w:ascii="仿宋_GB2312" w:hAnsi="ˎ̥" w:eastAsia="仿宋_GB2312"/>
          <w:sz w:val="32"/>
          <w:szCs w:val="32"/>
        </w:rPr>
        <w:t>贴</w:t>
      </w:r>
      <w:r>
        <w:rPr>
          <w:rFonts w:hint="eastAsia" w:ascii="仿宋_GB2312" w:hAnsi="ˎ̥" w:eastAsia="仿宋_GB2312"/>
          <w:sz w:val="32"/>
          <w:szCs w:val="32"/>
          <w:lang w:val="en-US" w:eastAsia="zh-CN"/>
        </w:rPr>
        <w:t>287.73万元、</w:t>
      </w:r>
      <w:r>
        <w:rPr>
          <w:rFonts w:hint="eastAsia" w:ascii="仿宋_GB2312" w:hAnsi="ˎ̥" w:eastAsia="仿宋_GB2312"/>
          <w:sz w:val="32"/>
          <w:szCs w:val="32"/>
        </w:rPr>
        <w:t>绩效工资</w:t>
      </w:r>
      <w:r>
        <w:rPr>
          <w:rFonts w:hint="eastAsia" w:ascii="仿宋_GB2312" w:hAnsi="ˎ̥" w:eastAsia="仿宋_GB2312"/>
          <w:sz w:val="32"/>
          <w:szCs w:val="32"/>
          <w:lang w:val="en-US" w:eastAsia="zh-CN"/>
        </w:rPr>
        <w:t>571.79万元</w:t>
      </w:r>
      <w:r>
        <w:rPr>
          <w:rFonts w:hint="eastAsia" w:ascii="仿宋_GB2312" w:hAnsi="ˎ̥" w:eastAsia="仿宋_GB2312"/>
          <w:sz w:val="32"/>
          <w:szCs w:val="32"/>
        </w:rPr>
        <w:t>、机关事业单位基本养老保险缴费</w:t>
      </w:r>
      <w:r>
        <w:rPr>
          <w:rFonts w:hint="eastAsia" w:ascii="仿宋_GB2312" w:hAnsi="ˎ̥" w:eastAsia="仿宋_GB2312"/>
          <w:sz w:val="32"/>
          <w:szCs w:val="32"/>
          <w:lang w:val="en-US" w:eastAsia="zh-CN"/>
        </w:rPr>
        <w:t>172.04万元</w:t>
      </w:r>
      <w:r>
        <w:rPr>
          <w:rFonts w:hint="eastAsia" w:ascii="仿宋_GB2312" w:hAnsi="ˎ̥" w:eastAsia="仿宋_GB2312"/>
          <w:sz w:val="32"/>
          <w:szCs w:val="32"/>
        </w:rPr>
        <w:t>、职业年金缴费</w:t>
      </w:r>
      <w:r>
        <w:rPr>
          <w:rFonts w:hint="eastAsia" w:ascii="仿宋_GB2312" w:hAnsi="ˎ̥" w:eastAsia="仿宋_GB2312"/>
          <w:sz w:val="32"/>
          <w:szCs w:val="32"/>
          <w:lang w:val="en-US" w:eastAsia="zh-CN"/>
        </w:rPr>
        <w:t>121.86万元</w:t>
      </w:r>
      <w:r>
        <w:rPr>
          <w:rFonts w:hint="eastAsia" w:ascii="仿宋_GB2312" w:hAnsi="ˎ̥" w:eastAsia="仿宋_GB2312"/>
          <w:sz w:val="32"/>
          <w:szCs w:val="32"/>
        </w:rPr>
        <w:t>、职工基本医疗保险缴费</w:t>
      </w:r>
      <w:r>
        <w:rPr>
          <w:rFonts w:hint="eastAsia" w:ascii="仿宋_GB2312" w:hAnsi="ˎ̥" w:eastAsia="仿宋_GB2312"/>
          <w:sz w:val="32"/>
          <w:szCs w:val="32"/>
          <w:lang w:val="en-US" w:eastAsia="zh-CN"/>
        </w:rPr>
        <w:t>70.92万元</w:t>
      </w:r>
      <w:r>
        <w:rPr>
          <w:rFonts w:hint="eastAsia" w:ascii="仿宋_GB2312" w:hAnsi="ˎ̥" w:eastAsia="仿宋_GB2312"/>
          <w:sz w:val="32"/>
          <w:szCs w:val="32"/>
        </w:rPr>
        <w:t>、公务员医疗补助缴费</w:t>
      </w:r>
      <w:r>
        <w:rPr>
          <w:rFonts w:hint="eastAsia" w:ascii="仿宋_GB2312" w:hAnsi="ˎ̥" w:eastAsia="仿宋_GB2312"/>
          <w:sz w:val="32"/>
          <w:szCs w:val="32"/>
          <w:lang w:val="en-US" w:eastAsia="zh-CN"/>
        </w:rPr>
        <w:t>201.60万元</w:t>
      </w:r>
      <w:r>
        <w:rPr>
          <w:rFonts w:hint="eastAsia" w:ascii="仿宋_GB2312" w:hAnsi="ˎ̥" w:eastAsia="仿宋_GB2312"/>
          <w:sz w:val="32"/>
          <w:szCs w:val="32"/>
        </w:rPr>
        <w:t>、其他社会保障缴费</w:t>
      </w:r>
      <w:r>
        <w:rPr>
          <w:rFonts w:hint="eastAsia" w:ascii="仿宋_GB2312" w:hAnsi="ˎ̥" w:eastAsia="仿宋_GB2312"/>
          <w:sz w:val="32"/>
          <w:szCs w:val="32"/>
          <w:lang w:val="en-US" w:eastAsia="zh-CN"/>
        </w:rPr>
        <w:t>5.38万元</w:t>
      </w:r>
      <w:r>
        <w:rPr>
          <w:rFonts w:hint="eastAsia" w:ascii="仿宋_GB2312" w:hAnsi="ˎ̥" w:eastAsia="仿宋_GB2312"/>
          <w:sz w:val="32"/>
          <w:szCs w:val="32"/>
        </w:rPr>
        <w:t>、住房公积金</w:t>
      </w:r>
      <w:r>
        <w:rPr>
          <w:rFonts w:hint="eastAsia" w:ascii="仿宋_GB2312" w:hAnsi="ˎ̥" w:eastAsia="仿宋_GB2312"/>
          <w:sz w:val="32"/>
          <w:szCs w:val="32"/>
          <w:lang w:val="en-US" w:eastAsia="zh-CN"/>
        </w:rPr>
        <w:t>145.04万元</w:t>
      </w:r>
      <w:r>
        <w:rPr>
          <w:rFonts w:hint="eastAsia" w:ascii="仿宋_GB2312" w:hAnsi="ˎ̥" w:eastAsia="仿宋_GB2312"/>
          <w:sz w:val="32"/>
          <w:szCs w:val="32"/>
        </w:rPr>
        <w:t>、医疗费、其他工资福利支出</w:t>
      </w:r>
      <w:r>
        <w:rPr>
          <w:rFonts w:hint="eastAsia" w:ascii="仿宋_GB2312" w:hAnsi="ˎ̥" w:eastAsia="仿宋_GB2312"/>
          <w:sz w:val="32"/>
          <w:szCs w:val="32"/>
          <w:lang w:val="en-US" w:eastAsia="zh-CN"/>
        </w:rPr>
        <w:t>7.17</w:t>
      </w:r>
      <w:r>
        <w:rPr>
          <w:rFonts w:hint="eastAsia" w:ascii="仿宋_GB2312" w:hAnsi="ˎ̥" w:eastAsia="仿宋_GB2312"/>
          <w:color w:val="auto"/>
          <w:sz w:val="32"/>
          <w:szCs w:val="32"/>
          <w:lang w:val="en-US" w:eastAsia="zh-CN"/>
        </w:rPr>
        <w:t>万元</w:t>
      </w:r>
      <w:r>
        <w:rPr>
          <w:rFonts w:hint="eastAsia" w:ascii="仿宋_GB2312" w:hAnsi="ˎ̥" w:eastAsia="仿宋_GB2312"/>
          <w:color w:val="auto"/>
          <w:sz w:val="32"/>
          <w:szCs w:val="32"/>
        </w:rPr>
        <w:t>。公用经费</w:t>
      </w:r>
      <w:r>
        <w:rPr>
          <w:rFonts w:ascii="仿宋_GB2312" w:hAnsi="ˎ̥" w:eastAsia="仿宋_GB2312"/>
          <w:color w:val="auto"/>
          <w:sz w:val="32"/>
          <w:szCs w:val="32"/>
          <w:lang w:val="en-US"/>
        </w:rPr>
        <w:t>28.72</w:t>
      </w:r>
      <w:r>
        <w:rPr>
          <w:rFonts w:hint="eastAsia" w:ascii="仿宋_GB2312" w:hAnsi="ˎ̥" w:eastAsia="仿宋_GB2312"/>
          <w:color w:val="auto"/>
          <w:sz w:val="32"/>
          <w:szCs w:val="32"/>
        </w:rPr>
        <w:t>万元，主要包括：邮电费</w:t>
      </w:r>
      <w:r>
        <w:rPr>
          <w:rFonts w:hint="eastAsia" w:ascii="仿宋_GB2312" w:hAnsi="ˎ̥" w:eastAsia="仿宋_GB2312"/>
          <w:color w:val="auto"/>
          <w:sz w:val="32"/>
          <w:szCs w:val="32"/>
          <w:lang w:val="en-US" w:eastAsia="zh-CN"/>
        </w:rPr>
        <w:t>12.80万元</w:t>
      </w:r>
      <w:r>
        <w:rPr>
          <w:rFonts w:hint="eastAsia" w:ascii="仿宋_GB2312" w:hAnsi="ˎ̥" w:eastAsia="仿宋_GB2312"/>
          <w:color w:val="auto"/>
          <w:sz w:val="32"/>
          <w:szCs w:val="32"/>
        </w:rPr>
        <w:t>、工会</w:t>
      </w:r>
      <w:r>
        <w:rPr>
          <w:rFonts w:hint="eastAsia" w:ascii="仿宋_GB2312" w:hAnsi="ˎ̥" w:eastAsia="仿宋_GB2312"/>
          <w:sz w:val="32"/>
          <w:szCs w:val="32"/>
        </w:rPr>
        <w:t>经费</w:t>
      </w:r>
      <w:r>
        <w:rPr>
          <w:rFonts w:hint="eastAsia" w:ascii="仿宋_GB2312" w:hAnsi="ˎ̥" w:eastAsia="仿宋_GB2312"/>
          <w:sz w:val="32"/>
          <w:szCs w:val="32"/>
          <w:lang w:val="en-US" w:eastAsia="zh-CN"/>
        </w:rPr>
        <w:t>15.91万元</w:t>
      </w:r>
      <w:r>
        <w:rPr>
          <w:rFonts w:hint="eastAsia" w:ascii="仿宋_GB2312" w:hAnsi="ˎ̥" w:eastAsia="仿宋_GB2312"/>
          <w:sz w:val="32"/>
          <w:szCs w:val="32"/>
        </w:rPr>
        <w:t>、其他商品和服务支出</w:t>
      </w:r>
      <w:r>
        <w:rPr>
          <w:rFonts w:hint="eastAsia" w:ascii="仿宋_GB2312" w:hAnsi="ˎ̥" w:eastAsia="仿宋_GB2312"/>
          <w:sz w:val="32"/>
          <w:szCs w:val="32"/>
          <w:lang w:val="en-US" w:eastAsia="zh-CN"/>
        </w:rPr>
        <w:t>0.01万元</w:t>
      </w:r>
      <w:r>
        <w:rPr>
          <w:rFonts w:hint="eastAsia" w:ascii="仿宋_GB2312" w:hAnsi="ˎ̥" w:eastAsia="仿宋_GB2312"/>
          <w:sz w:val="32"/>
          <w:szCs w:val="32"/>
        </w:rPr>
        <w:t>。</w:t>
      </w:r>
    </w:p>
    <w:p w14:paraId="39DF8729">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14:paraId="7A4B822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30135EB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122DFE66">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14:paraId="32CDBDF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14:paraId="006EBC4B">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ascii="仿宋_GB2312" w:hAnsi="ˎ̥" w:eastAsia="仿宋_GB2312"/>
          <w:color w:val="auto"/>
          <w:sz w:val="32"/>
          <w:szCs w:val="32"/>
        </w:rPr>
        <w:t>2</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14:paraId="3D4815C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27A662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5EEF1EEC">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w:t>
      </w:r>
      <w:r>
        <w:rPr>
          <w:rFonts w:hint="eastAsia" w:ascii="仿宋_GB2312" w:hAnsi="ˎ̥" w:eastAsia="仿宋_GB2312"/>
          <w:color w:val="auto"/>
          <w:sz w:val="32"/>
          <w:szCs w:val="32"/>
        </w:rPr>
        <w:t>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14:paraId="6E9AE06F">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14:paraId="39B8C759">
      <w:pPr>
        <w:spacing w:line="578" w:lineRule="exact"/>
        <w:ind w:firstLine="640" w:firstLineChars="200"/>
        <w:rPr>
          <w:rFonts w:hint="eastAsia" w:ascii="仿宋_GB2312" w:hAnsi="ˎ̥" w:eastAsia="仿宋_GB2312"/>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%。决算数大于（小于）预算数的主要原因：</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14:paraId="784B68C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年度单位决算报表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11CAF850">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42F7E7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70ACE415">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w:t>
      </w:r>
      <w:r>
        <w:rPr>
          <w:rFonts w:hint="default" w:ascii="仿宋_GB2312" w:hAnsi="ˎ̥" w:eastAsia="仿宋_GB2312"/>
          <w:color w:val="auto"/>
          <w:sz w:val="32"/>
          <w:szCs w:val="32"/>
          <w:lang w:val="en-US"/>
        </w:rPr>
        <w:t>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14:paraId="7547583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14:paraId="51A87D1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052FB50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14:paraId="1C9B68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526F8E71">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w:t>
      </w:r>
      <w:r>
        <w:rPr>
          <w:rFonts w:hint="eastAsia" w:ascii="仿宋_GB2312" w:hAnsi="ˎ̥" w:eastAsia="仿宋_GB2312"/>
          <w:color w:val="auto"/>
          <w:sz w:val="32"/>
          <w:szCs w:val="32"/>
        </w:rPr>
        <w:t>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14:paraId="3C79EADA">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14:paraId="55DAF4A3">
      <w:pPr>
        <w:spacing w:line="578" w:lineRule="exact"/>
        <w:ind w:firstLine="640" w:firstLineChars="200"/>
        <w:rPr>
          <w:rFonts w:hint="eastAsia" w:ascii="仿宋_GB2312" w:hAnsi="ˎ̥" w:eastAsia="仿宋_GB2312"/>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%。决算数大于（小于）预算数的主要原因：</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14:paraId="3F0D3BA2">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012A0393">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20A33C4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26796669">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w:t>
      </w:r>
      <w:r>
        <w:rPr>
          <w:rFonts w:hint="eastAsia" w:ascii="仿宋_GB2312" w:hAnsi="ˎ̥" w:eastAsia="仿宋_GB2312"/>
          <w:color w:val="auto"/>
          <w:sz w:val="32"/>
          <w:szCs w:val="32"/>
        </w:rPr>
        <w:t>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eastAsia" w:ascii="仿宋_GB2312" w:hAnsi="ˎ̥" w:eastAsia="仿宋_GB2312"/>
          <w:color w:val="auto"/>
          <w:sz w:val="32"/>
          <w:szCs w:val="32"/>
        </w:rPr>
        <w:t>2022年度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本年度未产生相关预决算数据</w:t>
      </w:r>
      <w:r>
        <w:rPr>
          <w:rFonts w:hint="eastAsia" w:ascii="仿宋_GB2312" w:hAnsi="ˎ̥" w:eastAsia="仿宋_GB2312"/>
          <w:color w:val="auto"/>
          <w:sz w:val="32"/>
          <w:szCs w:val="32"/>
        </w:rPr>
        <w:t>。</w:t>
      </w:r>
    </w:p>
    <w:p w14:paraId="47A9E948">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21DF6EE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w:t>
      </w:r>
      <w:r>
        <w:rPr>
          <w:rFonts w:hint="eastAsia" w:ascii="仿宋_GB2312" w:hAnsi="ˎ̥" w:eastAsia="仿宋_GB2312"/>
          <w:color w:val="auto"/>
          <w:sz w:val="32"/>
          <w:szCs w:val="32"/>
        </w:rPr>
        <w:t>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sz w:val="32"/>
          <w:szCs w:val="32"/>
        </w:rPr>
        <w:t>具体情况如下：</w:t>
      </w:r>
    </w:p>
    <w:p w14:paraId="3581D4D1">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p>
    <w:p w14:paraId="273DBCA8">
      <w:pPr>
        <w:spacing w:line="578" w:lineRule="exact"/>
        <w:ind w:firstLine="640" w:firstLineChars="200"/>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w:t>
      </w:r>
      <w:r>
        <w:rPr>
          <w:rFonts w:hint="eastAsia" w:ascii="仿宋_GB2312" w:hAnsi="ˎ̥" w:eastAsia="仿宋_GB2312"/>
          <w:color w:val="auto"/>
          <w:sz w:val="32"/>
          <w:szCs w:val="32"/>
          <w:lang w:val="en-US" w:eastAsia="zh-CN"/>
        </w:rPr>
        <w:t>我校无国（境）外公务接待。</w:t>
      </w:r>
    </w:p>
    <w:p w14:paraId="54AC989C">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w:t>
      </w:r>
      <w:r>
        <w:rPr>
          <w:rFonts w:hint="eastAsia" w:ascii="仿宋_GB2312" w:hAnsi="ˎ̥" w:eastAsia="仿宋_GB2312"/>
          <w:color w:val="auto"/>
          <w:sz w:val="32"/>
          <w:szCs w:val="32"/>
          <w:lang w:val="en-US" w:eastAsia="zh-CN"/>
        </w:rPr>
        <w:t>我校无国（境）外公务接待。</w:t>
      </w:r>
    </w:p>
    <w:p w14:paraId="5EB62AD7">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我校无国（境）外公务接待</w:t>
      </w:r>
      <w:r>
        <w:rPr>
          <w:rFonts w:hint="eastAsia" w:ascii="仿宋_GB2312" w:hAnsi="ˎ̥" w:eastAsia="仿宋_GB2312"/>
          <w:color w:val="auto"/>
          <w:sz w:val="32"/>
          <w:szCs w:val="32"/>
        </w:rPr>
        <w:t>。</w:t>
      </w:r>
    </w:p>
    <w:p w14:paraId="18A851D0">
      <w:pPr>
        <w:spacing w:line="578" w:lineRule="exact"/>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14:paraId="0DD7CC7C">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w:t>
      </w:r>
      <w:bookmarkStart w:id="119" w:name="_GoBack"/>
      <w:bookmarkEnd w:id="119"/>
      <w:r>
        <w:rPr>
          <w:rFonts w:hint="eastAsia" w:ascii="仿宋_GB2312" w:hAnsi="ˎ̥" w:eastAsia="仿宋_GB2312"/>
          <w:color w:val="auto"/>
          <w:sz w:val="32"/>
          <w:szCs w:val="32"/>
          <w:lang w:eastAsia="zh-CN"/>
        </w:rPr>
        <w:t>我</w:t>
      </w:r>
      <w:r>
        <w:rPr>
          <w:rFonts w:hint="eastAsia" w:ascii="仿宋_GB2312" w:hAnsi="ˎ̥" w:eastAsia="仿宋_GB2312"/>
          <w:color w:val="auto"/>
          <w:sz w:val="32"/>
          <w:szCs w:val="32"/>
          <w:lang w:val="en-US" w:eastAsia="zh-CN"/>
        </w:rPr>
        <w:t>校无公务车</w:t>
      </w:r>
      <w:r>
        <w:rPr>
          <w:rFonts w:hint="eastAsia" w:ascii="仿宋_GB2312" w:hAnsi="ˎ̥" w:eastAsia="仿宋_GB2312"/>
          <w:color w:val="auto"/>
          <w:sz w:val="32"/>
          <w:szCs w:val="32"/>
        </w:rPr>
        <w:t>，年末公务用车保有量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14:paraId="1852C3BC">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w:t>
      </w:r>
      <w:r>
        <w:rPr>
          <w:rFonts w:hint="eastAsia" w:ascii="仿宋_GB2312" w:hAnsi="ˎ̥" w:eastAsia="仿宋_GB2312"/>
          <w:color w:val="auto"/>
          <w:sz w:val="32"/>
          <w:szCs w:val="32"/>
          <w:lang w:val="en-US" w:eastAsia="zh-CN"/>
        </w:rPr>
        <w:t>我校无公务用车</w:t>
      </w:r>
      <w:r>
        <w:rPr>
          <w:rFonts w:hint="eastAsia" w:ascii="仿宋_GB2312" w:hAnsi="ˎ̥" w:eastAsia="仿宋_GB2312"/>
          <w:color w:val="auto"/>
          <w:sz w:val="32"/>
          <w:szCs w:val="32"/>
        </w:rPr>
        <w:t>。</w:t>
      </w:r>
    </w:p>
    <w:p w14:paraId="0E5AE4E0">
      <w:pPr>
        <w:spacing w:line="578" w:lineRule="exact"/>
        <w:ind w:firstLine="640" w:firstLineChars="200"/>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我校无公务用车</w:t>
      </w:r>
      <w:r>
        <w:rPr>
          <w:rFonts w:hint="eastAsia" w:ascii="仿宋_GB2312" w:hAnsi="ˎ̥" w:eastAsia="仿宋_GB2312"/>
          <w:color w:val="auto"/>
          <w:sz w:val="32"/>
          <w:szCs w:val="32"/>
        </w:rPr>
        <w:t>。</w:t>
      </w:r>
    </w:p>
    <w:p w14:paraId="1BAD7D9D">
      <w:pPr>
        <w:spacing w:line="578" w:lineRule="exact"/>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14:paraId="0BEBABEB">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w:t>
      </w:r>
      <w:r>
        <w:rPr>
          <w:rFonts w:hint="eastAsia" w:ascii="仿宋_GB2312" w:hAnsi="ˎ̥" w:eastAsia="仿宋_GB2312"/>
          <w:color w:val="auto"/>
          <w:sz w:val="32"/>
          <w:szCs w:val="32"/>
          <w:lang w:val="en-US" w:eastAsia="zh-CN"/>
        </w:rPr>
        <w:t>我校无公务接待</w:t>
      </w:r>
      <w:r>
        <w:rPr>
          <w:rFonts w:hint="eastAsia" w:ascii="仿宋_GB2312" w:hAnsi="ˎ̥" w:eastAsia="仿宋_GB2312"/>
          <w:color w:val="auto"/>
          <w:sz w:val="32"/>
          <w:szCs w:val="32"/>
        </w:rPr>
        <w:t>。</w:t>
      </w:r>
    </w:p>
    <w:p w14:paraId="1F58E2E0">
      <w:pPr>
        <w:spacing w:line="578" w:lineRule="exact"/>
        <w:ind w:firstLine="643" w:firstLineChars="200"/>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w:t>
      </w:r>
      <w:r>
        <w:rPr>
          <w:rFonts w:hint="eastAsia" w:ascii="仿宋_GB2312" w:hAnsi="ˎ̥" w:eastAsia="仿宋_GB2312"/>
          <w:color w:val="auto"/>
          <w:sz w:val="32"/>
          <w:szCs w:val="32"/>
          <w:lang w:val="en-US" w:eastAsia="zh-CN"/>
        </w:rPr>
        <w:t>我校无国（境）外接待</w:t>
      </w:r>
      <w:r>
        <w:rPr>
          <w:rFonts w:hint="eastAsia" w:ascii="仿宋_GB2312" w:hAnsi="ˎ̥" w:eastAsia="仿宋_GB2312"/>
          <w:color w:val="auto"/>
          <w:sz w:val="32"/>
          <w:szCs w:val="32"/>
        </w:rPr>
        <w:t>。</w:t>
      </w:r>
    </w:p>
    <w:p w14:paraId="5BF2D8B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我校无公务接待</w:t>
      </w:r>
      <w:r>
        <w:rPr>
          <w:rFonts w:hint="eastAsia" w:ascii="仿宋_GB2312" w:hAnsi="ˎ̥" w:eastAsia="仿宋_GB2312"/>
          <w:sz w:val="32"/>
          <w:szCs w:val="32"/>
        </w:rPr>
        <w:t>。</w:t>
      </w:r>
    </w:p>
    <w:p w14:paraId="2FA3CB8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14:paraId="6350055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2A902DB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436B787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w:t>
      </w:r>
      <w:r>
        <w:rPr>
          <w:rFonts w:hint="eastAsia" w:ascii="仿宋_GB2312" w:eastAsia="仿宋_GB2312"/>
          <w:sz w:val="32"/>
          <w:szCs w:val="32"/>
          <w:lang w:val="en-US" w:eastAsia="zh-CN"/>
        </w:rPr>
        <w:t>校</w:t>
      </w:r>
      <w:r>
        <w:rPr>
          <w:rFonts w:hint="eastAsia" w:ascii="仿宋_GB2312" w:eastAsia="仿宋_GB2312"/>
          <w:sz w:val="32"/>
          <w:szCs w:val="32"/>
        </w:rPr>
        <w:t>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0</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0</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个国有资本经营预算项目开展绩效自评，共涉及资金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w:t>
      </w:r>
    </w:p>
    <w:p w14:paraId="00106C4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bidi="ar"/>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0</w:t>
      </w:r>
      <w:r>
        <w:rPr>
          <w:rFonts w:hint="eastAsia" w:ascii="仿宋_GB2312" w:eastAsia="仿宋_GB2312"/>
          <w:sz w:val="32"/>
          <w:szCs w:val="32"/>
        </w:rPr>
        <w:t>个项目开展了</w:t>
      </w:r>
      <w:r>
        <w:rPr>
          <w:rFonts w:hint="eastAsia" w:ascii="仿宋_GB2312" w:eastAsia="仿宋_GB2312"/>
          <w:sz w:val="32"/>
          <w:szCs w:val="32"/>
          <w:lang w:eastAsia="zh-CN"/>
        </w:rPr>
        <w:t>单位</w:t>
      </w:r>
      <w:r>
        <w:rPr>
          <w:rFonts w:hint="eastAsia" w:ascii="仿宋_GB2312" w:eastAsia="仿宋_GB2312"/>
          <w:sz w:val="32"/>
          <w:szCs w:val="32"/>
        </w:rPr>
        <w:t>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p>
    <w:p w14:paraId="0523CDA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14:paraId="533B7434">
      <w:pPr>
        <w:keepNext w:val="0"/>
        <w:keepLines w:val="0"/>
        <w:widowControl/>
        <w:numPr>
          <w:ilvl w:val="0"/>
          <w:numId w:val="0"/>
        </w:numPr>
        <w:suppressLineNumbers w:val="0"/>
        <w:spacing w:before="0" w:beforeAutospacing="0" w:after="0" w:afterAutospacing="0"/>
        <w:ind w:leftChars="0" w:right="0" w:rightChars="0" w:firstLine="640" w:firstLineChars="200"/>
        <w:jc w:val="left"/>
        <w:rPr>
          <w:rFonts w:hint="eastAsia" w:ascii="仿宋_GB2312" w:eastAsia="仿宋_GB2312"/>
          <w:color w:val="auto"/>
          <w:sz w:val="32"/>
          <w:szCs w:val="32"/>
        </w:rPr>
      </w:pPr>
      <w:r>
        <w:rPr>
          <w:rFonts w:hint="eastAsia" w:ascii="仿宋_GB2312" w:hAnsi="宋体" w:eastAsia="仿宋_GB2312" w:cs="仿宋_GB2312"/>
          <w:color w:val="auto"/>
          <w:kern w:val="0"/>
          <w:sz w:val="32"/>
          <w:szCs w:val="32"/>
          <w:shd w:val="clear" w:color="auto" w:fill="FFFFFF"/>
          <w:lang w:val="en-US" w:eastAsia="zh-CN"/>
        </w:rPr>
        <w:t>屯昌县屯城镇大同中心</w:t>
      </w:r>
      <w:r>
        <w:rPr>
          <w:rFonts w:hint="eastAsia" w:ascii="仿宋_GB2312" w:hAnsi="宋体" w:eastAsia="仿宋_GB2312" w:cs="仿宋_GB2312"/>
          <w:color w:val="auto"/>
          <w:kern w:val="0"/>
          <w:sz w:val="32"/>
          <w:szCs w:val="32"/>
          <w:shd w:val="clear" w:color="auto" w:fill="FFFFFF"/>
        </w:rPr>
        <w:t>组织对202</w:t>
      </w:r>
      <w:r>
        <w:rPr>
          <w:rFonts w:hint="eastAsia" w:ascii="仿宋_GB2312" w:hAnsi="宋体" w:eastAsia="仿宋_GB2312" w:cs="仿宋_GB2312"/>
          <w:color w:val="auto"/>
          <w:kern w:val="0"/>
          <w:sz w:val="32"/>
          <w:szCs w:val="32"/>
          <w:shd w:val="clear" w:color="auto" w:fill="FFFFFF"/>
          <w:lang w:val="en-US" w:eastAsia="zh-CN"/>
        </w:rPr>
        <w:t>4</w:t>
      </w:r>
      <w:r>
        <w:rPr>
          <w:rFonts w:hint="eastAsia" w:ascii="仿宋_GB2312" w:hAnsi="宋体" w:eastAsia="仿宋_GB2312" w:cs="仿宋_GB2312"/>
          <w:color w:val="auto"/>
          <w:kern w:val="0"/>
          <w:sz w:val="32"/>
          <w:szCs w:val="32"/>
          <w:shd w:val="clear" w:color="auto" w:fill="FFFFFF"/>
        </w:rPr>
        <w:t>年度一般公共预算项目支出全面开展绩效自评。自评项目1个，共涉及资金</w:t>
      </w:r>
      <w:r>
        <w:rPr>
          <w:rFonts w:hint="eastAsia" w:ascii="仿宋_GB2312" w:hAnsi="宋体" w:eastAsia="仿宋_GB2312" w:cs="仿宋_GB2312"/>
          <w:color w:val="auto"/>
          <w:kern w:val="0"/>
          <w:sz w:val="32"/>
          <w:szCs w:val="32"/>
          <w:shd w:val="clear" w:color="auto" w:fill="FFFFFF"/>
          <w:lang w:val="en-US" w:eastAsia="zh-CN"/>
        </w:rPr>
        <w:t>9.85</w:t>
      </w:r>
      <w:r>
        <w:rPr>
          <w:rFonts w:hint="eastAsia" w:ascii="仿宋_GB2312" w:hAnsi="宋体" w:eastAsia="仿宋_GB2312" w:cs="仿宋_GB2312"/>
          <w:color w:val="auto"/>
          <w:kern w:val="0"/>
          <w:sz w:val="32"/>
          <w:szCs w:val="32"/>
          <w:shd w:val="clear" w:color="auto" w:fill="FFFFFF"/>
        </w:rPr>
        <w:t>万元，从评价情况来看，</w:t>
      </w:r>
      <w:r>
        <w:rPr>
          <w:rFonts w:hint="eastAsia" w:ascii="仿宋_GB2312" w:hAnsi="宋体" w:eastAsia="仿宋_GB2312" w:cs="仿宋_GB2312"/>
          <w:color w:val="auto"/>
          <w:kern w:val="0"/>
          <w:sz w:val="32"/>
          <w:szCs w:val="32"/>
          <w:shd w:val="clear" w:color="auto" w:fill="FFFFFF"/>
          <w:lang w:val="en-US" w:eastAsia="zh-CN"/>
        </w:rPr>
        <w:t>为了</w:t>
      </w:r>
      <w:r>
        <w:rPr>
          <w:rFonts w:hint="eastAsia" w:ascii="仿宋_GB2312" w:hAnsi="宋体" w:eastAsia="仿宋_GB2312" w:cs="仿宋_GB2312"/>
          <w:color w:val="auto"/>
          <w:kern w:val="0"/>
          <w:sz w:val="32"/>
          <w:szCs w:val="32"/>
          <w:shd w:val="clear" w:color="auto" w:fill="FFFFFF"/>
        </w:rPr>
        <w:t>确保了教职工的</w:t>
      </w:r>
      <w:r>
        <w:rPr>
          <w:rFonts w:hint="eastAsia" w:ascii="仿宋_GB2312" w:hAnsi="宋体" w:eastAsia="仿宋_GB2312" w:cs="仿宋_GB2312"/>
          <w:color w:val="auto"/>
          <w:kern w:val="0"/>
          <w:sz w:val="32"/>
          <w:szCs w:val="32"/>
          <w:shd w:val="clear" w:color="auto" w:fill="FFFFFF"/>
          <w:lang w:val="en-US" w:eastAsia="zh-CN"/>
        </w:rPr>
        <w:t>身心状态稳定良好，及时排查健康隐患、减轻工作后顾之忧</w:t>
      </w:r>
      <w:r>
        <w:rPr>
          <w:rFonts w:hint="eastAsia" w:ascii="仿宋_GB2312" w:hAnsi="宋体" w:eastAsia="仿宋_GB2312" w:cs="仿宋_GB2312"/>
          <w:color w:val="auto"/>
          <w:kern w:val="0"/>
          <w:sz w:val="32"/>
          <w:szCs w:val="32"/>
          <w:shd w:val="clear" w:color="auto" w:fill="FFFFFF"/>
        </w:rPr>
        <w:t>。</w:t>
      </w:r>
    </w:p>
    <w:p w14:paraId="2879698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14:paraId="10942B39">
      <w:pPr>
        <w:keepNext w:val="0"/>
        <w:keepLines w:val="0"/>
        <w:widowControl/>
        <w:numPr>
          <w:ilvl w:val="0"/>
          <w:numId w:val="0"/>
        </w:numPr>
        <w:suppressLineNumbers w:val="0"/>
        <w:spacing w:before="0" w:beforeAutospacing="0" w:after="0" w:afterAutospacing="0"/>
        <w:ind w:leftChars="0" w:right="0" w:rightChars="0" w:firstLine="640" w:firstLineChars="200"/>
        <w:jc w:val="left"/>
        <w:rPr>
          <w:rFonts w:hint="eastAsia" w:ascii="仿宋_GB2312" w:eastAsia="仿宋_GB2312"/>
          <w:color w:val="auto"/>
          <w:sz w:val="32"/>
          <w:szCs w:val="32"/>
        </w:rPr>
      </w:pPr>
      <w:r>
        <w:rPr>
          <w:rFonts w:hint="eastAsia" w:ascii="仿宋_GB2312" w:hAnsi="宋体" w:eastAsia="仿宋_GB2312" w:cs="仿宋_GB2312"/>
          <w:color w:val="auto"/>
          <w:kern w:val="0"/>
          <w:sz w:val="32"/>
          <w:szCs w:val="32"/>
          <w:shd w:val="clear" w:color="auto" w:fill="FFFFFF"/>
          <w:lang w:val="en-US" w:eastAsia="zh-CN"/>
        </w:rPr>
        <w:t>屯昌县屯城镇大同中心</w:t>
      </w:r>
      <w:r>
        <w:rPr>
          <w:rFonts w:hint="eastAsia" w:ascii="仿宋_GB2312" w:hAnsi="宋体" w:eastAsia="仿宋_GB2312" w:cs="仿宋_GB2312"/>
          <w:color w:val="auto"/>
          <w:kern w:val="0"/>
          <w:sz w:val="32"/>
          <w:szCs w:val="32"/>
          <w:shd w:val="clear" w:color="auto" w:fill="FFFFFF"/>
        </w:rPr>
        <w:t>组织对202</w:t>
      </w:r>
      <w:r>
        <w:rPr>
          <w:rFonts w:hint="eastAsia" w:ascii="仿宋_GB2312" w:hAnsi="宋体" w:eastAsia="仿宋_GB2312" w:cs="仿宋_GB2312"/>
          <w:color w:val="auto"/>
          <w:kern w:val="0"/>
          <w:sz w:val="32"/>
          <w:szCs w:val="32"/>
          <w:shd w:val="clear" w:color="auto" w:fill="FFFFFF"/>
          <w:lang w:val="en-US" w:eastAsia="zh-CN"/>
        </w:rPr>
        <w:t>4</w:t>
      </w:r>
      <w:r>
        <w:rPr>
          <w:rFonts w:hint="eastAsia" w:ascii="仿宋_GB2312" w:hAnsi="宋体" w:eastAsia="仿宋_GB2312" w:cs="仿宋_GB2312"/>
          <w:color w:val="auto"/>
          <w:kern w:val="0"/>
          <w:sz w:val="32"/>
          <w:szCs w:val="32"/>
          <w:shd w:val="clear" w:color="auto" w:fill="FFFFFF"/>
        </w:rPr>
        <w:t>年度一般公共预算项目支出全面开展绩效自评。自评项目1个，共涉及资金</w:t>
      </w:r>
      <w:r>
        <w:rPr>
          <w:rFonts w:hint="eastAsia" w:ascii="仿宋_GB2312" w:hAnsi="宋体" w:eastAsia="仿宋_GB2312" w:cs="仿宋_GB2312"/>
          <w:color w:val="auto"/>
          <w:kern w:val="0"/>
          <w:sz w:val="32"/>
          <w:szCs w:val="32"/>
          <w:shd w:val="clear" w:color="auto" w:fill="FFFFFF"/>
          <w:lang w:val="en-US" w:eastAsia="zh-CN"/>
        </w:rPr>
        <w:t>9.85</w:t>
      </w:r>
      <w:r>
        <w:rPr>
          <w:rFonts w:hint="eastAsia" w:ascii="仿宋_GB2312" w:hAnsi="宋体" w:eastAsia="仿宋_GB2312" w:cs="仿宋_GB2312"/>
          <w:color w:val="auto"/>
          <w:kern w:val="0"/>
          <w:sz w:val="32"/>
          <w:szCs w:val="32"/>
          <w:shd w:val="clear" w:color="auto" w:fill="FFFFFF"/>
        </w:rPr>
        <w:t>万元，从评价情况来看，</w:t>
      </w:r>
      <w:r>
        <w:rPr>
          <w:rFonts w:hint="eastAsia" w:ascii="仿宋_GB2312" w:hAnsi="宋体" w:eastAsia="仿宋_GB2312" w:cs="仿宋_GB2312"/>
          <w:color w:val="auto"/>
          <w:kern w:val="0"/>
          <w:sz w:val="32"/>
          <w:szCs w:val="32"/>
          <w:shd w:val="clear" w:color="auto" w:fill="FFFFFF"/>
          <w:lang w:val="en-US" w:eastAsia="zh-CN"/>
        </w:rPr>
        <w:t>为了</w:t>
      </w:r>
      <w:r>
        <w:rPr>
          <w:rFonts w:hint="eastAsia" w:ascii="仿宋_GB2312" w:hAnsi="宋体" w:eastAsia="仿宋_GB2312" w:cs="仿宋_GB2312"/>
          <w:color w:val="auto"/>
          <w:kern w:val="0"/>
          <w:sz w:val="32"/>
          <w:szCs w:val="32"/>
          <w:shd w:val="clear" w:color="auto" w:fill="FFFFFF"/>
        </w:rPr>
        <w:t>确保了教职工的</w:t>
      </w:r>
      <w:r>
        <w:rPr>
          <w:rFonts w:hint="eastAsia" w:ascii="仿宋_GB2312" w:hAnsi="宋体" w:eastAsia="仿宋_GB2312" w:cs="仿宋_GB2312"/>
          <w:color w:val="auto"/>
          <w:kern w:val="0"/>
          <w:sz w:val="32"/>
          <w:szCs w:val="32"/>
          <w:shd w:val="clear" w:color="auto" w:fill="FFFFFF"/>
          <w:lang w:val="en-US" w:eastAsia="zh-CN"/>
        </w:rPr>
        <w:t>身心状态稳定良好，及时排查健康隐患、减轻工作后顾之忧</w:t>
      </w:r>
      <w:r>
        <w:rPr>
          <w:rFonts w:hint="eastAsia" w:ascii="仿宋_GB2312" w:hAnsi="宋体" w:eastAsia="仿宋_GB2312" w:cs="仿宋_GB2312"/>
          <w:color w:val="auto"/>
          <w:kern w:val="0"/>
          <w:sz w:val="32"/>
          <w:szCs w:val="32"/>
          <w:shd w:val="clear" w:color="auto" w:fill="FFFFFF"/>
        </w:rPr>
        <w:t>。</w:t>
      </w:r>
    </w:p>
    <w:p w14:paraId="680201A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418BF32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val="en-US" w:eastAsia="zh-CN"/>
        </w:rPr>
        <w:t>无</w:t>
      </w:r>
    </w:p>
    <w:p w14:paraId="1EF9D08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91A678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23598_WPSOffice_Level2"/>
      <w:bookmarkStart w:id="96" w:name="_Toc32639_WPSOffice_Level2"/>
      <w:bookmarkStart w:id="97" w:name="_Toc15565_WPSOffice_Level2"/>
      <w:bookmarkStart w:id="98" w:name="_Toc15262_WPSOffice_Level2"/>
      <w:bookmarkStart w:id="99" w:name="_Toc18325_WPSOffice_Level2"/>
      <w:bookmarkStart w:id="100" w:name="_Toc597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14:paraId="38121C4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s="仿宋_GB2312"/>
          <w:color w:val="auto"/>
          <w:kern w:val="0"/>
          <w:sz w:val="32"/>
          <w:szCs w:val="32"/>
        </w:rPr>
        <w:t>屯昌县</w:t>
      </w:r>
      <w:r>
        <w:rPr>
          <w:rFonts w:hint="eastAsia" w:ascii="仿宋_GB2312" w:hAnsi="ˎ̥" w:eastAsia="仿宋_GB2312" w:cs="仿宋_GB2312"/>
          <w:color w:val="auto"/>
          <w:kern w:val="0"/>
          <w:sz w:val="32"/>
          <w:szCs w:val="32"/>
          <w:lang w:val="en-US" w:eastAsia="zh-CN"/>
        </w:rPr>
        <w:t>屯城镇大同中心小学</w:t>
      </w:r>
      <w:r>
        <w:rPr>
          <w:rFonts w:hint="eastAsia" w:ascii="仿宋_GB2312" w:hAnsi="ˎ̥" w:eastAsia="仿宋_GB2312" w:cs="仿宋_GB2312"/>
          <w:color w:val="auto"/>
          <w:kern w:val="0"/>
          <w:sz w:val="32"/>
          <w:szCs w:val="32"/>
        </w:rPr>
        <w:t>机关运行经费0万元，比年初预算增加（减少）0万元，增长（降低）0%。主要原因是：本单位无机关运行费。</w:t>
      </w:r>
    </w:p>
    <w:p w14:paraId="36E4C31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决算报表财决01-1表《财政拨款收入支出决算总表》，年初预算数-一般公共预算财政拨款-公用经费，注意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14:paraId="78BDDD2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32689_WPSOffice_Level2"/>
      <w:bookmarkStart w:id="102" w:name="_Toc23966_WPSOffice_Level2"/>
      <w:bookmarkStart w:id="103" w:name="_Toc13084_WPSOffice_Level2"/>
      <w:bookmarkStart w:id="104" w:name="_Toc3131_WPSOffice_Level2"/>
      <w:bookmarkStart w:id="105" w:name="_Toc25333_WPSOffice_Level2"/>
      <w:bookmarkStart w:id="106" w:name="_Toc30383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14:paraId="1FA2DCF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s="仿宋_GB2312"/>
          <w:color w:val="auto"/>
          <w:kern w:val="0"/>
          <w:sz w:val="32"/>
          <w:szCs w:val="32"/>
          <w:lang w:val="en-US" w:eastAsia="zh-CN"/>
        </w:rPr>
        <w:t>屯昌县屯城镇大同中心小学</w:t>
      </w:r>
      <w:r>
        <w:rPr>
          <w:rFonts w:hint="eastAsia" w:ascii="仿宋_GB2312" w:hAnsi="ˎ̥" w:eastAsia="仿宋_GB2312" w:cs="仿宋_GB2312"/>
          <w:color w:val="auto"/>
          <w:kern w:val="0"/>
          <w:sz w:val="32"/>
          <w:szCs w:val="32"/>
        </w:rPr>
        <w:t>政府采购支出总额0万元，其中：政府采购货物支出0万元、政府采购工程支出0万元、政府采购服务支出0万元。授予中小企业合同金额0万元，占政府采购支出总额的0%，其中：授予小微企业合同金额</w:t>
      </w:r>
      <w:r>
        <w:rPr>
          <w:rFonts w:hint="eastAsia" w:ascii="仿宋_GB2312" w:hAnsi="ˎ̥" w:eastAsia="仿宋_GB2312" w:cs="仿宋_GB2312"/>
          <w:color w:val="auto"/>
          <w:kern w:val="0"/>
          <w:sz w:val="32"/>
          <w:szCs w:val="32"/>
          <w:lang w:val="en-US" w:eastAsia="zh-CN"/>
        </w:rPr>
        <w:t>0</w:t>
      </w:r>
      <w:r>
        <w:rPr>
          <w:rFonts w:hint="eastAsia" w:ascii="仿宋_GB2312" w:hAnsi="ˎ̥" w:eastAsia="仿宋_GB2312" w:cs="仿宋_GB2312"/>
          <w:color w:val="auto"/>
          <w:kern w:val="0"/>
          <w:sz w:val="32"/>
          <w:szCs w:val="32"/>
        </w:rPr>
        <w:t>万元，占</w:t>
      </w:r>
      <w:r>
        <w:rPr>
          <w:rFonts w:hint="eastAsia" w:ascii="仿宋_GB2312" w:hAnsi="宋体" w:eastAsia="仿宋_GB2312" w:cs="仿宋_GB2312"/>
          <w:color w:val="auto"/>
          <w:kern w:val="0"/>
          <w:sz w:val="32"/>
          <w:szCs w:val="32"/>
        </w:rPr>
        <w:t>授予中小企业合同金额的</w:t>
      </w:r>
      <w:r>
        <w:rPr>
          <w:rFonts w:hint="eastAsia" w:ascii="仿宋_GB2312" w:hAnsi="ˎ̥" w:eastAsia="仿宋_GB2312" w:cs="仿宋_GB2312"/>
          <w:color w:val="auto"/>
          <w:kern w:val="0"/>
          <w:sz w:val="32"/>
          <w:szCs w:val="32"/>
        </w:rPr>
        <w:t>0%。</w:t>
      </w:r>
    </w:p>
    <w:p w14:paraId="30D6BC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14:paraId="0B54C88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5129_WPSOffice_Level2"/>
      <w:bookmarkStart w:id="108" w:name="_Toc29584_WPSOffice_Level2"/>
      <w:bookmarkStart w:id="109" w:name="_Toc10902_WPSOffice_Level2"/>
      <w:bookmarkStart w:id="110" w:name="_Toc527_WPSOffice_Level2"/>
      <w:bookmarkStart w:id="111" w:name="_Toc6016_WPSOffice_Level2"/>
      <w:bookmarkStart w:id="112" w:name="_Toc19989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14:paraId="0833B499">
      <w:pPr>
        <w:spacing w:line="578" w:lineRule="exact"/>
        <w:ind w:firstLine="640" w:firstLineChars="200"/>
        <w:rPr>
          <w:rFonts w:hint="eastAsia" w:ascii="仿宋_GB2312" w:hAnsi="ˎ̥" w:eastAsia="仿宋_GB2312" w:cs="仿宋_GB2312"/>
          <w:color w:val="auto"/>
          <w:kern w:val="0"/>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w:t>
      </w:r>
      <w:r>
        <w:rPr>
          <w:rFonts w:hint="eastAsia" w:ascii="仿宋_GB2312" w:hAnsi="ˎ̥" w:eastAsia="仿宋_GB2312" w:cs="仿宋_GB2312"/>
          <w:color w:val="auto"/>
          <w:kern w:val="0"/>
          <w:sz w:val="32"/>
          <w:szCs w:val="32"/>
        </w:rPr>
        <w:t>本</w:t>
      </w:r>
      <w:r>
        <w:rPr>
          <w:rFonts w:hint="eastAsia" w:ascii="仿宋_GB2312" w:hAnsi="ˎ̥" w:eastAsia="仿宋_GB2312" w:cs="仿宋_GB2312"/>
          <w:color w:val="auto"/>
          <w:kern w:val="0"/>
          <w:sz w:val="32"/>
          <w:szCs w:val="32"/>
          <w:lang w:eastAsia="zh-CN"/>
        </w:rPr>
        <w:t>单位</w:t>
      </w:r>
      <w:r>
        <w:rPr>
          <w:rFonts w:hint="eastAsia" w:ascii="仿宋_GB2312" w:hAnsi="ˎ̥" w:eastAsia="仿宋_GB2312" w:cs="仿宋_GB2312"/>
          <w:color w:val="auto"/>
          <w:kern w:val="0"/>
          <w:sz w:val="32"/>
          <w:szCs w:val="32"/>
        </w:rPr>
        <w:t>拥有房屋面积1922.04平方米，其中：办公用房421平方米，业务用房453平方米，其他（不含构筑物）1048.04平方米。</w:t>
      </w:r>
    </w:p>
    <w:p w14:paraId="09A3FC24">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14:paraId="1A4A88A0">
      <w:pPr>
        <w:spacing w:line="578" w:lineRule="exact"/>
        <w:ind w:firstLine="640" w:firstLineChars="200"/>
        <w:rPr>
          <w:rFonts w:hint="eastAsia" w:ascii="仿宋_GB2312" w:hAnsi="ˎ̥" w:eastAsia="仿宋_GB2312"/>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14:paraId="08A38A8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14:paraId="527CE279">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08_WPSOffice_Level1"/>
      <w:bookmarkStart w:id="114" w:name="_Toc4398_WPSOffice_Level1"/>
      <w:bookmarkStart w:id="115" w:name="_Toc8874_WPSOffice_Level1"/>
      <w:bookmarkStart w:id="116" w:name="_Toc15425_WPSOffice_Level1"/>
      <w:bookmarkStart w:id="117" w:name="_Toc17580_WPSOffice_Level1"/>
      <w:bookmarkStart w:id="118" w:name="_Toc11039_WPSOffice_Level1"/>
    </w:p>
    <w:p w14:paraId="19442A30">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14:paraId="2428E024">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3B21F70B">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14:paraId="354D3C4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14:paraId="300C2A6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4759625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7D6CECA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B566D4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3E1A09E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7472972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38516FB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6BA86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7F25DE3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67C075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5CB608E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E8D164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20B04631">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1F480B61">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71461E92">
      <w:pPr>
        <w:spacing w:line="578" w:lineRule="exact"/>
        <w:ind w:firstLine="645"/>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r>
        <w:rPr>
          <w:rFonts w:hint="eastAsia" w:ascii="仿宋_GB2312" w:hAnsi="ˎ̥" w:eastAsia="仿宋_GB2312"/>
          <w:color w:val="auto"/>
          <w:sz w:val="32"/>
          <w:szCs w:val="32"/>
          <w:lang w:eastAsia="zh-CN"/>
        </w:rPr>
        <w:t>。</w:t>
      </w:r>
    </w:p>
    <w:p w14:paraId="4A2616E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r>
        <w:rPr>
          <w:rFonts w:hint="eastAsia" w:ascii="仿宋_GB2312" w:hAnsi="ˎ̥" w:eastAsia="仿宋_GB2312"/>
          <w:color w:val="auto"/>
          <w:sz w:val="32"/>
          <w:szCs w:val="32"/>
          <w:lang w:eastAsia="zh-CN"/>
        </w:rPr>
        <w:t>。</w:t>
      </w:r>
    </w:p>
    <w:p w14:paraId="0853B554">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BC5BD">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0272F24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EBD4A">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7E3484D8">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13345EB3"/>
    <w:multiLevelType w:val="singleLevel"/>
    <w:tmpl w:val="13345EB3"/>
    <w:lvl w:ilvl="0" w:tentative="0">
      <w:start w:val="3"/>
      <w:numFmt w:val="decimal"/>
      <w:lvlText w:val="%1."/>
      <w:lvlJc w:val="left"/>
      <w:pPr>
        <w:tabs>
          <w:tab w:val="left" w:pos="312"/>
        </w:tabs>
      </w:p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3757E43"/>
    <w:rsid w:val="0425335F"/>
    <w:rsid w:val="04977C27"/>
    <w:rsid w:val="09201287"/>
    <w:rsid w:val="0CDD1567"/>
    <w:rsid w:val="0FC80124"/>
    <w:rsid w:val="136F98C7"/>
    <w:rsid w:val="14D4542B"/>
    <w:rsid w:val="17427E68"/>
    <w:rsid w:val="1755065F"/>
    <w:rsid w:val="1AFC29C9"/>
    <w:rsid w:val="1BB46BC0"/>
    <w:rsid w:val="1CA52F2E"/>
    <w:rsid w:val="1E3630B9"/>
    <w:rsid w:val="1F7D3422"/>
    <w:rsid w:val="26EEC2B5"/>
    <w:rsid w:val="29472309"/>
    <w:rsid w:val="2B406E77"/>
    <w:rsid w:val="2C2A0C43"/>
    <w:rsid w:val="2D1E73A5"/>
    <w:rsid w:val="2F656EAC"/>
    <w:rsid w:val="302D729E"/>
    <w:rsid w:val="32717154"/>
    <w:rsid w:val="34B63260"/>
    <w:rsid w:val="37FDA7E2"/>
    <w:rsid w:val="3A314D88"/>
    <w:rsid w:val="3A325CB0"/>
    <w:rsid w:val="3A746883"/>
    <w:rsid w:val="3CA15DE9"/>
    <w:rsid w:val="3FE61EE5"/>
    <w:rsid w:val="406508EE"/>
    <w:rsid w:val="408D6263"/>
    <w:rsid w:val="41B40CEE"/>
    <w:rsid w:val="48317291"/>
    <w:rsid w:val="485F7024"/>
    <w:rsid w:val="48E70666"/>
    <w:rsid w:val="4C6877E5"/>
    <w:rsid w:val="4D6A468D"/>
    <w:rsid w:val="4EA86137"/>
    <w:rsid w:val="4F90641D"/>
    <w:rsid w:val="52D67A99"/>
    <w:rsid w:val="55935C72"/>
    <w:rsid w:val="56CA7FD0"/>
    <w:rsid w:val="57FA38D1"/>
    <w:rsid w:val="5F7D3333"/>
    <w:rsid w:val="61385890"/>
    <w:rsid w:val="687436E1"/>
    <w:rsid w:val="6BF6017C"/>
    <w:rsid w:val="6DA45C50"/>
    <w:rsid w:val="6E9A7825"/>
    <w:rsid w:val="6F670F9B"/>
    <w:rsid w:val="737450E0"/>
    <w:rsid w:val="74054476"/>
    <w:rsid w:val="742F38C4"/>
    <w:rsid w:val="74AB66DC"/>
    <w:rsid w:val="74C4154C"/>
    <w:rsid w:val="753C02F8"/>
    <w:rsid w:val="75956FFF"/>
    <w:rsid w:val="77AA2D01"/>
    <w:rsid w:val="7B273DF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7343</Words>
  <Characters>8131</Characters>
  <Lines>67</Lines>
  <Paragraphs>18</Paragraphs>
  <TotalTime>179</TotalTime>
  <ScaleCrop>false</ScaleCrop>
  <LinksUpToDate>false</LinksUpToDate>
  <CharactersWithSpaces>8199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Administrator</cp:lastModifiedBy>
  <cp:lastPrinted>2023-08-03T00:58:00Z</cp:lastPrinted>
  <dcterms:modified xsi:type="dcterms:W3CDTF">2026-02-03T06:13:26Z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03AE7F14E2DC4BACB053764200FF950D_13</vt:lpwstr>
  </property>
  <property fmtid="{D5CDD505-2E9C-101B-9397-08002B2CF9AE}" pid="4" name="KSOTemplateDocerSaveRecord">
    <vt:lpwstr>eyJoZGlkIjoiZjYzODlhNzJhNTdiNTI2NzA5MDMxZDI3MmRlNjY0YTEiLCJ1c2VySWQiOiI3ODI0MjQwOTcifQ==</vt:lpwstr>
  </property>
</Properties>
</file>