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屯昌县屯城镇大同中学2024年度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eastAsia="zh-CN"/>
        </w:rPr>
        <w:t>单位</w:t>
      </w:r>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center"/>
        <w:rPr>
          <w:rFonts w:hint="eastAsia" w:ascii="黑体" w:hAnsi="ˎ̥" w:eastAsia="黑体"/>
          <w:color w:val="auto"/>
          <w:sz w:val="32"/>
          <w:szCs w:val="32"/>
        </w:rPr>
      </w:pPr>
      <w:bookmarkStart w:id="2" w:name="_Toc32433_WPSOffice_Level1"/>
      <w:bookmarkStart w:id="3" w:name="_Toc1704_WPSOffice_Level1"/>
      <w:bookmarkStart w:id="4" w:name="_Toc22941_WPSOffice_Level1"/>
      <w:bookmarkStart w:id="5" w:name="_Toc23465_WPSOffice_Level1"/>
      <w:bookmarkStart w:id="6" w:name="_Toc10720_WPSOffice_Level1"/>
      <w:bookmarkStart w:id="7" w:name="_Toc10049_WPSOffice_Level1"/>
      <w:bookmarkStart w:id="8" w:name="_Toc24238_WPSOffice_Level2"/>
      <w:bookmarkStart w:id="9" w:name="_Toc26580_WPSOffice_Level2"/>
      <w:bookmarkStart w:id="10" w:name="_Toc14159_WPSOffice_Level2"/>
      <w:bookmarkStart w:id="11" w:name="_Toc20205_WPSOffice_Level2"/>
      <w:bookmarkStart w:id="12" w:name="_Toc32622_WPSOffice_Level2"/>
      <w:bookmarkStart w:id="13" w:name="_Toc20274_WPSOffice_Level2"/>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p>
      <w:p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一、</w:t>
      </w:r>
      <w:bookmarkEnd w:id="8"/>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spacing w:line="578" w:lineRule="exact"/>
        <w:ind w:firstLine="640" w:firstLineChars="200"/>
        <w:rPr>
          <w:rFonts w:hint="eastAsia" w:ascii="黑体" w:hAnsi="黑体" w:eastAsia="黑体" w:cs="黑体"/>
          <w:color w:val="auto"/>
          <w:sz w:val="32"/>
          <w:szCs w:val="32"/>
        </w:rPr>
      </w:pPr>
      <w:bookmarkStart w:id="14" w:name="_Toc17796_WPSOffice_Level2"/>
      <w:bookmarkStart w:id="15" w:name="_Toc24059_WPSOffice_Level2"/>
      <w:bookmarkStart w:id="16" w:name="_Toc6572_WPSOffice_Level2"/>
      <w:bookmarkStart w:id="17" w:name="_Toc24474_WPSOffice_Level2"/>
      <w:bookmarkStart w:id="18" w:name="_Toc4833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屯昌县屯城镇大同中学</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个，包括：</w:t>
      </w:r>
    </w:p>
    <w:p>
      <w:pPr>
        <w:spacing w:line="578" w:lineRule="exact"/>
        <w:ind w:firstLine="640" w:firstLineChars="200"/>
        <w:rPr>
          <w:rFonts w:hint="eastAsia" w:ascii="方正楷体_GBK" w:hAnsi="方正楷体_GBK" w:eastAsia="方正楷体_GBK" w:cs="方正楷体_GBK"/>
          <w:color w:val="auto"/>
          <w:sz w:val="32"/>
          <w:szCs w:val="32"/>
        </w:rPr>
      </w:pPr>
      <w:bookmarkStart w:id="19" w:name="_Toc24421_WPSOffice_Level2"/>
      <w:bookmarkStart w:id="20" w:name="_Toc25738_WPSOffice_Level2"/>
      <w:r>
        <w:rPr>
          <w:rFonts w:hint="eastAsia" w:ascii="方正楷体_GBK" w:hAnsi="方正楷体_GBK" w:eastAsia="方正楷体_GBK" w:cs="方正楷体_GBK"/>
          <w:color w:val="auto"/>
          <w:sz w:val="32"/>
          <w:szCs w:val="32"/>
        </w:rPr>
        <w:t>（一）</w:t>
      </w:r>
      <w:r>
        <w:rPr>
          <w:rFonts w:hint="eastAsia" w:ascii="仿宋_GB2312" w:hAnsi="ˎ̥" w:eastAsia="仿宋_GB2312"/>
          <w:color w:val="auto"/>
          <w:sz w:val="32"/>
          <w:szCs w:val="32"/>
          <w:lang w:val="en-US" w:eastAsia="zh-CN"/>
        </w:rPr>
        <w:t>屯昌县屯城镇大同中学</w:t>
      </w:r>
      <w:bookmarkEnd w:id="19"/>
      <w:bookmarkEnd w:id="20"/>
    </w:p>
    <w:p>
      <w:pPr>
        <w:spacing w:line="578" w:lineRule="exact"/>
        <w:jc w:val="center"/>
        <w:rPr>
          <w:rFonts w:hint="eastAsia" w:ascii="黑体" w:hAnsi="ˎ̥" w:eastAsia="黑体"/>
          <w:color w:val="auto"/>
          <w:sz w:val="32"/>
          <w:szCs w:val="32"/>
        </w:rPr>
      </w:pPr>
      <w:bookmarkStart w:id="21" w:name="_Toc30451_WPSOffice_Level1"/>
      <w:bookmarkStart w:id="22" w:name="_Toc30690_WPSOffice_Level1"/>
      <w:bookmarkStart w:id="23" w:name="_Toc6234_WPSOffice_Level1"/>
      <w:bookmarkStart w:id="24" w:name="_Toc8164_WPSOffice_Level1"/>
      <w:bookmarkStart w:id="25" w:name="_Toc15521_WPSOffice_Level1"/>
      <w:bookmarkStart w:id="26" w:name="_Toc28253_WPSOffice_Level1"/>
      <w:bookmarkStart w:id="27" w:name="_Toc6211_WPSOffice_Level2"/>
      <w:bookmarkStart w:id="28" w:name="_Toc4029_WPSOffice_Level2"/>
      <w:bookmarkStart w:id="29" w:name="_Toc8867_WPSOffice_Level2"/>
      <w:bookmarkStart w:id="30" w:name="_Toc32695_WPSOffice_Level2"/>
      <w:bookmarkStart w:id="31" w:name="_Toc11518_WPSOffice_Level2"/>
      <w:bookmarkStart w:id="32" w:name="_Toc32472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color w:val="auto"/>
          <w:sz w:val="32"/>
          <w:szCs w:val="32"/>
        </w:rPr>
      </w:pPr>
      <w:bookmarkStart w:id="33" w:name="_Toc23139_WPSOffice_Level2"/>
      <w:bookmarkStart w:id="34" w:name="_Toc25608_WPSOffice_Level2"/>
      <w:bookmarkStart w:id="35" w:name="_Toc28622_WPSOffice_Level2"/>
      <w:bookmarkStart w:id="36" w:name="_Toc26621_WPSOffice_Level2"/>
      <w:bookmarkStart w:id="37" w:name="_Toc14349_WPSOffice_Level2"/>
      <w:bookmarkStart w:id="38" w:name="_Toc30334_WPSOffice_Level2"/>
      <w:r>
        <w:rPr>
          <w:rFonts w:hint="eastAsia" w:ascii="黑体" w:hAnsi="黑体" w:eastAsia="黑体" w:cs="黑体"/>
          <w:color w:val="auto"/>
          <w:sz w:val="32"/>
          <w:szCs w:val="32"/>
        </w:rPr>
        <w:t>二、收入决算公开表</w:t>
      </w:r>
      <w:bookmarkEnd w:id="33"/>
      <w:bookmarkEnd w:id="34"/>
      <w:bookmarkEnd w:id="35"/>
      <w:bookmarkEnd w:id="36"/>
      <w:bookmarkEnd w:id="37"/>
      <w:bookmarkEnd w:id="38"/>
      <w:bookmarkStart w:id="39" w:name="_Toc17858_WPSOffice_Level2"/>
      <w:bookmarkStart w:id="40" w:name="_Toc13854_WPSOffice_Level2"/>
      <w:bookmarkStart w:id="41" w:name="_Toc17626_WPSOffice_Level2"/>
      <w:bookmarkStart w:id="42" w:name="_Toc14658_WPSOffice_Level2"/>
      <w:bookmarkStart w:id="43" w:name="_Toc5489_WPSOffice_Level2"/>
      <w:bookmarkStart w:id="44" w:name="_Toc3262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9"/>
      <w:bookmarkEnd w:id="40"/>
      <w:bookmarkEnd w:id="41"/>
      <w:bookmarkEnd w:id="42"/>
      <w:bookmarkEnd w:id="43"/>
      <w:bookmarkEnd w:id="44"/>
      <w:bookmarkStart w:id="45" w:name="_Toc23591_WPSOffice_Level2"/>
      <w:bookmarkStart w:id="46" w:name="_Toc7988_WPSOffice_Level2"/>
      <w:bookmarkStart w:id="47" w:name="_Toc21415_WPSOffice_Level2"/>
      <w:bookmarkStart w:id="48" w:name="_Toc4265_WPSOffice_Level2"/>
      <w:bookmarkStart w:id="49" w:name="_Toc13701_WPSOffice_Level2"/>
      <w:bookmarkStart w:id="50" w:name="_Toc2349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color w:val="auto"/>
          <w:sz w:val="32"/>
          <w:szCs w:val="32"/>
        </w:rPr>
      </w:pPr>
      <w:bookmarkStart w:id="51" w:name="_Toc7879_WPSOffice_Level2"/>
      <w:bookmarkStart w:id="52" w:name="_Toc22783_WPSOffice_Level2"/>
      <w:bookmarkStart w:id="53" w:name="_Toc25166_WPSOffice_Level2"/>
      <w:bookmarkStart w:id="54" w:name="_Toc23829_WPSOffice_Level2"/>
      <w:bookmarkStart w:id="55" w:name="_Toc13516_WPSOffice_Level2"/>
      <w:bookmarkStart w:id="56" w:name="_Toc2158_WPSOffice_Level2"/>
      <w:r>
        <w:rPr>
          <w:rFonts w:hint="eastAsia" w:ascii="黑体" w:hAnsi="黑体" w:eastAsia="黑体" w:cs="黑体"/>
          <w:color w:val="auto"/>
          <w:sz w:val="32"/>
          <w:szCs w:val="32"/>
        </w:rPr>
        <w:t>五、一般公共预算财政拨款收入支出决算</w:t>
      </w:r>
      <w:bookmarkEnd w:id="51"/>
      <w:bookmarkEnd w:id="52"/>
      <w:bookmarkEnd w:id="53"/>
      <w:bookmarkEnd w:id="54"/>
      <w:r>
        <w:rPr>
          <w:rFonts w:hint="eastAsia" w:ascii="黑体" w:hAnsi="黑体" w:eastAsia="黑体" w:cs="黑体"/>
          <w:color w:val="auto"/>
          <w:sz w:val="32"/>
          <w:szCs w:val="32"/>
        </w:rPr>
        <w:t>公开表</w:t>
      </w:r>
      <w:bookmarkEnd w:id="55"/>
      <w:bookmarkEnd w:id="56"/>
      <w:bookmarkStart w:id="57" w:name="_Toc2632_WPSOffice_Level2"/>
      <w:bookmarkStart w:id="58" w:name="_Toc17833_WPSOffice_Level2"/>
      <w:bookmarkStart w:id="59" w:name="_Toc17283_WPSOffice_Level2"/>
      <w:bookmarkStart w:id="60" w:name="_Toc8373_WPSOffice_Level2"/>
      <w:bookmarkStart w:id="61" w:name="_Toc25362_WPSOffice_Level2"/>
      <w:bookmarkStart w:id="62" w:name="_Toc534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3" w:name="_Toc5594_WPSOffice_Level2"/>
      <w:bookmarkStart w:id="64" w:name="_Toc1533_WPSOffice_Level2"/>
      <w:bookmarkStart w:id="65" w:name="_Toc11799_WPSOffice_Level2"/>
      <w:bookmarkStart w:id="66" w:name="_Toc13345_WPSOffice_Level2"/>
      <w:bookmarkStart w:id="67" w:name="_Toc6020_WPSOffice_Level2"/>
      <w:bookmarkStart w:id="68" w:name="_Toc21310_WPSOffice_Level2"/>
      <w:r>
        <w:rPr>
          <w:rFonts w:hint="eastAsia" w:ascii="黑体" w:hAnsi="黑体" w:eastAsia="黑体" w:cs="黑体"/>
          <w:color w:val="auto"/>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9" w:name="_Toc1820_WPSOffice_Level2"/>
      <w:bookmarkStart w:id="70" w:name="_Toc29886_WPSOffice_Level2"/>
      <w:bookmarkStart w:id="71" w:name="_Toc9377_WPSOffice_Level2"/>
      <w:bookmarkStart w:id="72" w:name="_Toc19961_WPSOffice_Level2"/>
      <w:r>
        <w:rPr>
          <w:rFonts w:hint="eastAsia" w:ascii="黑体" w:hAnsi="黑体" w:eastAsia="黑体" w:cs="黑体"/>
          <w:color w:val="auto"/>
          <w:sz w:val="32"/>
          <w:szCs w:val="32"/>
        </w:rPr>
        <w:t>九、财政拨款“三公”经费支出决算</w:t>
      </w:r>
      <w:bookmarkEnd w:id="69"/>
      <w:bookmarkEnd w:id="70"/>
      <w:bookmarkEnd w:id="71"/>
      <w:bookmarkEnd w:id="72"/>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3" w:name="_Toc28629_WPSOffice_Level1"/>
      <w:bookmarkStart w:id="74" w:name="_Toc4402_WPSOffice_Level1"/>
      <w:bookmarkStart w:id="75" w:name="_Toc31264_WPSOffice_Level1"/>
      <w:bookmarkStart w:id="76" w:name="_Toc27590_WPSOffice_Level1"/>
      <w:bookmarkStart w:id="77" w:name="_Toc29683_WPSOffice_Level1"/>
      <w:bookmarkStart w:id="78" w:name="_Toc16686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1,817.50</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1,817.50</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650.83</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35.8</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成立高中部后人员的增加，经费增加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1,815.57</w:t>
      </w:r>
      <w:r>
        <w:rPr>
          <w:rFonts w:hint="eastAsia" w:ascii="仿宋_GB2312" w:hAnsi="ˎ̥" w:eastAsia="仿宋_GB2312"/>
          <w:color w:val="auto"/>
          <w:sz w:val="32"/>
          <w:szCs w:val="32"/>
        </w:rPr>
        <w:t>万元。</w:t>
      </w:r>
      <w:bookmarkStart w:id="121" w:name="_GoBack"/>
      <w:bookmarkEnd w:id="121"/>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1.93</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预留公用经费等到下年初支付水电费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18.18</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10.6</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预留公用经费等到明年初支付水电费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1,799.32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eastAsia" w:ascii="仿宋_GB2312" w:hAnsi="ˎ̥" w:eastAsia="仿宋_GB2312"/>
          <w:color w:val="auto"/>
          <w:sz w:val="32"/>
          <w:szCs w:val="32"/>
          <w:lang w:val="en-US" w:eastAsia="zh-CN"/>
        </w:rPr>
        <w:t>1.93</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年初支付水电费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18.18</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val="en-US" w:eastAsia="zh-CN"/>
        </w:rPr>
        <w:t>预留明年初支付水电费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18.18</w:t>
      </w:r>
      <w:r>
        <w:rPr>
          <w:rFonts w:hint="eastAsia" w:ascii="仿宋_GB2312" w:hAnsi="ˎ̥" w:eastAsia="仿宋_GB2312"/>
          <w:color w:val="auto"/>
          <w:sz w:val="32"/>
          <w:szCs w:val="32"/>
        </w:rPr>
        <w:t>万元，主要是，较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16.25</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11.8</w:t>
      </w:r>
      <w:r>
        <w:rPr>
          <w:rFonts w:hint="eastAsia" w:ascii="仿宋_GB2312" w:hAnsi="ˎ̥" w:eastAsia="仿宋_GB2312"/>
          <w:color w:val="auto"/>
          <w:sz w:val="32"/>
          <w:szCs w:val="32"/>
        </w:rPr>
        <w:t>%，主要原因是主要原因是</w:t>
      </w:r>
      <w:r>
        <w:rPr>
          <w:rFonts w:hint="eastAsia" w:ascii="仿宋_GB2312" w:hAnsi="ˎ̥" w:eastAsia="仿宋_GB2312"/>
          <w:color w:val="auto"/>
          <w:sz w:val="32"/>
          <w:szCs w:val="32"/>
          <w:lang w:val="en-US" w:eastAsia="zh-CN"/>
        </w:rPr>
        <w:t>预留明年初支付水电费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1,815.57</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1,777.81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97.9</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35.28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1.9</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2.48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0.001</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1,799.32</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981.59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54.5</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817.73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45.4</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1,777.81</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1,777.81</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年度相比，财政拨款收入增加</w:t>
      </w:r>
      <w:r>
        <w:rPr>
          <w:rFonts w:hint="eastAsia" w:ascii="仿宋_GB2312" w:hAnsi="ˎ̥" w:eastAsia="仿宋_GB2312"/>
          <w:color w:val="auto"/>
          <w:sz w:val="32"/>
          <w:szCs w:val="32"/>
          <w:lang w:val="en-US" w:eastAsia="zh-CN"/>
        </w:rPr>
        <w:t>624.3</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35.1</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成立高中部后人员及经费的增加</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613.07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34.5</w:t>
      </w:r>
      <w:r>
        <w:rPr>
          <w:rFonts w:hint="eastAsia" w:ascii="仿宋_GB2312" w:hAnsi="ˎ̥" w:eastAsia="仿宋_GB2312"/>
          <w:color w:val="auto"/>
          <w:sz w:val="32"/>
          <w:szCs w:val="32"/>
        </w:rPr>
        <w:t>%，主要原因：一是</w:t>
      </w:r>
      <w:r>
        <w:rPr>
          <w:rFonts w:hint="eastAsia" w:ascii="仿宋_GB2312" w:hAnsi="ˎ̥" w:eastAsia="仿宋_GB2312"/>
          <w:color w:val="auto"/>
          <w:sz w:val="32"/>
          <w:szCs w:val="32"/>
          <w:lang w:val="en-US" w:eastAsia="zh-CN"/>
        </w:rPr>
        <w:t>成立高中部后人员及经费的支出增加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eastAsia" w:ascii="仿宋_GB2312" w:hAnsi="ˎ̥" w:eastAsia="仿宋_GB2312"/>
          <w:color w:val="auto"/>
          <w:sz w:val="32"/>
          <w:szCs w:val="32"/>
          <w:lang w:val="en-US" w:eastAsia="zh-CN"/>
        </w:rPr>
        <w:t>1.93</w:t>
      </w:r>
      <w:r>
        <w:rPr>
          <w:rFonts w:hint="eastAsia" w:ascii="仿宋_GB2312" w:hAnsi="ˎ̥" w:eastAsia="仿宋_GB2312"/>
          <w:color w:val="auto"/>
          <w:sz w:val="32"/>
          <w:szCs w:val="32"/>
        </w:rPr>
        <w:t>万元，主要是主要原因是</w:t>
      </w:r>
      <w:r>
        <w:rPr>
          <w:rFonts w:hint="eastAsia" w:ascii="仿宋_GB2312" w:hAnsi="ˎ̥" w:eastAsia="仿宋_GB2312"/>
          <w:color w:val="auto"/>
          <w:sz w:val="32"/>
          <w:szCs w:val="32"/>
          <w:lang w:val="en-US" w:eastAsia="zh-CN"/>
        </w:rPr>
        <w:t>预留明年初支付水电费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650.83</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成立高中部后人员及经费的增加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eastAsia" w:ascii="仿宋_GB2312" w:hAnsi="ˎ̥" w:eastAsia="仿宋_GB2312"/>
          <w:color w:val="auto"/>
          <w:sz w:val="32"/>
          <w:szCs w:val="32"/>
          <w:lang w:val="en-US" w:eastAsia="zh-CN"/>
        </w:rPr>
        <w:t>18.18</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人员社保及水电费</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16.25</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89.3</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人员社保及水电费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19665_WPSOffice_Level2"/>
      <w:bookmarkStart w:id="80" w:name="_Toc13694_WPSOffice_Level2"/>
      <w:bookmarkStart w:id="81" w:name="_Toc9989_WPSOffice_Level2"/>
      <w:bookmarkStart w:id="82" w:name="_Toc17398_WPSOffice_Level2"/>
      <w:bookmarkStart w:id="83" w:name="_Toc23005_WPSOffice_Level2"/>
      <w:bookmarkStart w:id="84" w:name="_Toc21737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1,777.81</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97.8</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年度相比，一般公共预算财政拨款支出增加</w:t>
      </w:r>
      <w:r>
        <w:rPr>
          <w:rFonts w:hint="eastAsia" w:ascii="仿宋_GB2312" w:hAnsi="ˎ̥" w:eastAsia="仿宋_GB2312"/>
          <w:color w:val="auto"/>
          <w:sz w:val="32"/>
          <w:szCs w:val="32"/>
          <w:lang w:val="en-US" w:eastAsia="zh-CN"/>
        </w:rPr>
        <w:t>650.83</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35.8</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成立高中部后人员及经费的支出增加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5" w:name="_Toc19075_WPSOffice_Level2"/>
      <w:bookmarkStart w:id="86" w:name="_Toc2711_WPSOffice_Level2"/>
      <w:bookmarkStart w:id="87" w:name="_Toc27767_WPSOffice_Level2"/>
      <w:bookmarkStart w:id="88" w:name="_Toc18793_WPSOffice_Level2"/>
      <w:bookmarkStart w:id="89" w:name="_Toc19535_WPSOffice_Level2"/>
      <w:bookmarkStart w:id="90" w:name="_Toc23864_WPSOffice_Level2"/>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1,777.81</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1461.09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82.2</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142.27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67.19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3.8</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卫生健康支出107.27占6%</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9502_WPSOffice_Level2"/>
      <w:bookmarkStart w:id="92" w:name="_Toc29364_WPSOffice_Level2"/>
      <w:bookmarkStart w:id="93" w:name="_Toc21701_WPSOffice_Level2"/>
      <w:bookmarkStart w:id="94" w:name="_Toc22318_WPSOffice_Level2"/>
      <w:bookmarkStart w:id="95" w:name="_Toc25136_WPSOffice_Level2"/>
      <w:bookmarkStart w:id="96" w:name="_Toc15415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1777.81</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1,777.81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1777.81</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1777.81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0.00</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968.59</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13.00</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万元，主要用于以下方面：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（类）</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（款）</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1.因公出国（境）费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万元。全年安排因公出国（境）团组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个，因公出国（境）</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人次。开支内容包括：</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default" w:ascii="仿宋_GB2312" w:hAnsi="ˎ̥" w:eastAsia="仿宋_GB2312"/>
          <w:color w:val="auto"/>
          <w:sz w:val="32"/>
          <w:szCs w:val="32"/>
          <w:lang w:val="en-US"/>
        </w:rPr>
        <w:t>XXXX</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w:t>
      </w:r>
      <w:r>
        <w:rPr>
          <w:rFonts w:hint="default" w:ascii="仿宋_GB2312" w:hAnsi="ˎ̥" w:eastAsia="仿宋_GB2312"/>
          <w:color w:val="auto"/>
          <w:sz w:val="32"/>
          <w:szCs w:val="32"/>
          <w:lang w:val="en-US" w:eastAsia="zh-CN"/>
        </w:rPr>
        <w:t>XXXX</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default" w:ascii="仿宋_GB2312" w:hAnsi="ˎ̥" w:eastAsia="仿宋_GB2312"/>
          <w:color w:val="auto"/>
          <w:sz w:val="32"/>
          <w:szCs w:val="32"/>
          <w:lang w:val="en-US"/>
        </w:rPr>
        <w:t>XXX</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default" w:ascii="仿宋_GB2312" w:hAnsi="ˎ̥" w:eastAsia="仿宋_GB2312"/>
          <w:color w:val="auto"/>
          <w:sz w:val="32"/>
          <w:szCs w:val="32"/>
          <w:lang w:val="en-US"/>
        </w:rPr>
        <w:t>XXXX</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辆，主要用，年末公务用车保有量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Cs/>
          <w:color w:val="auto"/>
          <w:sz w:val="32"/>
          <w:szCs w:val="32"/>
        </w:rPr>
      </w:pPr>
      <w:r>
        <w:rPr>
          <w:rFonts w:hint="eastAsia" w:ascii="仿宋_GB2312" w:hAnsi="ˎ̥" w:eastAsia="仿宋_GB2312"/>
          <w:bCs/>
          <w:color w:val="auto"/>
          <w:sz w:val="32"/>
          <w:szCs w:val="32"/>
        </w:rPr>
        <w:t>公务用车购置及运行维护费支出决算数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公务用车购置及运行维护费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国内接待费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万元，国内公务接待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r>
        <w:rPr>
          <w:rFonts w:hint="eastAsia" w:ascii="仿宋_GB2312" w:hAnsi="ˎ̥" w:eastAsia="仿宋_GB2312"/>
          <w:b/>
          <w:bCs/>
          <w:color w:val="auto"/>
          <w:sz w:val="32"/>
          <w:szCs w:val="32"/>
        </w:rPr>
        <w:t>国（境）外接待费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万元，国（境）外公务接待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批次，接待</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人次；主要用于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公务接待费支出决算数比预算数增加（减少）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公务接待费</w:t>
      </w:r>
      <w:r>
        <w:rPr>
          <w:rFonts w:hint="eastAsia" w:ascii="仿宋_GB2312" w:hAnsi="ˎ̥" w:eastAsia="仿宋_GB2312"/>
          <w:color w:val="auto"/>
          <w:sz w:val="32"/>
          <w:szCs w:val="32"/>
        </w:rPr>
        <w:t>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w:t>
      </w:r>
      <w:r>
        <w:rPr>
          <w:rFonts w:hint="eastAsia" w:ascii="仿宋_GB2312" w:eastAsia="仿宋_GB2312"/>
          <w:color w:val="auto"/>
          <w:sz w:val="32"/>
          <w:szCs w:val="32"/>
          <w:lang w:val="en-US" w:eastAsia="zh-CN"/>
        </w:rPr>
        <w:t>0</w:t>
      </w:r>
      <w:r>
        <w:rPr>
          <w:rFonts w:hint="eastAsia" w:ascii="仿宋_GB2312" w:eastAsia="仿宋_GB2312"/>
          <w:color w:val="auto"/>
          <w:sz w:val="32"/>
          <w:szCs w:val="32"/>
          <w:lang w:val="en-US" w:eastAsia="zh-CN"/>
        </w:rPr>
        <w:t>万元，占一般公共预算项目支出总额的</w:t>
      </w:r>
      <w:r>
        <w:rPr>
          <w:rFonts w:hint="eastAsia" w:ascii="仿宋_GB2312" w:eastAsia="仿宋_GB2312"/>
          <w:color w:val="auto"/>
          <w:sz w:val="32"/>
          <w:szCs w:val="32"/>
          <w:lang w:val="en-US" w:eastAsia="zh-CN"/>
        </w:rPr>
        <w:t>0</w:t>
      </w:r>
      <w:r>
        <w:rPr>
          <w:rFonts w:hint="eastAsia" w:ascii="仿宋_GB2312" w:eastAsia="仿宋_GB2312"/>
          <w:color w:val="auto"/>
          <w:sz w:val="32"/>
          <w:szCs w:val="32"/>
          <w:lang w:val="en-US" w:eastAsia="zh-CN"/>
        </w:rPr>
        <w:t>%</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等</w:t>
      </w:r>
      <w:r>
        <w:rPr>
          <w:rFonts w:hint="default" w:ascii="仿宋_GB2312" w:eastAsia="仿宋_GB2312"/>
          <w:color w:val="auto"/>
          <w:sz w:val="32"/>
          <w:szCs w:val="32"/>
          <w:lang w:val="en-US" w:bidi="ar"/>
        </w:rPr>
        <w:t>X</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从评价情况来看，……（预算</w:t>
      </w:r>
      <w:r>
        <w:rPr>
          <w:rFonts w:hint="eastAsia" w:ascii="仿宋_GB2312" w:eastAsia="仿宋_GB2312"/>
          <w:color w:val="auto"/>
          <w:sz w:val="32"/>
          <w:szCs w:val="32"/>
          <w:lang w:eastAsia="zh-CN"/>
        </w:rPr>
        <w:t>单位</w:t>
      </w:r>
      <w:r>
        <w:rPr>
          <w:rFonts w:hint="eastAsia" w:ascii="仿宋_GB2312" w:eastAsia="仿宋_GB2312"/>
          <w:color w:val="auto"/>
          <w:sz w:val="32"/>
          <w:szCs w:val="32"/>
        </w:rPr>
        <w:t>如有，请对预算绩效评价情况进行简单说明；没有，则简要说明本年没有进行相关工作及理由。</w:t>
      </w:r>
      <w:r>
        <w:rPr>
          <w:rFonts w:hint="eastAsia" w:ascii="仿宋_GB2312" w:eastAsia="仿宋_GB2312"/>
          <w:color w:val="auto"/>
          <w:sz w:val="32"/>
          <w:szCs w:val="32"/>
          <w:lang w:eastAsia="zh-CN"/>
        </w:rPr>
        <w:t>单位</w:t>
      </w:r>
      <w:r>
        <w:rPr>
          <w:rFonts w:hint="eastAsia" w:ascii="仿宋_GB2312" w:eastAsia="仿宋_GB2312"/>
          <w:color w:val="auto"/>
          <w:sz w:val="32"/>
          <w:szCs w:val="32"/>
        </w:rPr>
        <w:t>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参照如下格式说明（表述应与决算内容保持一致）：我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在</w:t>
      </w:r>
      <w:r>
        <w:rPr>
          <w:rFonts w:hint="eastAsia" w:ascii="仿宋_GB2312" w:eastAsia="仿宋_GB2312"/>
          <w:color w:val="auto"/>
          <w:sz w:val="32"/>
          <w:szCs w:val="32"/>
          <w:lang w:eastAsia="zh-CN"/>
        </w:rPr>
        <w:t>单位</w:t>
      </w:r>
      <w:r>
        <w:rPr>
          <w:rFonts w:hint="eastAsia" w:ascii="仿宋_GB2312" w:eastAsia="仿宋_GB2312"/>
          <w:color w:val="auto"/>
          <w:sz w:val="32"/>
          <w:szCs w:val="32"/>
        </w:rPr>
        <w:t>决算中反映</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等</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0</w:t>
      </w:r>
      <w:r>
        <w:rPr>
          <w:rFonts w:hint="eastAsia" w:ascii="仿宋_GB2312" w:eastAsia="仿宋_GB2312"/>
          <w:color w:val="auto"/>
          <w:sz w:val="32"/>
          <w:szCs w:val="32"/>
        </w:rPr>
        <w:t>项目绩效自评报告：根据年初设定的绩效目标，项目绩效自评得分为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分。全年预算数为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万元，执行数为</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万元，完成预算的</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评价项目数量在3个以内的，至少将1个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评价项目数量大于3个的，至少将2个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eastAsia="仿宋_GB2312"/>
          <w:color w:val="auto"/>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zh-CN"/>
        </w:rPr>
        <w:t>反映财政单位组织开展的预算单位重点项目财政评价情况，如有，可将评价报告附后。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15565_WPSOffice_Level2"/>
      <w:bookmarkStart w:id="98" w:name="_Toc23598_WPSOffice_Level2"/>
      <w:bookmarkStart w:id="99" w:name="_Toc5978_WPSOffice_Level2"/>
      <w:bookmarkStart w:id="100" w:name="_Toc32639_WPSOffice_Level2"/>
      <w:bookmarkStart w:id="101" w:name="_Toc15262_WPSOffice_Level2"/>
      <w:bookmarkStart w:id="102" w:name="_Toc18325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color w:val="auto"/>
          <w:sz w:val="32"/>
          <w:szCs w:val="32"/>
          <w:lang w:val="en-US" w:eastAsia="zh-CN" w:bidi="ar"/>
        </w:rPr>
        <w:t>0</w:t>
      </w:r>
      <w:r>
        <w:rPr>
          <w:rFonts w:hint="eastAsia" w:ascii="仿宋_GB2312" w:hAnsi="ˎ̥" w:eastAsia="仿宋_GB2312"/>
          <w:color w:val="auto"/>
          <w:sz w:val="32"/>
          <w:szCs w:val="32"/>
          <w:lang w:bidi="ar"/>
        </w:rPr>
        <w:t>支出/等</w:t>
      </w:r>
      <w:r>
        <w:rPr>
          <w:rFonts w:hint="eastAsia" w:ascii="仿宋_GB2312" w:hAnsi="ˎ̥" w:eastAsia="仿宋_GB2312"/>
          <w:color w:val="auto"/>
          <w:sz w:val="32"/>
          <w:szCs w:val="32"/>
        </w:rPr>
        <w:t>（具体增减原因由</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3" w:name="_Toc25333_WPSOffice_Level2"/>
      <w:bookmarkStart w:id="104" w:name="_Toc13084_WPSOffice_Level2"/>
      <w:bookmarkStart w:id="105" w:name="_Toc32689_WPSOffice_Level2"/>
      <w:bookmarkStart w:id="106" w:name="_Toc3131_WPSOffice_Level2"/>
      <w:bookmarkStart w:id="107" w:name="_Toc23966_WPSOffice_Level2"/>
      <w:bookmarkStart w:id="108" w:name="_Toc30383_WPSOffice_Level2"/>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10902_WPSOffice_Level2"/>
      <w:bookmarkStart w:id="110" w:name="_Toc29584_WPSOffice_Level2"/>
      <w:bookmarkStart w:id="111" w:name="_Toc6016_WPSOffice_Level2"/>
      <w:bookmarkStart w:id="112" w:name="_Toc19989_WPSOffice_Level2"/>
      <w:bookmarkStart w:id="113" w:name="_Toc527_WPSOffice_Level2"/>
      <w:bookmarkStart w:id="114" w:name="_Toc15129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8112</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default" w:ascii="仿宋_GB2312" w:hAnsi="ˎ̥" w:eastAsia="仿宋_GB2312"/>
          <w:color w:val="auto"/>
          <w:sz w:val="32"/>
          <w:szCs w:val="32"/>
          <w:lang w:val="en-US"/>
        </w:rPr>
        <w:t>XX</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辆，其他用车主要是</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5" w:name="_Toc17580_WPSOffice_Level1"/>
      <w:bookmarkStart w:id="116" w:name="_Toc4398_WPSOffice_Level1"/>
      <w:bookmarkStart w:id="117" w:name="_Toc8808_WPSOffice_Level1"/>
      <w:bookmarkStart w:id="118" w:name="_Toc8874_WPSOffice_Level1"/>
      <w:bookmarkStart w:id="119" w:name="_Toc11039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0A57361"/>
    <w:rsid w:val="12601CD6"/>
    <w:rsid w:val="136F98C7"/>
    <w:rsid w:val="17427E68"/>
    <w:rsid w:val="1755065F"/>
    <w:rsid w:val="182D00C9"/>
    <w:rsid w:val="1AFC29C9"/>
    <w:rsid w:val="1CA52F2E"/>
    <w:rsid w:val="1E3630B9"/>
    <w:rsid w:val="24884843"/>
    <w:rsid w:val="26EEC2B5"/>
    <w:rsid w:val="29472309"/>
    <w:rsid w:val="2B406E77"/>
    <w:rsid w:val="2C2A0C43"/>
    <w:rsid w:val="2D1E73A5"/>
    <w:rsid w:val="30134BEF"/>
    <w:rsid w:val="32717154"/>
    <w:rsid w:val="34B63260"/>
    <w:rsid w:val="37FDA7E2"/>
    <w:rsid w:val="3A314D88"/>
    <w:rsid w:val="3A746883"/>
    <w:rsid w:val="3CA15DE9"/>
    <w:rsid w:val="3FE61EE5"/>
    <w:rsid w:val="406508EE"/>
    <w:rsid w:val="408D6263"/>
    <w:rsid w:val="40D36AFC"/>
    <w:rsid w:val="41B40CEE"/>
    <w:rsid w:val="48317291"/>
    <w:rsid w:val="485F7024"/>
    <w:rsid w:val="48E70666"/>
    <w:rsid w:val="4C246A23"/>
    <w:rsid w:val="4C6877E5"/>
    <w:rsid w:val="4D6A468D"/>
    <w:rsid w:val="4EA86137"/>
    <w:rsid w:val="509B1F41"/>
    <w:rsid w:val="56CA7FD0"/>
    <w:rsid w:val="57FA38D1"/>
    <w:rsid w:val="5F1C0C2D"/>
    <w:rsid w:val="5F7D3333"/>
    <w:rsid w:val="61385890"/>
    <w:rsid w:val="61F107CF"/>
    <w:rsid w:val="65774553"/>
    <w:rsid w:val="687436E1"/>
    <w:rsid w:val="6DA45C50"/>
    <w:rsid w:val="6E9A7825"/>
    <w:rsid w:val="6F4635AA"/>
    <w:rsid w:val="6F670F9B"/>
    <w:rsid w:val="737450E0"/>
    <w:rsid w:val="74054476"/>
    <w:rsid w:val="742F38C4"/>
    <w:rsid w:val="74AB66DC"/>
    <w:rsid w:val="74C4154C"/>
    <w:rsid w:val="75956FFF"/>
    <w:rsid w:val="77042A6A"/>
    <w:rsid w:val="77AA2D01"/>
    <w:rsid w:val="7B5E4940"/>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1163</Words>
  <Characters>2480</Characters>
  <Lines>67</Lines>
  <Paragraphs>18</Paragraphs>
  <TotalTime>6</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2025-10-27T08:32:29Z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