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000000" w:themeColor="text1"/>
          <w:sz w:val="44"/>
          <w:szCs w:val="44"/>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44"/>
          <w:szCs w:val="44"/>
          <w14:textFill>
            <w14:solidFill>
              <w14:schemeClr w14:val="tx1"/>
            </w14:solidFill>
          </w14:textFill>
        </w:rPr>
        <w:t>屯昌县新兴镇新兴中学2024年度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000000" w:themeColor="text1"/>
          <w:sz w:val="44"/>
          <w:szCs w:val="44"/>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44"/>
          <w:szCs w:val="44"/>
          <w14:textFill>
            <w14:solidFill>
              <w14:schemeClr w14:val="tx1"/>
            </w14:solidFill>
          </w14:textFill>
        </w:rPr>
        <w:t>部门决算</w:t>
      </w:r>
      <w:bookmarkStart w:id="119" w:name="_GoBack"/>
      <w:bookmarkEnd w:id="119"/>
      <w:r>
        <w:rPr>
          <w:rFonts w:hint="eastAsia" w:ascii="方正小标宋_GBK" w:hAnsi="方正小标宋_GBK" w:eastAsia="方正小标宋_GBK" w:cs="方正小标宋_GBK"/>
          <w:b w:val="0"/>
          <w:bCs w:val="0"/>
          <w:color w:val="000000" w:themeColor="text1"/>
          <w:sz w:val="44"/>
          <w:szCs w:val="44"/>
          <w14:textFill>
            <w14:solidFill>
              <w14:schemeClr w14:val="tx1"/>
            </w14:solidFill>
          </w14:textFill>
        </w:rPr>
        <w:t>公开报告</w:t>
      </w:r>
    </w:p>
    <w:p>
      <w:pPr>
        <w:spacing w:line="578" w:lineRule="exact"/>
        <w:jc w:val="center"/>
        <w:rPr>
          <w:rFonts w:hint="eastAsia" w:ascii="黑体" w:hAnsi="ˎ̥" w:eastAsia="黑体"/>
          <w:b/>
          <w:color w:val="000000" w:themeColor="text1"/>
          <w:sz w:val="32"/>
          <w:szCs w:val="32"/>
          <w14:textFill>
            <w14:solidFill>
              <w14:schemeClr w14:val="tx1"/>
            </w14:solidFill>
          </w14:textFill>
        </w:rPr>
      </w:pPr>
    </w:p>
    <w:p>
      <w:pPr>
        <w:spacing w:line="578" w:lineRule="exact"/>
        <w:jc w:val="center"/>
        <w:rPr>
          <w:rFonts w:hint="eastAsia" w:ascii="黑体" w:hAnsi="黑体" w:eastAsia="黑体" w:cs="黑体"/>
          <w:color w:val="000000" w:themeColor="text1"/>
          <w:sz w:val="44"/>
          <w:szCs w:val="44"/>
          <w14:textFill>
            <w14:solidFill>
              <w14:schemeClr w14:val="tx1"/>
            </w14:solidFill>
          </w14:textFill>
        </w:rPr>
      </w:pPr>
      <w:bookmarkStart w:id="0" w:name="_Toc11440_WPSOffice_Type2"/>
      <w:r>
        <w:rPr>
          <w:rFonts w:hint="eastAsia" w:ascii="黑体" w:hAnsi="黑体" w:eastAsia="黑体" w:cs="黑体"/>
          <w:color w:val="000000" w:themeColor="text1"/>
          <w:sz w:val="44"/>
          <w:szCs w:val="44"/>
          <w14:textFill>
            <w14:solidFill>
              <w14:schemeClr w14:val="tx1"/>
            </w14:solidFill>
          </w14:textFill>
        </w:rPr>
        <w:t>目  录</w:t>
      </w:r>
    </w:p>
    <w:p>
      <w:pPr>
        <w:pStyle w:val="15"/>
        <w:tabs>
          <w:tab w:val="right" w:leader="dot" w:pos="8306"/>
        </w:tabs>
        <w:spacing w:line="578" w:lineRule="exact"/>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_Toc1704_WPSOffice_Level1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第一部分 基本情况</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2</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_Toc20274_WPSOffice_Level2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color w:val="000000" w:themeColor="text1"/>
          <w:sz w:val="32"/>
          <w:szCs w:val="32"/>
          <w14:textFill>
            <w14:solidFill>
              <w14:schemeClr w14:val="tx1"/>
            </w14:solidFill>
          </w14:textFill>
        </w:rPr>
        <w:t>一、部门（单位）职责</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2</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_Toc4833_WPSOffice_Level2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color w:val="000000" w:themeColor="text1"/>
          <w:sz w:val="32"/>
          <w:szCs w:val="32"/>
          <w14:textFill>
            <w14:solidFill>
              <w14:schemeClr w14:val="tx1"/>
            </w14:solidFill>
          </w14:textFill>
        </w:rPr>
        <w:t>二、机构设置</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2</w:t>
      </w:r>
    </w:p>
    <w:p>
      <w:pPr>
        <w:pStyle w:val="15"/>
        <w:tabs>
          <w:tab w:val="right" w:leader="dot" w:pos="8306"/>
        </w:tabs>
        <w:spacing w:line="578" w:lineRule="exact"/>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_Toc28253_WPSOffice_Level1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 xml:space="preserve">第二部分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年度部门决算公开表</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2</w:t>
      </w:r>
    </w:p>
    <w:p>
      <w:pPr>
        <w:pStyle w:val="15"/>
        <w:tabs>
          <w:tab w:val="right" w:leader="dot" w:pos="8306"/>
        </w:tabs>
        <w:spacing w:line="578" w:lineRule="exact"/>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_Toc27590_WPSOffice_Level1 </w:instrText>
      </w:r>
      <w:r>
        <w:rPr>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第三部分</w:t>
      </w:r>
      <w:r>
        <w:rPr>
          <w:rFonts w:hint="eastAsia"/>
          <w:color w:val="000000" w:themeColor="text1"/>
          <w:sz w:val="32"/>
          <w:szCs w:val="32"/>
          <w14:textFill>
            <w14:solidFill>
              <w14:schemeClr w14:val="tx1"/>
            </w14:solidFill>
          </w14:textFill>
        </w:rPr>
        <w:t xml:space="preserve">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年度部门决算情况说明</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3</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_Toc21737_WPSOffice_Level2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一、收入支出总体情况说明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3</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二、收入决算情况说明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三、支出决算情况说明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四、财政拨款收入支出决算</w:t>
      </w:r>
      <w:r>
        <w:rPr>
          <w:rFonts w:hint="eastAsia" w:ascii="仿宋" w:hAnsi="仿宋" w:eastAsia="仿宋" w:cs="仿宋"/>
          <w:bCs/>
          <w:color w:val="000000" w:themeColor="text1"/>
          <w:sz w:val="32"/>
          <w:szCs w:val="32"/>
          <w:lang w:val="en-US" w:eastAsia="zh-CN"/>
          <w14:textFill>
            <w14:solidFill>
              <w14:schemeClr w14:val="tx1"/>
            </w14:solidFill>
          </w14:textFill>
        </w:rPr>
        <w:t>总体</w:t>
      </w:r>
      <w:r>
        <w:rPr>
          <w:rFonts w:hint="eastAsia" w:ascii="仿宋" w:hAnsi="仿宋" w:eastAsia="仿宋" w:cs="仿宋"/>
          <w:bCs/>
          <w:color w:val="000000" w:themeColor="text1"/>
          <w:sz w:val="32"/>
          <w:szCs w:val="32"/>
          <w14:textFill>
            <w14:solidFill>
              <w14:schemeClr w14:val="tx1"/>
            </w14:solidFill>
          </w14:textFill>
        </w:rPr>
        <w:t>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五、一般公共预算财政拨款支出决算情况说明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5</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六、一般公共预算财政拨款基本支出决算情况说明</w:t>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6</w:t>
      </w:r>
    </w:p>
    <w:p>
      <w:pPr>
        <w:pStyle w:val="16"/>
        <w:numPr>
          <w:ilvl w:val="0"/>
          <w:numId w:val="1"/>
        </w:numPr>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政府性基金预算财政拨款支出决算情况说明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7</w:t>
      </w:r>
    </w:p>
    <w:p>
      <w:pPr>
        <w:pStyle w:val="16"/>
        <w:numPr>
          <w:ilvl w:val="0"/>
          <w:numId w:val="1"/>
        </w:numPr>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国有资本经营预算财政拨款支出决算情况说明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8</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九、财政拨款“三公”经费支出决算情况说明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9</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十、预算绩效情况说明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11</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十一、其他重要事项情况说明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13</w:t>
      </w:r>
    </w:p>
    <w:p>
      <w:pPr>
        <w:pStyle w:val="15"/>
        <w:tabs>
          <w:tab w:val="right" w:leader="dot" w:pos="8306"/>
        </w:tabs>
        <w:spacing w:line="578" w:lineRule="exact"/>
        <w:rPr>
          <w:rFonts w:hint="eastAsia" w:ascii="黑体" w:hAnsi="ˎ̥"/>
          <w:b/>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_Toc15425_WPSOffice_Level1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第四部分  名词解释</w:t>
      </w:r>
      <w:r>
        <w:rPr>
          <w:color w:val="000000" w:themeColor="text1"/>
          <w:sz w:val="32"/>
          <w:szCs w:val="32"/>
          <w14:textFill>
            <w14:solidFill>
              <w14:schemeClr w14:val="tx1"/>
            </w14:solidFill>
          </w14:textFill>
        </w:rPr>
        <w:tab/>
      </w:r>
      <w:bookmarkStart w:id="1" w:name="_Toc15425_WPSOffice_Level1Page"/>
      <w:r>
        <w:rPr>
          <w:color w:val="000000" w:themeColor="text1"/>
          <w:sz w:val="32"/>
          <w:szCs w:val="32"/>
          <w14:textFill>
            <w14:solidFill>
              <w14:schemeClr w14:val="tx1"/>
            </w14:solidFill>
          </w14:textFill>
        </w:rPr>
        <w:t>1</w:t>
      </w:r>
      <w:bookmarkEnd w:id="1"/>
      <w:r>
        <w:rPr>
          <w:color w:val="000000" w:themeColor="text1"/>
          <w:sz w:val="32"/>
          <w:szCs w:val="32"/>
          <w14:textFill>
            <w14:solidFill>
              <w14:schemeClr w14:val="tx1"/>
            </w14:solidFill>
          </w14:textFill>
        </w:rPr>
        <w:fldChar w:fldCharType="end"/>
      </w:r>
      <w:bookmarkEnd w:id="0"/>
      <w:r>
        <w:rPr>
          <w:rFonts w:hint="eastAsia"/>
          <w:color w:val="000000" w:themeColor="text1"/>
          <w:sz w:val="32"/>
          <w:szCs w:val="32"/>
          <w14:textFill>
            <w14:solidFill>
              <w14:schemeClr w14:val="tx1"/>
            </w14:solidFill>
          </w14:textFill>
        </w:rPr>
        <w:t>5</w:t>
      </w:r>
    </w:p>
    <w:p>
      <w:pPr>
        <w:spacing w:line="578" w:lineRule="exact"/>
        <w:jc w:val="both"/>
        <w:rPr>
          <w:rFonts w:hint="eastAsia" w:ascii="黑体" w:hAnsi="ˎ̥" w:eastAsia="黑体"/>
          <w:color w:val="000000" w:themeColor="text1"/>
          <w:sz w:val="32"/>
          <w:szCs w:val="32"/>
          <w14:textFill>
            <w14:solidFill>
              <w14:schemeClr w14:val="tx1"/>
            </w14:solidFill>
          </w14:textFill>
        </w:rPr>
      </w:pPr>
      <w:bookmarkStart w:id="2" w:name="_Toc22941_WPSOffice_Level1"/>
      <w:bookmarkStart w:id="3" w:name="_Toc10049_WPSOffice_Level1"/>
      <w:bookmarkStart w:id="4" w:name="_Toc10720_WPSOffice_Level1"/>
      <w:bookmarkStart w:id="5" w:name="_Toc23465_WPSOffice_Level1"/>
      <w:bookmarkStart w:id="6" w:name="_Toc32433_WPSOffice_Level1"/>
      <w:bookmarkStart w:id="7" w:name="_Toc1704_WPSOffice_Level1"/>
      <w:bookmarkStart w:id="8" w:name="_Toc24238_WPSOffice_Level2"/>
      <w:bookmarkStart w:id="9" w:name="_Toc26580_WPSOffice_Level2"/>
      <w:bookmarkStart w:id="10" w:name="_Toc20205_WPSOffice_Level2"/>
      <w:bookmarkStart w:id="11" w:name="_Toc32622_WPSOffice_Level2"/>
      <w:bookmarkStart w:id="12" w:name="_Toc20274_WPSOffice_Level2"/>
      <w:bookmarkStart w:id="13" w:name="_Toc14159_WPSOffice_Level2"/>
    </w:p>
    <w:p>
      <w:pPr>
        <w:spacing w:line="578" w:lineRule="exact"/>
        <w:jc w:val="center"/>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 xml:space="preserve">第一部分  </w:t>
      </w:r>
      <w:bookmarkEnd w:id="2"/>
      <w:bookmarkEnd w:id="3"/>
      <w:bookmarkEnd w:id="4"/>
      <w:bookmarkEnd w:id="5"/>
      <w:bookmarkEnd w:id="6"/>
      <w:bookmarkEnd w:id="7"/>
      <w:r>
        <w:rPr>
          <w:rFonts w:hint="eastAsia" w:ascii="黑体" w:hAnsi="ˎ̥" w:eastAsia="黑体"/>
          <w:color w:val="000000" w:themeColor="text1"/>
          <w:sz w:val="32"/>
          <w:szCs w:val="32"/>
          <w14:textFill>
            <w14:solidFill>
              <w14:schemeClr w14:val="tx1"/>
            </w14:solidFill>
          </w14:textFill>
        </w:rPr>
        <w:t>基本情况</w:t>
      </w:r>
    </w:p>
    <w:p>
      <w:pPr>
        <w:spacing w:line="578" w:lineRule="exact"/>
        <w:ind w:firstLine="640" w:firstLineChars="200"/>
        <w:rPr>
          <w:rFonts w:hint="eastAsia" w:ascii="楷体" w:hAnsi="楷体" w:eastAsia="楷体" w:cs="楷体"/>
          <w:color w:val="000000" w:themeColor="text1"/>
          <w:sz w:val="32"/>
          <w:szCs w:val="32"/>
          <w14:textFill>
            <w14:solidFill>
              <w14:schemeClr w14:val="tx1"/>
            </w14:solidFill>
          </w14:textFill>
        </w:rPr>
      </w:pPr>
    </w:p>
    <w:p>
      <w:pPr>
        <w:numPr>
          <w:ilvl w:val="0"/>
          <w:numId w:val="0"/>
        </w:numPr>
        <w:spacing w:line="578" w:lineRule="exact"/>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一、</w:t>
      </w:r>
      <w:r>
        <w:rPr>
          <w:rFonts w:hint="eastAsia" w:ascii="黑体" w:hAnsi="黑体" w:eastAsia="黑体" w:cs="黑体"/>
          <w:color w:val="000000" w:themeColor="text1"/>
          <w:sz w:val="32"/>
          <w:szCs w:val="32"/>
          <w14:textFill>
            <w14:solidFill>
              <w14:schemeClr w14:val="tx1"/>
            </w14:solidFill>
          </w14:textFill>
        </w:rPr>
        <w:t>部门</w:t>
      </w:r>
      <w:bookmarkEnd w:id="8"/>
      <w:r>
        <w:rPr>
          <w:rFonts w:hint="eastAsia" w:ascii="黑体" w:hAnsi="黑体" w:eastAsia="黑体" w:cs="黑体"/>
          <w:color w:val="000000" w:themeColor="text1"/>
          <w:sz w:val="32"/>
          <w:szCs w:val="32"/>
          <w14:textFill>
            <w14:solidFill>
              <w14:schemeClr w14:val="tx1"/>
            </w14:solidFill>
          </w14:textFill>
        </w:rPr>
        <w:t>（单位）职责</w:t>
      </w:r>
      <w:bookmarkEnd w:id="9"/>
      <w:bookmarkEnd w:id="10"/>
      <w:bookmarkEnd w:id="11"/>
      <w:bookmarkEnd w:id="12"/>
      <w:bookmarkEnd w:id="13"/>
    </w:p>
    <w:p>
      <w:pPr>
        <w:numPr>
          <w:ilvl w:val="0"/>
          <w:numId w:val="0"/>
        </w:numPr>
        <w:spacing w:line="578"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shd w:val="clear" w:color="auto" w:fill="FFFFFF"/>
          <w14:textFill>
            <w14:solidFill>
              <w14:schemeClr w14:val="tx1"/>
            </w14:solidFill>
          </w14:textFill>
        </w:rPr>
        <w:t>研究拟定学校发展规划和计划，贯彻实行党和国家的教育方针、政策、法规，组织实施教育体制和办学体制改革，管理和指导学校基础教育工作，确保九年义务教育工作成果，管理学校教育经费，实施全镇适龄儿童的义务教育，促进基础义务教育发展</w:t>
      </w:r>
    </w:p>
    <w:p>
      <w:pPr>
        <w:spacing w:line="578" w:lineRule="exact"/>
        <w:rPr>
          <w:rFonts w:hint="eastAsia" w:ascii="黑体" w:hAnsi="黑体" w:eastAsia="黑体" w:cs="黑体"/>
          <w:color w:val="000000" w:themeColor="text1"/>
          <w:sz w:val="32"/>
          <w:szCs w:val="32"/>
          <w14:textFill>
            <w14:solidFill>
              <w14:schemeClr w14:val="tx1"/>
            </w14:solidFill>
          </w14:textFill>
        </w:rPr>
      </w:pPr>
      <w:bookmarkStart w:id="14" w:name="_Toc6572_WPSOffice_Level2"/>
      <w:bookmarkStart w:id="15" w:name="_Toc24059_WPSOffice_Level2"/>
      <w:bookmarkStart w:id="16" w:name="_Toc17796_WPSOffice_Level2"/>
      <w:bookmarkStart w:id="17" w:name="_Toc24474_WPSOffice_Level2"/>
      <w:bookmarkStart w:id="18" w:name="_Toc4833_WPSOffice_Level2"/>
      <w:r>
        <w:rPr>
          <w:rFonts w:hint="eastAsia" w:ascii="黑体" w:hAnsi="黑体" w:eastAsia="黑体" w:cs="黑体"/>
          <w:color w:val="000000" w:themeColor="text1"/>
          <w:sz w:val="32"/>
          <w:szCs w:val="32"/>
          <w14:textFill>
            <w14:solidFill>
              <w14:schemeClr w14:val="tx1"/>
            </w14:solidFill>
          </w14:textFill>
        </w:rPr>
        <w:t>二、机构设置</w:t>
      </w:r>
      <w:bookmarkEnd w:id="14"/>
      <w:bookmarkEnd w:id="15"/>
      <w:bookmarkEnd w:id="16"/>
      <w:bookmarkEnd w:id="17"/>
      <w:bookmarkEnd w:id="18"/>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pPr>
      <w:bookmarkStart w:id="19" w:name="_Toc8164_WPSOffice_Level1"/>
      <w:bookmarkStart w:id="20" w:name="_Toc30451_WPSOffice_Level1"/>
      <w:bookmarkStart w:id="21" w:name="_Toc6234_WPSOffice_Level1"/>
      <w:bookmarkStart w:id="22" w:name="_Toc28253_WPSOffice_Level1"/>
      <w:bookmarkStart w:id="23" w:name="_Toc15521_WPSOffice_Level1"/>
      <w:bookmarkStart w:id="24" w:name="_Toc30690_WPSOffice_Level1"/>
      <w:bookmarkStart w:id="25" w:name="_Toc32695_WPSOffice_Level2"/>
      <w:bookmarkStart w:id="26" w:name="_Toc11518_WPSOffice_Level2"/>
      <w:bookmarkStart w:id="27" w:name="_Toc6211_WPSOffice_Level2"/>
      <w:bookmarkStart w:id="28" w:name="_Toc8867_WPSOffice_Level2"/>
      <w:bookmarkStart w:id="29" w:name="_Toc32472_WPSOffice_Level2"/>
      <w:bookmarkStart w:id="30" w:name="_Toc4029_WPSOffice_Level2"/>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纳入202</w:t>
      </w:r>
      <w:r>
        <w:rPr>
          <w:rFonts w:hint="eastAsia" w:ascii="仿宋_GB2312" w:hAnsi="ˎ̥" w:eastAsia="仿宋_GB2312" w:cs="仿宋_GB2312"/>
          <w:color w:val="000000" w:themeColor="text1"/>
          <w:kern w:val="0"/>
          <w:sz w:val="32"/>
          <w:szCs w:val="32"/>
          <w:shd w:val="clear" w:color="auto" w:fill="FFFFFF"/>
          <w:lang w:val="en-US" w:eastAsia="zh-CN"/>
          <w14:textFill>
            <w14:solidFill>
              <w14:schemeClr w14:val="tx1"/>
            </w14:solidFill>
          </w14:textFill>
        </w:rPr>
        <w:t>4</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年度决算编制范围的单位仅包括屯昌县新兴镇新兴中学1个，机构设置情况如下：</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pP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屯昌县新兴镇新兴中学是全额财政拨款的事业单位，也是独立预、决算单位，</w:t>
      </w:r>
      <w:r>
        <w:rPr>
          <w:rFonts w:hint="default" w:ascii="仿宋_GB2312" w:hAnsi="Times New Roman" w:eastAsia="仿宋_GB2312" w:cs="仿宋_GB2312"/>
          <w:color w:val="000000" w:themeColor="text1"/>
          <w:kern w:val="0"/>
          <w:sz w:val="32"/>
          <w:szCs w:val="32"/>
          <w14:textFill>
            <w14:solidFill>
              <w14:schemeClr w14:val="tx1"/>
            </w14:solidFill>
          </w14:textFill>
        </w:rPr>
        <w:t>设置校长室、副校长室、党务办公室、学生发展中心、教科研中心、后勤服务中心、</w:t>
      </w:r>
      <w:r>
        <w:rPr>
          <w:rFonts w:hint="eastAsia" w:ascii="仿宋_GB2312" w:eastAsia="仿宋_GB2312" w:cs="仿宋_GB2312"/>
          <w:color w:val="000000" w:themeColor="text1"/>
          <w:kern w:val="0"/>
          <w:sz w:val="32"/>
          <w:szCs w:val="32"/>
          <w:lang w:val="en-US" w:eastAsia="zh-CN"/>
          <w14:textFill>
            <w14:solidFill>
              <w14:schemeClr w14:val="tx1"/>
            </w14:solidFill>
          </w14:textFill>
        </w:rPr>
        <w:t>校务办公</w:t>
      </w:r>
      <w:r>
        <w:rPr>
          <w:rFonts w:hint="default" w:ascii="仿宋_GB2312" w:hAnsi="Times New Roman" w:eastAsia="仿宋_GB2312" w:cs="仿宋_GB2312"/>
          <w:color w:val="000000" w:themeColor="text1"/>
          <w:kern w:val="0"/>
          <w:sz w:val="32"/>
          <w:szCs w:val="32"/>
          <w14:textFill>
            <w14:solidFill>
              <w14:schemeClr w14:val="tx1"/>
            </w14:solidFill>
          </w14:textFill>
        </w:rPr>
        <w:t>室、校工会、校团委等职能部门。</w:t>
      </w:r>
    </w:p>
    <w:p>
      <w:pPr>
        <w:keepNext w:val="0"/>
        <w:keepLines w:val="0"/>
        <w:widowControl/>
        <w:suppressLineNumbers w:val="0"/>
        <w:spacing w:before="100" w:beforeAutospacing="1" w:after="100" w:afterAutospacing="1"/>
        <w:ind w:left="0" w:right="0"/>
        <w:jc w:val="left"/>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pP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 xml:space="preserve">    截至202</w:t>
      </w:r>
      <w:r>
        <w:rPr>
          <w:rFonts w:hint="eastAsia" w:ascii="仿宋_GB2312" w:hAnsi="ˎ̥" w:eastAsia="仿宋_GB2312" w:cs="仿宋_GB2312"/>
          <w:color w:val="000000" w:themeColor="text1"/>
          <w:kern w:val="0"/>
          <w:sz w:val="32"/>
          <w:szCs w:val="32"/>
          <w:shd w:val="clear" w:color="auto" w:fill="FFFFFF"/>
          <w:lang w:val="en-US" w:eastAsia="zh-CN"/>
          <w14:textFill>
            <w14:solidFill>
              <w14:schemeClr w14:val="tx1"/>
            </w14:solidFill>
          </w14:textFill>
        </w:rPr>
        <w:t>4</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年12月31日，我校在职教职工</w:t>
      </w:r>
      <w:r>
        <w:rPr>
          <w:rFonts w:hint="eastAsia" w:ascii="仿宋_GB2312" w:hAnsi="ˎ̥" w:eastAsia="仿宋_GB2312" w:cs="仿宋_GB2312"/>
          <w:color w:val="000000" w:themeColor="text1"/>
          <w:kern w:val="0"/>
          <w:sz w:val="32"/>
          <w:szCs w:val="32"/>
          <w:shd w:val="clear" w:color="auto" w:fill="FFFFFF"/>
          <w:lang w:val="en-US" w:eastAsia="zh-CN"/>
          <w14:textFill>
            <w14:solidFill>
              <w14:schemeClr w14:val="tx1"/>
            </w14:solidFill>
          </w14:textFill>
        </w:rPr>
        <w:t>65</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人（其中全额财政人员5</w:t>
      </w:r>
      <w:r>
        <w:rPr>
          <w:rFonts w:hint="eastAsia" w:ascii="仿宋_GB2312" w:hAnsi="ˎ̥" w:eastAsia="仿宋_GB2312" w:cs="仿宋_GB2312"/>
          <w:color w:val="000000" w:themeColor="text1"/>
          <w:kern w:val="0"/>
          <w:sz w:val="32"/>
          <w:szCs w:val="32"/>
          <w:shd w:val="clear" w:color="auto" w:fill="FFFFFF"/>
          <w:lang w:val="en-US" w:eastAsia="zh-CN"/>
          <w14:textFill>
            <w14:solidFill>
              <w14:schemeClr w14:val="tx1"/>
            </w14:solidFill>
          </w14:textFill>
        </w:rPr>
        <w:t>9</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人，遗属供养人员</w:t>
      </w:r>
      <w:r>
        <w:rPr>
          <w:rFonts w:hint="eastAsia" w:ascii="仿宋_GB2312" w:hAnsi="ˎ̥" w:eastAsia="仿宋_GB2312" w:cs="仿宋_GB2312"/>
          <w:color w:val="000000" w:themeColor="text1"/>
          <w:kern w:val="0"/>
          <w:sz w:val="32"/>
          <w:szCs w:val="32"/>
          <w:shd w:val="clear" w:color="auto" w:fill="FFFFFF"/>
          <w:lang w:val="en-US" w:eastAsia="zh-CN"/>
          <w14:textFill>
            <w14:solidFill>
              <w14:schemeClr w14:val="tx1"/>
            </w14:solidFill>
          </w14:textFill>
        </w:rPr>
        <w:t>6</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人）</w:t>
      </w:r>
    </w:p>
    <w:p>
      <w:pPr>
        <w:spacing w:line="578" w:lineRule="exact"/>
        <w:jc w:val="center"/>
        <w:rPr>
          <w:rFonts w:hint="eastAsia" w:ascii="黑体" w:hAnsi="ˎ̥" w:eastAsia="黑体"/>
          <w:color w:val="000000" w:themeColor="text1"/>
          <w:sz w:val="32"/>
          <w:szCs w:val="32"/>
          <w14:textFill>
            <w14:solidFill>
              <w14:schemeClr w14:val="tx1"/>
            </w14:solidFill>
          </w14:textFill>
        </w:rPr>
      </w:pPr>
    </w:p>
    <w:p>
      <w:pPr>
        <w:spacing w:line="578" w:lineRule="exact"/>
        <w:jc w:val="center"/>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 xml:space="preserve">第二部分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bookmarkStart w:id="31" w:name="_Toc30334_WPSOffice_Level2"/>
      <w:bookmarkStart w:id="32" w:name="_Toc26621_WPSOffice_Level2"/>
      <w:bookmarkStart w:id="33" w:name="_Toc23139_WPSOffice_Level2"/>
      <w:bookmarkStart w:id="34" w:name="_Toc25608_WPSOffice_Level2"/>
      <w:bookmarkStart w:id="35" w:name="_Toc14349_WPSOffice_Level2"/>
      <w:bookmarkStart w:id="36" w:name="_Toc28622_WPSOffice_Level2"/>
      <w:r>
        <w:rPr>
          <w:rFonts w:hint="eastAsia" w:ascii="黑体" w:hAnsi="黑体" w:eastAsia="黑体" w:cs="黑体"/>
          <w:color w:val="000000" w:themeColor="text1"/>
          <w:sz w:val="32"/>
          <w:szCs w:val="32"/>
          <w14:textFill>
            <w14:solidFill>
              <w14:schemeClr w14:val="tx1"/>
            </w14:solidFill>
          </w14:textFill>
        </w:rPr>
        <w:t>二、收入决算公开表</w:t>
      </w:r>
      <w:bookmarkEnd w:id="31"/>
      <w:bookmarkEnd w:id="32"/>
      <w:bookmarkEnd w:id="33"/>
      <w:bookmarkEnd w:id="34"/>
      <w:bookmarkEnd w:id="35"/>
      <w:bookmarkEnd w:id="36"/>
      <w:bookmarkStart w:id="37" w:name="_Toc17858_WPSOffice_Level2"/>
      <w:bookmarkStart w:id="38" w:name="_Toc3262_WPSOffice_Level2"/>
      <w:bookmarkStart w:id="39" w:name="_Toc14658_WPSOffice_Level2"/>
      <w:bookmarkStart w:id="40" w:name="_Toc5489_WPSOffice_Level2"/>
      <w:bookmarkStart w:id="41" w:name="_Toc13854_WPSOffice_Level2"/>
      <w:bookmarkStart w:id="42" w:name="_Toc17626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三、支出决算公开表</w:t>
      </w:r>
      <w:bookmarkEnd w:id="37"/>
      <w:bookmarkEnd w:id="38"/>
      <w:bookmarkEnd w:id="39"/>
      <w:bookmarkEnd w:id="40"/>
      <w:bookmarkEnd w:id="41"/>
      <w:bookmarkEnd w:id="42"/>
      <w:bookmarkStart w:id="43" w:name="_Toc7988_WPSOffice_Level2"/>
      <w:bookmarkStart w:id="44" w:name="_Toc13701_WPSOffice_Level2"/>
      <w:bookmarkStart w:id="45" w:name="_Toc21415_WPSOffice_Level2"/>
      <w:bookmarkStart w:id="46" w:name="_Toc4265_WPSOffice_Level2"/>
      <w:bookmarkStart w:id="47" w:name="_Toc23591_WPSOffice_Level2"/>
      <w:bookmarkStart w:id="48" w:name="_Toc23493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bookmarkStart w:id="49" w:name="_Toc25166_WPSOffice_Level2"/>
      <w:bookmarkStart w:id="50" w:name="_Toc22783_WPSOffice_Level2"/>
      <w:bookmarkStart w:id="51" w:name="_Toc7879_WPSOffice_Level2"/>
      <w:bookmarkStart w:id="52" w:name="_Toc23829_WPSOffice_Level2"/>
      <w:bookmarkStart w:id="53" w:name="_Toc13516_WPSOffice_Level2"/>
      <w:bookmarkStart w:id="54" w:name="_Toc2158_WPSOffice_Level2"/>
      <w:r>
        <w:rPr>
          <w:rFonts w:hint="eastAsia" w:ascii="黑体" w:hAnsi="黑体" w:eastAsia="黑体" w:cs="黑体"/>
          <w:color w:val="000000" w:themeColor="text1"/>
          <w:sz w:val="32"/>
          <w:szCs w:val="32"/>
          <w14:textFill>
            <w14:solidFill>
              <w14:schemeClr w14:val="tx1"/>
            </w14:solidFill>
          </w14:textFill>
        </w:rPr>
        <w:t>五、一般公共预算财政拨款收入支出决算</w:t>
      </w:r>
      <w:bookmarkEnd w:id="49"/>
      <w:bookmarkEnd w:id="50"/>
      <w:bookmarkEnd w:id="51"/>
      <w:bookmarkEnd w:id="52"/>
      <w:r>
        <w:rPr>
          <w:rFonts w:hint="eastAsia" w:ascii="黑体" w:hAnsi="黑体" w:eastAsia="黑体" w:cs="黑体"/>
          <w:color w:val="000000" w:themeColor="text1"/>
          <w:sz w:val="32"/>
          <w:szCs w:val="32"/>
          <w14:textFill>
            <w14:solidFill>
              <w14:schemeClr w14:val="tx1"/>
            </w14:solidFill>
          </w14:textFill>
        </w:rPr>
        <w:t>公开表</w:t>
      </w:r>
      <w:bookmarkEnd w:id="53"/>
      <w:bookmarkEnd w:id="54"/>
      <w:bookmarkStart w:id="55" w:name="_Toc17833_WPSOffice_Level2"/>
      <w:bookmarkStart w:id="56" w:name="_Toc8373_WPSOffice_Level2"/>
      <w:bookmarkStart w:id="57" w:name="_Toc17283_WPSOffice_Level2"/>
      <w:bookmarkStart w:id="58" w:name="_Toc2632_WPSOffice_Level2"/>
      <w:bookmarkStart w:id="59" w:name="_Toc25362_WPSOffice_Level2"/>
      <w:bookmarkStart w:id="60" w:name="_Toc5343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六、一般公共预算财政拨款基本支出决算</w:t>
      </w:r>
      <w:bookmarkEnd w:id="55"/>
      <w:bookmarkEnd w:id="56"/>
      <w:bookmarkEnd w:id="57"/>
      <w:bookmarkEnd w:id="58"/>
      <w:bookmarkEnd w:id="59"/>
      <w:bookmarkEnd w:id="60"/>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left="1118" w:leftChars="304" w:hanging="480" w:hangingChars="150"/>
        <w:rPr>
          <w:rFonts w:hint="eastAsia" w:ascii="黑体" w:hAnsi="黑体" w:eastAsia="黑体" w:cs="黑体"/>
          <w:color w:val="000000" w:themeColor="text1"/>
          <w:sz w:val="32"/>
          <w:szCs w:val="32"/>
          <w14:textFill>
            <w14:solidFill>
              <w14:schemeClr w14:val="tx1"/>
            </w14:solidFill>
          </w14:textFill>
        </w:rPr>
      </w:pPr>
      <w:bookmarkStart w:id="61" w:name="_Toc11799_WPSOffice_Level2"/>
      <w:bookmarkStart w:id="62" w:name="_Toc13345_WPSOffice_Level2"/>
      <w:bookmarkStart w:id="63" w:name="_Toc5594_WPSOffice_Level2"/>
      <w:bookmarkStart w:id="64" w:name="_Toc1533_WPSOffice_Level2"/>
      <w:bookmarkStart w:id="65" w:name="_Toc21310_WPSOffice_Level2"/>
      <w:bookmarkStart w:id="66" w:name="_Toc6020_WPSOffice_Level2"/>
      <w:r>
        <w:rPr>
          <w:rFonts w:hint="eastAsia" w:ascii="黑体" w:hAnsi="黑体" w:eastAsia="黑体" w:cs="黑体"/>
          <w:color w:val="000000" w:themeColor="text1"/>
          <w:sz w:val="32"/>
          <w:szCs w:val="32"/>
          <w14:textFill>
            <w14:solidFill>
              <w14:schemeClr w14:val="tx1"/>
            </w14:solidFill>
          </w14:textFill>
        </w:rPr>
        <w:t>七、政府性基金预算财政拨款收入支出决算</w:t>
      </w:r>
      <w:bookmarkEnd w:id="61"/>
      <w:bookmarkEnd w:id="62"/>
      <w:bookmarkEnd w:id="63"/>
      <w:bookmarkEnd w:id="64"/>
      <w:bookmarkEnd w:id="65"/>
      <w:bookmarkEnd w:id="66"/>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left="1118" w:leftChars="304" w:hanging="480" w:hangingChars="15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八、国有资本经营预算财政拨款收入支出决算公开表</w:t>
      </w:r>
    </w:p>
    <w:p>
      <w:pPr>
        <w:spacing w:line="578" w:lineRule="exact"/>
        <w:ind w:firstLine="640"/>
        <w:rPr>
          <w:rFonts w:hint="eastAsia" w:ascii="黑体" w:hAnsi="黑体" w:eastAsia="黑体" w:cs="黑体"/>
          <w:color w:val="000000" w:themeColor="text1"/>
          <w:sz w:val="32"/>
          <w:szCs w:val="32"/>
          <w14:textFill>
            <w14:solidFill>
              <w14:schemeClr w14:val="tx1"/>
            </w14:solidFill>
          </w14:textFill>
        </w:rPr>
      </w:pPr>
      <w:bookmarkStart w:id="67" w:name="_Toc29886_WPSOffice_Level2"/>
      <w:bookmarkStart w:id="68" w:name="_Toc9377_WPSOffice_Level2"/>
      <w:bookmarkStart w:id="69" w:name="_Toc19961_WPSOffice_Level2"/>
      <w:bookmarkStart w:id="70" w:name="_Toc1820_WPSOffice_Level2"/>
      <w:r>
        <w:rPr>
          <w:rFonts w:hint="eastAsia" w:ascii="黑体" w:hAnsi="黑体" w:eastAsia="黑体" w:cs="黑体"/>
          <w:color w:val="000000" w:themeColor="text1"/>
          <w:sz w:val="32"/>
          <w:szCs w:val="32"/>
          <w14:textFill>
            <w14:solidFill>
              <w14:schemeClr w14:val="tx1"/>
            </w14:solidFill>
          </w14:textFill>
        </w:rPr>
        <w:t>九、财政拨款“三公”经费支出决算</w:t>
      </w:r>
      <w:bookmarkEnd w:id="67"/>
      <w:bookmarkEnd w:id="68"/>
      <w:bookmarkEnd w:id="69"/>
      <w:bookmarkEnd w:id="70"/>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firstLine="640"/>
        <w:rPr>
          <w:rFonts w:hint="eastAsia" w:ascii="仿宋" w:hAnsi="仿宋" w:eastAsia="仿宋" w:cs="仿宋"/>
          <w:color w:val="000000" w:themeColor="text1"/>
          <w:w w:val="100"/>
          <w:sz w:val="32"/>
          <w:szCs w:val="32"/>
          <w14:textFill>
            <w14:solidFill>
              <w14:schemeClr w14:val="tx1"/>
            </w14:solidFill>
          </w14:textFill>
        </w:rPr>
      </w:pPr>
      <w:r>
        <w:rPr>
          <w:rFonts w:hint="eastAsia" w:ascii="仿宋" w:hAnsi="仿宋" w:eastAsia="仿宋" w:cs="仿宋"/>
          <w:color w:val="000000" w:themeColor="text1"/>
          <w:w w:val="100"/>
          <w:sz w:val="32"/>
          <w:szCs w:val="32"/>
          <w14:textFill>
            <w14:solidFill>
              <w14:schemeClr w14:val="tx1"/>
            </w14:solidFill>
          </w14:textFill>
        </w:rPr>
        <w:t xml:space="preserve">以上报表见附件1。   </w:t>
      </w:r>
    </w:p>
    <w:p>
      <w:pPr>
        <w:spacing w:line="578" w:lineRule="exact"/>
        <w:rPr>
          <w:rFonts w:hint="eastAsia" w:ascii="黑体" w:hAnsi="黑体" w:eastAsia="黑体" w:cs="黑体"/>
          <w:color w:val="000000" w:themeColor="text1"/>
          <w:sz w:val="32"/>
          <w:szCs w:val="32"/>
          <w14:textFill>
            <w14:solidFill>
              <w14:schemeClr w14:val="tx1"/>
            </w14:solidFill>
          </w14:textFill>
        </w:rPr>
      </w:pPr>
    </w:p>
    <w:p>
      <w:pPr>
        <w:spacing w:line="578" w:lineRule="exact"/>
        <w:jc w:val="center"/>
        <w:rPr>
          <w:rFonts w:hint="eastAsia" w:ascii="黑体" w:hAnsi="ˎ̥" w:eastAsia="黑体"/>
          <w:color w:val="000000" w:themeColor="text1"/>
          <w:sz w:val="32"/>
          <w:szCs w:val="32"/>
          <w14:textFill>
            <w14:solidFill>
              <w14:schemeClr w14:val="tx1"/>
            </w14:solidFill>
          </w14:textFill>
        </w:rPr>
      </w:pPr>
      <w:bookmarkStart w:id="71" w:name="_Toc27590_WPSOffice_Level1"/>
      <w:bookmarkStart w:id="72" w:name="_Toc31264_WPSOffice_Level1"/>
      <w:bookmarkStart w:id="73" w:name="_Toc29683_WPSOffice_Level1"/>
      <w:bookmarkStart w:id="74" w:name="_Toc4402_WPSOffice_Level1"/>
      <w:bookmarkStart w:id="75" w:name="_Toc28629_WPSOffice_Level1"/>
      <w:bookmarkStart w:id="76" w:name="_Toc16686_WPSOffice_Level1"/>
      <w:r>
        <w:rPr>
          <w:rFonts w:hint="eastAsia" w:ascii="黑体" w:hAnsi="ˎ̥" w:eastAsia="黑体"/>
          <w:color w:val="000000" w:themeColor="text1"/>
          <w:sz w:val="32"/>
          <w:szCs w:val="32"/>
          <w14:textFill>
            <w14:solidFill>
              <w14:schemeClr w14:val="tx1"/>
            </w14:solidFill>
          </w14:textFill>
        </w:rPr>
        <w:t xml:space="preserve">第三部分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一、收入支出总体情况说明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楷体_GB2312" w:hAnsi="ˎ̥" w:eastAsia="楷体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年度收入总计</w:t>
      </w:r>
      <w:r>
        <w:rPr>
          <w:rFonts w:hint="default" w:ascii="仿宋_GB2312" w:hAnsi="ˎ̥" w:eastAsia="仿宋_GB2312"/>
          <w:color w:val="000000" w:themeColor="text1"/>
          <w:sz w:val="32"/>
          <w:szCs w:val="32"/>
          <w:lang w:val="en-US"/>
          <w14:textFill>
            <w14:solidFill>
              <w14:schemeClr w14:val="tx1"/>
            </w14:solidFill>
          </w14:textFill>
        </w:rPr>
        <w:t>1,726.65</w:t>
      </w:r>
      <w:r>
        <w:rPr>
          <w:rFonts w:hint="eastAsia" w:ascii="仿宋_GB2312" w:hAnsi="ˎ̥" w:eastAsia="仿宋_GB2312"/>
          <w:color w:val="000000" w:themeColor="text1"/>
          <w:sz w:val="32"/>
          <w:szCs w:val="32"/>
          <w14:textFill>
            <w14:solidFill>
              <w14:schemeClr w14:val="tx1"/>
            </w14:solidFill>
          </w14:textFill>
        </w:rPr>
        <w:t>万元，支出总计</w:t>
      </w:r>
      <w:r>
        <w:rPr>
          <w:rFonts w:hint="default" w:ascii="仿宋_GB2312" w:hAnsi="ˎ̥" w:eastAsia="仿宋_GB2312"/>
          <w:color w:val="000000" w:themeColor="text1"/>
          <w:sz w:val="32"/>
          <w:szCs w:val="32"/>
          <w:lang w:val="en-US"/>
          <w14:textFill>
            <w14:solidFill>
              <w14:schemeClr w14:val="tx1"/>
            </w14:solidFill>
          </w14:textFill>
        </w:rPr>
        <w:t>1,726.65</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年度相比，收入、支出总计各增加</w:t>
      </w:r>
      <w:r>
        <w:rPr>
          <w:rFonts w:hint="eastAsia" w:ascii="仿宋_GB2312" w:hAnsi="ˎ̥" w:eastAsia="仿宋_GB2312"/>
          <w:color w:val="000000" w:themeColor="text1"/>
          <w:sz w:val="32"/>
          <w:szCs w:val="32"/>
          <w:lang w:val="en-US" w:eastAsia="zh-CN"/>
          <w14:textFill>
            <w14:solidFill>
              <w14:schemeClr w14:val="tx1"/>
            </w14:solidFill>
          </w14:textFill>
        </w:rPr>
        <w:t>264.11</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18.06</w:t>
      </w:r>
      <w:r>
        <w:rPr>
          <w:rFonts w:hint="eastAsia" w:ascii="仿宋_GB2312" w:hAnsi="ˎ̥" w:eastAsia="仿宋_GB2312"/>
          <w:color w:val="000000" w:themeColor="text1"/>
          <w:sz w:val="32"/>
          <w:szCs w:val="32"/>
          <w14:textFill>
            <w14:solidFill>
              <w14:schemeClr w14:val="tx1"/>
            </w14:solidFill>
          </w14:textFill>
        </w:rPr>
        <w:t>%。主要原因：一是</w:t>
      </w:r>
      <w:r>
        <w:rPr>
          <w:rFonts w:hint="eastAsia" w:ascii="仿宋_GB2312" w:hAnsi="ˎ̥" w:eastAsia="仿宋_GB2312"/>
          <w:color w:val="000000" w:themeColor="text1"/>
          <w:sz w:val="32"/>
          <w:szCs w:val="32"/>
          <w:lang w:val="en-US" w:eastAsia="zh-CN"/>
          <w14:textFill>
            <w14:solidFill>
              <w14:schemeClr w14:val="tx1"/>
            </w14:solidFill>
          </w14:textFill>
        </w:rPr>
        <w:t>人员工资增加</w:t>
      </w:r>
      <w:r>
        <w:rPr>
          <w:rFonts w:hint="eastAsia" w:ascii="仿宋_GB2312" w:hAnsi="ˎ̥" w:eastAsia="仿宋_GB2312"/>
          <w:color w:val="000000" w:themeColor="text1"/>
          <w:sz w:val="32"/>
          <w:szCs w:val="32"/>
          <w14:textFill>
            <w14:solidFill>
              <w14:schemeClr w14:val="tx1"/>
            </w14:solidFill>
          </w14:textFill>
        </w:rPr>
        <w:t>；二是</w:t>
      </w:r>
      <w:r>
        <w:rPr>
          <w:rFonts w:hint="eastAsia" w:ascii="仿宋_GB2312" w:hAnsi="ˎ̥" w:eastAsia="仿宋_GB2312"/>
          <w:color w:val="000000" w:themeColor="text1"/>
          <w:sz w:val="32"/>
          <w:szCs w:val="32"/>
          <w:lang w:val="en-US" w:eastAsia="zh-CN"/>
          <w14:textFill>
            <w14:solidFill>
              <w14:schemeClr w14:val="tx1"/>
            </w14:solidFill>
          </w14:textFill>
        </w:rPr>
        <w:t>增加校舍安全保障长效机制补助资金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w:t>
      </w:r>
      <w:r>
        <w:rPr>
          <w:rFonts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收入</w:t>
      </w:r>
      <w:r>
        <w:rPr>
          <w:rFonts w:ascii="楷体" w:hAnsi="楷体" w:eastAsia="楷体" w:cs="楷体"/>
          <w:color w:val="000000" w:themeColor="text1"/>
          <w:sz w:val="32"/>
          <w:szCs w:val="32"/>
          <w14:textFill>
            <w14:solidFill>
              <w14:schemeClr w14:val="tx1"/>
            </w14:solidFill>
          </w14:textFill>
        </w:rPr>
        <w:t>总计</w:t>
      </w:r>
      <w:r>
        <w:rPr>
          <w:rFonts w:hint="eastAsia" w:ascii="楷体" w:hAnsi="楷体" w:eastAsia="楷体" w:cs="楷体"/>
          <w:color w:val="000000" w:themeColor="text1"/>
          <w:sz w:val="32"/>
          <w:szCs w:val="32"/>
          <w14:textFill>
            <w14:solidFill>
              <w14:schemeClr w14:val="tx1"/>
            </w14:solidFill>
          </w14:textFill>
        </w:rPr>
        <w:t>主要</w:t>
      </w:r>
      <w:r>
        <w:rPr>
          <w:rFonts w:ascii="楷体" w:hAnsi="楷体" w:eastAsia="楷体" w:cs="楷体"/>
          <w:color w:val="000000" w:themeColor="text1"/>
          <w:sz w:val="32"/>
          <w:szCs w:val="32"/>
          <w14:textFill>
            <w14:solidFill>
              <w14:schemeClr w14:val="tx1"/>
            </w14:solidFill>
          </w14:textFill>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w:t>
      </w:r>
      <w:r>
        <w:rPr>
          <w:rFonts w:ascii="仿宋_GB2312" w:hAnsi="ˎ̥" w:eastAsia="仿宋_GB2312"/>
          <w:color w:val="000000" w:themeColor="text1"/>
          <w:sz w:val="32"/>
          <w:szCs w:val="32"/>
          <w14:textFill>
            <w14:solidFill>
              <w14:schemeClr w14:val="tx1"/>
            </w14:solidFill>
          </w14:textFill>
        </w:rPr>
        <w:t>收入</w:t>
      </w:r>
      <w:r>
        <w:rPr>
          <w:rFonts w:hint="default" w:ascii="仿宋_GB2312" w:hAnsi="ˎ̥" w:eastAsia="仿宋_GB2312"/>
          <w:color w:val="000000" w:themeColor="text1"/>
          <w:sz w:val="32"/>
          <w:szCs w:val="32"/>
          <w:lang w:val="en-US"/>
          <w14:textFill>
            <w14:solidFill>
              <w14:schemeClr w14:val="tx1"/>
            </w14:solidFill>
          </w14:textFill>
        </w:rPr>
        <w:t>1,725.21</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使用非财政拨款结余</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val="en-US" w:eastAsia="zh-CN"/>
          <w14:textFill>
            <w14:solidFill>
              <w14:schemeClr w14:val="tx1"/>
            </w14:solidFill>
          </w14:textFill>
        </w:rPr>
        <w:t>本年度没有</w:t>
      </w:r>
      <w:r>
        <w:rPr>
          <w:rFonts w:hint="eastAsia" w:ascii="仿宋_GB2312" w:hAnsi="ˎ̥" w:eastAsia="仿宋_GB2312"/>
          <w:color w:val="000000" w:themeColor="text1"/>
          <w:sz w:val="32"/>
          <w:szCs w:val="32"/>
          <w14:textFill>
            <w14:solidFill>
              <w14:schemeClr w14:val="tx1"/>
            </w14:solidFill>
          </w14:textFill>
        </w:rPr>
        <w:t>非财政拨款结余</w:t>
      </w:r>
      <w:r>
        <w:rPr>
          <w:rFonts w:hint="eastAsia" w:ascii="仿宋_GB2312" w:hAnsi="ˎ̥" w:eastAsia="仿宋_GB2312"/>
          <w:color w:val="000000" w:themeColor="text1"/>
          <w:sz w:val="32"/>
          <w:szCs w:val="32"/>
          <w:lang w:val="en-US" w:eastAsia="zh-CN"/>
          <w14:textFill>
            <w14:solidFill>
              <w14:schemeClr w14:val="tx1"/>
            </w14:solidFill>
          </w14:textFill>
        </w:rPr>
        <w:t>资金</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年初结转结余</w:t>
      </w:r>
      <w:r>
        <w:rPr>
          <w:rFonts w:hint="default" w:ascii="仿宋_GB2312" w:hAnsi="ˎ̥" w:eastAsia="仿宋_GB2312"/>
          <w:color w:val="000000" w:themeColor="text1"/>
          <w:sz w:val="32"/>
          <w:szCs w:val="32"/>
          <w:lang w:val="en-US"/>
          <w14:textFill>
            <w14:solidFill>
              <w14:schemeClr w14:val="tx1"/>
            </w14:solidFill>
          </w14:textFill>
        </w:rPr>
        <w:t>1.44</w:t>
      </w:r>
      <w:r>
        <w:rPr>
          <w:rFonts w:hint="eastAsia" w:ascii="仿宋_GB2312" w:hAnsi="ˎ̥" w:eastAsia="仿宋_GB2312"/>
          <w:color w:val="000000" w:themeColor="text1"/>
          <w:sz w:val="32"/>
          <w:szCs w:val="32"/>
          <w14:textFill>
            <w14:solidFill>
              <w14:schemeClr w14:val="tx1"/>
            </w14:solidFill>
          </w14:textFill>
        </w:rPr>
        <w:t>万元，主要是</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预）年终冲销非财政拨款结转科目的有关明细科目余额（年初余额调整和本年收入结转）</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w:t>
      </w:r>
      <w:r>
        <w:rPr>
          <w:rFonts w:hint="eastAsia" w:ascii="仿宋_GB2312" w:hAnsi="ˎ̥" w:eastAsia="仿宋_GB2312"/>
          <w:color w:val="000000" w:themeColor="text1"/>
          <w:sz w:val="32"/>
          <w:szCs w:val="32"/>
          <w:lang w:val="en-US" w:eastAsia="zh-CN"/>
          <w14:textFill>
            <w14:solidFill>
              <w14:schemeClr w14:val="tx1"/>
            </w14:solidFill>
          </w14:textFill>
        </w:rPr>
        <w:t>基本持平</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lang w:eastAsia="zh-CN"/>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w:t>
      </w:r>
      <w:r>
        <w:rPr>
          <w:rFonts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支出</w:t>
      </w:r>
      <w:r>
        <w:rPr>
          <w:rFonts w:ascii="楷体" w:hAnsi="楷体" w:eastAsia="楷体" w:cs="楷体"/>
          <w:color w:val="000000" w:themeColor="text1"/>
          <w:sz w:val="32"/>
          <w:szCs w:val="32"/>
          <w14:textFill>
            <w14:solidFill>
              <w14:schemeClr w14:val="tx1"/>
            </w14:solidFill>
          </w14:textFill>
        </w:rPr>
        <w:t>总计</w:t>
      </w:r>
      <w:r>
        <w:rPr>
          <w:rFonts w:hint="eastAsia" w:ascii="楷体" w:hAnsi="楷体" w:eastAsia="楷体" w:cs="楷体"/>
          <w:color w:val="000000" w:themeColor="text1"/>
          <w:sz w:val="32"/>
          <w:szCs w:val="32"/>
          <w14:textFill>
            <w14:solidFill>
              <w14:schemeClr w14:val="tx1"/>
            </w14:solidFill>
          </w14:textFill>
        </w:rPr>
        <w:t>主要</w:t>
      </w:r>
      <w:r>
        <w:rPr>
          <w:rFonts w:ascii="楷体" w:hAnsi="楷体" w:eastAsia="楷体" w:cs="楷体"/>
          <w:color w:val="000000" w:themeColor="text1"/>
          <w:sz w:val="32"/>
          <w:szCs w:val="32"/>
          <w14:textFill>
            <w14:solidFill>
              <w14:schemeClr w14:val="tx1"/>
            </w14:solidFill>
          </w14:textFill>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1,725.62</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结余分配</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年末结转结余</w:t>
      </w:r>
      <w:r>
        <w:rPr>
          <w:rFonts w:hint="default" w:ascii="仿宋_GB2312" w:hAnsi="ˎ̥" w:eastAsia="仿宋_GB2312"/>
          <w:color w:val="000000" w:themeColor="text1"/>
          <w:sz w:val="32"/>
          <w:szCs w:val="32"/>
          <w:lang w:val="en-US"/>
          <w14:textFill>
            <w14:solidFill>
              <w14:schemeClr w14:val="tx1"/>
            </w14:solidFill>
          </w14:textFill>
        </w:rPr>
        <w:t>1.03</w:t>
      </w:r>
      <w:r>
        <w:rPr>
          <w:rFonts w:hint="eastAsia" w:ascii="仿宋_GB2312" w:hAnsi="ˎ̥" w:eastAsia="仿宋_GB2312"/>
          <w:color w:val="000000" w:themeColor="text1"/>
          <w:sz w:val="32"/>
          <w:szCs w:val="32"/>
          <w14:textFill>
            <w14:solidFill>
              <w14:schemeClr w14:val="tx1"/>
            </w14:solidFill>
          </w14:textFill>
        </w:rPr>
        <w:t>万元，主要是</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预）年终冲销非财政拨款结转科目的有关明细科目余额（年初余额调整和本年收入结转</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年度决算数减少</w:t>
      </w:r>
      <w:r>
        <w:rPr>
          <w:rFonts w:hint="eastAsia" w:ascii="仿宋_GB2312" w:hAnsi="ˎ̥" w:eastAsia="仿宋_GB2312"/>
          <w:color w:val="000000" w:themeColor="text1"/>
          <w:sz w:val="32"/>
          <w:szCs w:val="32"/>
          <w:lang w:val="en-US" w:eastAsia="zh-CN"/>
          <w14:textFill>
            <w14:solidFill>
              <w14:schemeClr w14:val="tx1"/>
            </w14:solidFill>
          </w14:textFill>
        </w:rPr>
        <w:t>0.41</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28.5</w:t>
      </w:r>
      <w:r>
        <w:rPr>
          <w:rFonts w:hint="eastAsia" w:ascii="仿宋_GB2312" w:hAnsi="ˎ̥" w:eastAsia="仿宋_GB2312"/>
          <w:color w:val="000000" w:themeColor="text1"/>
          <w:sz w:val="32"/>
          <w:szCs w:val="32"/>
          <w14:textFill>
            <w14:solidFill>
              <w14:schemeClr w14:val="tx1"/>
            </w14:solidFill>
          </w14:textFill>
        </w:rPr>
        <w:t>%，主要原因是要原因是</w:t>
      </w:r>
      <w:r>
        <w:rPr>
          <w:rFonts w:hint="eastAsia" w:ascii="宋体" w:hAnsi="宋体" w:eastAsia="宋体" w:cs="宋体"/>
          <w:color w:val="000000" w:themeColor="text1"/>
          <w:kern w:val="0"/>
          <w:sz w:val="32"/>
          <w:szCs w:val="32"/>
          <w:shd w:val="clear" w:color="auto" w:fill="FFFFFF"/>
          <w14:textFill>
            <w14:solidFill>
              <w14:schemeClr w14:val="tx1"/>
            </w14:solidFill>
          </w14:textFill>
        </w:rPr>
        <w:t>该笔费用为专项支出，不能用在其他方面</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二、收入决算情况说明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仿宋_GB2312" w:hAnsi="ˎ̥" w:eastAsia="仿宋_GB2312"/>
          <w:color w:val="000000" w:themeColor="text1"/>
          <w:sz w:val="32"/>
          <w:szCs w:val="32"/>
          <w14:textFill>
            <w14:solidFill>
              <w14:schemeClr w14:val="tx1"/>
            </w14:solidFill>
          </w14:textFill>
        </w:rPr>
        <w:t xml:space="preserve">    本年收入</w:t>
      </w:r>
      <w:r>
        <w:rPr>
          <w:rFonts w:hint="default" w:ascii="仿宋_GB2312" w:hAnsi="ˎ̥" w:eastAsia="仿宋_GB2312"/>
          <w:color w:val="000000" w:themeColor="text1"/>
          <w:sz w:val="32"/>
          <w:szCs w:val="32"/>
          <w:lang w:val="en-US"/>
          <w14:textFill>
            <w14:solidFill>
              <w14:schemeClr w14:val="tx1"/>
            </w14:solidFill>
          </w14:textFill>
        </w:rPr>
        <w:t>1,725.21</w:t>
      </w:r>
      <w:r>
        <w:rPr>
          <w:rFonts w:hint="eastAsia" w:ascii="仿宋_GB2312" w:hAnsi="ˎ̥" w:eastAsia="仿宋_GB2312"/>
          <w:color w:val="000000" w:themeColor="text1"/>
          <w:sz w:val="32"/>
          <w:szCs w:val="32"/>
          <w14:textFill>
            <w14:solidFill>
              <w14:schemeClr w14:val="tx1"/>
            </w14:solidFill>
          </w14:textFill>
        </w:rPr>
        <w:t>万元，其中：财政拨款收入</w:t>
      </w:r>
      <w:r>
        <w:rPr>
          <w:rFonts w:hint="default" w:ascii="仿宋_GB2312" w:hAnsi="ˎ̥" w:eastAsia="仿宋_GB2312"/>
          <w:color w:val="000000" w:themeColor="text1"/>
          <w:sz w:val="32"/>
          <w:szCs w:val="32"/>
          <w:lang w:val="en-US"/>
          <w14:textFill>
            <w14:solidFill>
              <w14:schemeClr w14:val="tx1"/>
            </w14:solidFill>
          </w14:textFill>
        </w:rPr>
        <w:t>1,721.63</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99.79</w:t>
      </w:r>
      <w:r>
        <w:rPr>
          <w:rFonts w:hint="eastAsia" w:ascii="仿宋_GB2312" w:hAnsi="ˎ̥" w:eastAsia="仿宋_GB2312"/>
          <w:color w:val="000000" w:themeColor="text1"/>
          <w:sz w:val="32"/>
          <w:szCs w:val="32"/>
          <w14:textFill>
            <w14:solidFill>
              <w14:schemeClr w14:val="tx1"/>
            </w14:solidFill>
          </w14:textFill>
        </w:rPr>
        <w:t>%；上级补助收入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%；事业收入</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%；附属单位上缴收入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%；其他收入</w:t>
      </w:r>
      <w:r>
        <w:rPr>
          <w:rFonts w:hint="default" w:ascii="仿宋_GB2312" w:hAnsi="ˎ̥" w:eastAsia="仿宋_GB2312"/>
          <w:color w:val="000000" w:themeColor="text1"/>
          <w:sz w:val="32"/>
          <w:szCs w:val="32"/>
          <w:lang w:val="en-US"/>
          <w14:textFill>
            <w14:solidFill>
              <w14:schemeClr w14:val="tx1"/>
            </w14:solidFill>
          </w14:textFill>
        </w:rPr>
        <w:t>3.59</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0.21</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1,725.62</w:t>
      </w:r>
      <w:r>
        <w:rPr>
          <w:rFonts w:hint="eastAsia" w:ascii="仿宋_GB2312" w:hAnsi="ˎ̥" w:eastAsia="仿宋_GB2312"/>
          <w:color w:val="000000" w:themeColor="text1"/>
          <w:sz w:val="32"/>
          <w:szCs w:val="32"/>
          <w14:textFill>
            <w14:solidFill>
              <w14:schemeClr w14:val="tx1"/>
            </w14:solidFill>
          </w14:textFill>
        </w:rPr>
        <w:t>万元，其中：基本支出</w:t>
      </w:r>
      <w:r>
        <w:rPr>
          <w:rFonts w:hint="default" w:ascii="仿宋_GB2312" w:hAnsi="ˎ̥" w:eastAsia="仿宋_GB2312"/>
          <w:color w:val="000000" w:themeColor="text1"/>
          <w:sz w:val="32"/>
          <w:szCs w:val="32"/>
          <w:lang w:val="en-US"/>
          <w14:textFill>
            <w14:solidFill>
              <w14:schemeClr w14:val="tx1"/>
            </w14:solidFill>
          </w14:textFill>
        </w:rPr>
        <w:t>1,265.31</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73.32</w:t>
      </w:r>
      <w:r>
        <w:rPr>
          <w:rFonts w:hint="eastAsia" w:ascii="仿宋_GB2312" w:hAnsi="ˎ̥" w:eastAsia="仿宋_GB2312"/>
          <w:color w:val="000000" w:themeColor="text1"/>
          <w:sz w:val="32"/>
          <w:szCs w:val="32"/>
          <w14:textFill>
            <w14:solidFill>
              <w14:schemeClr w14:val="tx1"/>
            </w14:solidFill>
          </w14:textFill>
        </w:rPr>
        <w:t>%；项目支出</w:t>
      </w:r>
      <w:r>
        <w:rPr>
          <w:rFonts w:hint="default" w:ascii="仿宋_GB2312" w:hAnsi="ˎ̥" w:eastAsia="仿宋_GB2312"/>
          <w:color w:val="000000" w:themeColor="text1"/>
          <w:sz w:val="32"/>
          <w:szCs w:val="32"/>
          <w:lang w:val="en-US"/>
          <w14:textFill>
            <w14:solidFill>
              <w14:schemeClr w14:val="tx1"/>
            </w14:solidFill>
          </w14:textFill>
        </w:rPr>
        <w:t>460.31</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26.68</w:t>
      </w:r>
      <w:r>
        <w:rPr>
          <w:rFonts w:hint="eastAsia" w:ascii="仿宋_GB2312" w:hAnsi="ˎ̥" w:eastAsia="仿宋_GB2312"/>
          <w:color w:val="000000" w:themeColor="text1"/>
          <w:sz w:val="32"/>
          <w:szCs w:val="32"/>
          <w14:textFill>
            <w14:solidFill>
              <w14:schemeClr w14:val="tx1"/>
            </w14:solidFill>
          </w14:textFill>
        </w:rPr>
        <w:t>%；上缴上级支出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%；对附属单位补助支出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年度财政拨款收入</w:t>
      </w:r>
      <w:r>
        <w:rPr>
          <w:rFonts w:hint="default" w:ascii="仿宋_GB2312" w:hAnsi="ˎ̥" w:eastAsia="仿宋_GB2312"/>
          <w:color w:val="000000" w:themeColor="text1"/>
          <w:sz w:val="32"/>
          <w:szCs w:val="32"/>
          <w:lang w:val="en-US"/>
          <w14:textFill>
            <w14:solidFill>
              <w14:schemeClr w14:val="tx1"/>
            </w14:solidFill>
          </w14:textFill>
        </w:rPr>
        <w:t>1,721.63</w:t>
      </w:r>
      <w:r>
        <w:rPr>
          <w:rFonts w:hint="eastAsia" w:ascii="仿宋_GB2312" w:hAnsi="ˎ̥" w:eastAsia="仿宋_GB2312"/>
          <w:color w:val="000000" w:themeColor="text1"/>
          <w:sz w:val="32"/>
          <w:szCs w:val="32"/>
          <w14:textFill>
            <w14:solidFill>
              <w14:schemeClr w14:val="tx1"/>
            </w14:solidFill>
          </w14:textFill>
        </w:rPr>
        <w:t>万元，支出</w:t>
      </w:r>
      <w:r>
        <w:rPr>
          <w:rFonts w:hint="default" w:ascii="仿宋_GB2312" w:hAnsi="ˎ̥" w:eastAsia="仿宋_GB2312"/>
          <w:color w:val="000000" w:themeColor="text1"/>
          <w:sz w:val="32"/>
          <w:szCs w:val="32"/>
          <w:lang w:val="en-US"/>
          <w14:textFill>
            <w14:solidFill>
              <w14:schemeClr w14:val="tx1"/>
            </w14:solidFill>
          </w14:textFill>
        </w:rPr>
        <w:t>1,721.63</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年度相比，财政拨款收入增加</w:t>
      </w:r>
      <w:r>
        <w:rPr>
          <w:rFonts w:hint="eastAsia" w:ascii="仿宋_GB2312" w:hAnsi="ˎ̥" w:eastAsia="仿宋_GB2312"/>
          <w:color w:val="000000" w:themeColor="text1"/>
          <w:sz w:val="32"/>
          <w:szCs w:val="32"/>
          <w:lang w:val="en-US" w:eastAsia="zh-CN"/>
          <w14:textFill>
            <w14:solidFill>
              <w14:schemeClr w14:val="tx1"/>
            </w14:solidFill>
          </w14:textFill>
        </w:rPr>
        <w:t>270.96</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18.68</w:t>
      </w:r>
      <w:r>
        <w:rPr>
          <w:rFonts w:hint="eastAsia" w:ascii="仿宋_GB2312" w:hAnsi="ˎ̥" w:eastAsia="仿宋_GB2312"/>
          <w:color w:val="000000" w:themeColor="text1"/>
          <w:sz w:val="32"/>
          <w:szCs w:val="32"/>
          <w14:textFill>
            <w14:solidFill>
              <w14:schemeClr w14:val="tx1"/>
            </w14:solidFill>
          </w14:textFill>
        </w:rPr>
        <w:t>%，主要原因：一是</w:t>
      </w:r>
      <w:r>
        <w:rPr>
          <w:rFonts w:hint="eastAsia" w:ascii="仿宋_GB2312" w:hAnsi="ˎ̥" w:eastAsia="仿宋_GB2312"/>
          <w:color w:val="000000" w:themeColor="text1"/>
          <w:sz w:val="32"/>
          <w:szCs w:val="32"/>
          <w:lang w:val="en-US" w:eastAsia="zh-CN"/>
          <w14:textFill>
            <w14:solidFill>
              <w14:schemeClr w14:val="tx1"/>
            </w14:solidFill>
          </w14:textFill>
        </w:rPr>
        <w:t>人员工资增加</w:t>
      </w:r>
      <w:r>
        <w:rPr>
          <w:rFonts w:hint="eastAsia" w:ascii="仿宋_GB2312" w:hAnsi="ˎ̥" w:eastAsia="仿宋_GB2312"/>
          <w:color w:val="000000" w:themeColor="text1"/>
          <w:sz w:val="32"/>
          <w:szCs w:val="32"/>
          <w14:textFill>
            <w14:solidFill>
              <w14:schemeClr w14:val="tx1"/>
            </w14:solidFill>
          </w14:textFill>
        </w:rPr>
        <w:t>；二是</w:t>
      </w:r>
      <w:r>
        <w:rPr>
          <w:rFonts w:hint="eastAsia" w:ascii="仿宋_GB2312" w:hAnsi="ˎ̥" w:eastAsia="仿宋_GB2312"/>
          <w:color w:val="000000" w:themeColor="text1"/>
          <w:sz w:val="32"/>
          <w:szCs w:val="32"/>
          <w:lang w:val="en-US" w:eastAsia="zh-CN"/>
          <w14:textFill>
            <w14:solidFill>
              <w14:schemeClr w14:val="tx1"/>
            </w14:solidFill>
          </w14:textFill>
        </w:rPr>
        <w:t>增加校舍安全保障长效机制补助资金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财政拨款年末结转结余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77" w:name="_Toc9989_WPSOffice_Level2"/>
      <w:bookmarkStart w:id="78" w:name="_Toc13694_WPSOffice_Level2"/>
      <w:bookmarkStart w:id="79" w:name="_Toc19665_WPSOffice_Level2"/>
      <w:bookmarkStart w:id="80" w:name="_Toc23005_WPSOffice_Level2"/>
      <w:bookmarkStart w:id="81" w:name="_Toc21737_WPSOffice_Level2"/>
      <w:bookmarkStart w:id="82" w:name="_Toc17398_WPSOffice_Level2"/>
      <w:r>
        <w:rPr>
          <w:rFonts w:hint="eastAsia" w:ascii="楷体" w:hAnsi="楷体" w:eastAsia="楷体" w:cs="楷体"/>
          <w:color w:val="000000" w:themeColor="text1"/>
          <w:sz w:val="32"/>
          <w:szCs w:val="32"/>
          <w14:textFill>
            <w14:solidFill>
              <w14:schemeClr w14:val="tx1"/>
            </w14:solidFill>
          </w14:textFill>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1,721.63</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99.77</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年度相比，一般公共预算财政拨款支出增加</w:t>
      </w:r>
      <w:r>
        <w:rPr>
          <w:rFonts w:hint="eastAsia" w:ascii="仿宋_GB2312" w:hAnsi="ˎ̥" w:eastAsia="仿宋_GB2312"/>
          <w:color w:val="000000" w:themeColor="text1"/>
          <w:sz w:val="32"/>
          <w:szCs w:val="32"/>
          <w:lang w:val="en-US" w:eastAsia="zh-CN"/>
          <w14:textFill>
            <w14:solidFill>
              <w14:schemeClr w14:val="tx1"/>
            </w14:solidFill>
          </w14:textFill>
        </w:rPr>
        <w:t>270.96</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18.68</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一是</w:t>
      </w:r>
      <w:r>
        <w:rPr>
          <w:rFonts w:hint="eastAsia" w:ascii="仿宋_GB2312" w:hAnsi="ˎ̥" w:eastAsia="仿宋_GB2312"/>
          <w:color w:val="000000" w:themeColor="text1"/>
          <w:sz w:val="32"/>
          <w:szCs w:val="32"/>
          <w:lang w:val="en-US" w:eastAsia="zh-CN"/>
          <w14:textFill>
            <w14:solidFill>
              <w14:schemeClr w14:val="tx1"/>
            </w14:solidFill>
          </w14:textFill>
        </w:rPr>
        <w:t>人员工资增加</w:t>
      </w:r>
      <w:r>
        <w:rPr>
          <w:rFonts w:hint="eastAsia" w:ascii="仿宋_GB2312" w:hAnsi="ˎ̥" w:eastAsia="仿宋_GB2312"/>
          <w:color w:val="000000" w:themeColor="text1"/>
          <w:sz w:val="32"/>
          <w:szCs w:val="32"/>
          <w14:textFill>
            <w14:solidFill>
              <w14:schemeClr w14:val="tx1"/>
            </w14:solidFill>
          </w14:textFill>
        </w:rPr>
        <w:t>；二是</w:t>
      </w:r>
      <w:r>
        <w:rPr>
          <w:rFonts w:hint="eastAsia" w:ascii="仿宋_GB2312" w:hAnsi="ˎ̥" w:eastAsia="仿宋_GB2312"/>
          <w:color w:val="000000" w:themeColor="text1"/>
          <w:sz w:val="32"/>
          <w:szCs w:val="32"/>
          <w:lang w:val="en-US" w:eastAsia="zh-CN"/>
          <w14:textFill>
            <w14:solidFill>
              <w14:schemeClr w14:val="tx1"/>
            </w14:solidFill>
          </w14:textFill>
        </w:rPr>
        <w:t>增加校舍安全保障长效机制补助资金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3" w:name="_Toc23864_WPSOffice_Level2"/>
      <w:bookmarkStart w:id="84" w:name="_Toc27767_WPSOffice_Level2"/>
      <w:bookmarkStart w:id="85" w:name="_Toc2711_WPSOffice_Level2"/>
      <w:bookmarkStart w:id="86" w:name="_Toc19535_WPSOffice_Level2"/>
      <w:bookmarkStart w:id="87" w:name="_Toc19075_WPSOffice_Level2"/>
      <w:bookmarkStart w:id="88" w:name="_Toc18793_WPSOffice_Level2"/>
      <w:r>
        <w:rPr>
          <w:rFonts w:hint="eastAsia" w:ascii="楷体" w:hAnsi="楷体" w:eastAsia="楷体" w:cs="楷体"/>
          <w:color w:val="000000" w:themeColor="text1"/>
          <w:sz w:val="32"/>
          <w:szCs w:val="32"/>
          <w14:textFill>
            <w14:solidFill>
              <w14:schemeClr w14:val="tx1"/>
            </w14:solidFill>
          </w14:textFill>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1,721.63</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b/>
          <w:color w:val="000000" w:themeColor="text1"/>
          <w:sz w:val="32"/>
          <w:szCs w:val="32"/>
          <w14:textFill>
            <w14:solidFill>
              <w14:schemeClr w14:val="tx1"/>
            </w14:solidFill>
          </w14:textFill>
        </w:rPr>
        <w:t>教育</w:t>
      </w:r>
      <w:r>
        <w:rPr>
          <w:rFonts w:hint="eastAsia" w:ascii="仿宋_GB2312" w:hAnsi="ˎ̥" w:eastAsia="仿宋_GB2312"/>
          <w:b/>
          <w:color w:val="000000" w:themeColor="text1"/>
          <w:sz w:val="32"/>
          <w:szCs w:val="32"/>
          <w:lang w:eastAsia="zh-CN"/>
          <w14:textFill>
            <w14:solidFill>
              <w14:schemeClr w14:val="tx1"/>
            </w14:solidFill>
          </w14:textFill>
        </w:rPr>
        <w:t>（</w:t>
      </w:r>
      <w:r>
        <w:rPr>
          <w:rFonts w:hint="eastAsia" w:ascii="仿宋_GB2312" w:hAnsi="ˎ̥" w:eastAsia="仿宋_GB2312"/>
          <w:b/>
          <w:color w:val="000000" w:themeColor="text1"/>
          <w:sz w:val="32"/>
          <w:szCs w:val="32"/>
          <w:lang w:val="en-US" w:eastAsia="zh-CN"/>
          <w14:textFill>
            <w14:solidFill>
              <w14:schemeClr w14:val="tx1"/>
            </w14:solidFill>
          </w14:textFill>
        </w:rPr>
        <w:t>类）</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1,314.92</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76.38</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社会保障和就业</w:t>
      </w:r>
      <w:r>
        <w:rPr>
          <w:rFonts w:hint="eastAsia" w:ascii="仿宋_GB2312" w:hAnsi="ˎ̥" w:eastAsia="仿宋_GB2312"/>
          <w:b/>
          <w:color w:val="000000" w:themeColor="text1"/>
          <w:sz w:val="32"/>
          <w:szCs w:val="32"/>
          <w:lang w:eastAsia="zh-CN"/>
          <w14:textFill>
            <w14:solidFill>
              <w14:schemeClr w14:val="tx1"/>
            </w14:solidFill>
          </w14:textFill>
        </w:rPr>
        <w:t>（</w:t>
      </w:r>
      <w:r>
        <w:rPr>
          <w:rFonts w:hint="eastAsia" w:ascii="仿宋_GB2312" w:hAnsi="ˎ̥" w:eastAsia="仿宋_GB2312"/>
          <w:b/>
          <w:color w:val="000000" w:themeColor="text1"/>
          <w:sz w:val="32"/>
          <w:szCs w:val="32"/>
          <w:lang w:val="en-US" w:eastAsia="zh-CN"/>
          <w14:textFill>
            <w14:solidFill>
              <w14:schemeClr w14:val="tx1"/>
            </w14:solidFill>
          </w14:textFill>
        </w:rPr>
        <w:t>类）</w:t>
      </w:r>
      <w:r>
        <w:rPr>
          <w:rFonts w:hint="eastAsia" w:ascii="仿宋_GB2312" w:hAnsi="ˎ̥" w:eastAsia="仿宋_GB2312"/>
          <w:b/>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176.46</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10.25</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住房保障支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lang w:val="en-US" w:eastAsia="zh-CN"/>
          <w14:textFill>
            <w14:solidFill>
              <w14:schemeClr w14:val="tx1"/>
            </w14:solidFill>
          </w14:textFill>
        </w:rPr>
        <w:t>（类）</w:t>
      </w:r>
      <w:r>
        <w:rPr>
          <w:rFonts w:hint="eastAsia" w:ascii="仿宋_GB2312" w:hAnsi="ˎ̥" w:eastAsia="仿宋_GB2312"/>
          <w:b/>
          <w:color w:val="000000" w:themeColor="text1"/>
          <w:sz w:val="32"/>
          <w:szCs w:val="32"/>
          <w14:textFill>
            <w14:solidFill>
              <w14:schemeClr w14:val="tx1"/>
            </w14:solidFill>
          </w14:textFill>
        </w:rPr>
        <w:t>出</w:t>
      </w:r>
      <w:r>
        <w:rPr>
          <w:rFonts w:hint="eastAsia" w:ascii="仿宋_GB2312" w:hAnsi="ˎ̥" w:eastAsia="仿宋_GB2312"/>
          <w:b/>
          <w:color w:val="000000" w:themeColor="text1"/>
          <w:sz w:val="32"/>
          <w:szCs w:val="32"/>
          <w:lang w:val="en-US" w:eastAsia="zh-CN"/>
          <w14:textFill>
            <w14:solidFill>
              <w14:schemeClr w14:val="tx1"/>
            </w14:solidFill>
          </w14:textFill>
        </w:rPr>
        <w:t>89.29</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5.19</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9" w:name="_Toc29364_WPSOffice_Level2"/>
      <w:bookmarkStart w:id="90" w:name="_Toc9502_WPSOffice_Level2"/>
      <w:bookmarkStart w:id="91" w:name="_Toc21701_WPSOffice_Level2"/>
      <w:bookmarkStart w:id="92" w:name="_Toc25136_WPSOffice_Level2"/>
      <w:bookmarkStart w:id="93" w:name="_Toc22318_WPSOffice_Level2"/>
      <w:bookmarkStart w:id="94" w:name="_Toc15415_WPSOffice_Level2"/>
      <w:r>
        <w:rPr>
          <w:rFonts w:hint="eastAsia" w:ascii="楷体" w:hAnsi="楷体" w:eastAsia="楷体" w:cs="楷体"/>
          <w:color w:val="000000" w:themeColor="text1"/>
          <w:sz w:val="32"/>
          <w:szCs w:val="32"/>
          <w14:textFill>
            <w14:solidFill>
              <w14:schemeClr w14:val="tx1"/>
            </w14:solidFill>
          </w14:textFill>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1313.34</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1,721.63</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131.09</w:t>
      </w:r>
      <w:r>
        <w:rPr>
          <w:rFonts w:hint="eastAsia" w:ascii="仿宋_GB2312" w:hAnsi="ˎ̥" w:eastAsia="仿宋_GB2312"/>
          <w:color w:val="000000" w:themeColor="text1"/>
          <w:sz w:val="32"/>
          <w:szCs w:val="32"/>
          <w14:textFill>
            <w14:solidFill>
              <w14:schemeClr w14:val="tx1"/>
            </w14:solidFill>
          </w14:textFill>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1.</w:t>
      </w:r>
      <w:r>
        <w:rPr>
          <w:rFonts w:hint="eastAsia" w:ascii="仿宋_GB2312" w:hAnsi="ˎ̥" w:eastAsia="仿宋_GB2312"/>
          <w:b/>
          <w:color w:val="000000" w:themeColor="text1"/>
          <w:sz w:val="32"/>
          <w:szCs w:val="32"/>
          <w14:textFill>
            <w14:solidFill>
              <w14:schemeClr w14:val="tx1"/>
            </w14:solidFill>
          </w14:textFill>
        </w:rPr>
        <w:t>教育支出（类）普通教育（款）初中教育（项）。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883</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1315.12</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148.94</w:t>
      </w:r>
      <w:r>
        <w:rPr>
          <w:rFonts w:hint="eastAsia" w:ascii="仿宋_GB2312" w:hAnsi="ˎ̥" w:eastAsia="仿宋_GB2312"/>
          <w:color w:val="000000" w:themeColor="text1"/>
          <w:sz w:val="32"/>
          <w:szCs w:val="32"/>
          <w14:textFill>
            <w14:solidFill>
              <w14:schemeClr w14:val="tx1"/>
            </w14:solidFill>
          </w14:textFill>
        </w:rPr>
        <w:t>%。决算数大于预算数的主要原因：是</w:t>
      </w:r>
      <w:r>
        <w:rPr>
          <w:rFonts w:hint="eastAsia" w:ascii="仿宋_GB2312" w:hAnsi="ˎ̥" w:eastAsia="仿宋_GB2312"/>
          <w:color w:val="000000" w:themeColor="text1"/>
          <w:sz w:val="32"/>
          <w:szCs w:val="32"/>
          <w:lang w:val="en-US" w:eastAsia="zh-CN"/>
          <w14:textFill>
            <w14:solidFill>
              <w14:schemeClr w14:val="tx1"/>
            </w14:solidFill>
          </w14:textFill>
        </w:rPr>
        <w:t>人员工资增加</w:t>
      </w:r>
      <w:r>
        <w:rPr>
          <w:rFonts w:hint="eastAsia" w:ascii="仿宋_GB2312" w:hAnsi="ˎ̥" w:eastAsia="仿宋_GB2312"/>
          <w:color w:val="000000" w:themeColor="text1"/>
          <w:sz w:val="32"/>
          <w:szCs w:val="32"/>
          <w14:textFill>
            <w14:solidFill>
              <w14:schemeClr w14:val="tx1"/>
            </w14:solidFill>
          </w14:textFill>
        </w:rPr>
        <w:t>；二是</w:t>
      </w:r>
      <w:r>
        <w:rPr>
          <w:rFonts w:hint="eastAsia" w:ascii="仿宋_GB2312" w:hAnsi="ˎ̥" w:eastAsia="仿宋_GB2312"/>
          <w:color w:val="000000" w:themeColor="text1"/>
          <w:sz w:val="32"/>
          <w:szCs w:val="32"/>
          <w:lang w:val="en-US" w:eastAsia="zh-CN"/>
          <w14:textFill>
            <w14:solidFill>
              <w14:schemeClr w14:val="tx1"/>
            </w14:solidFill>
          </w14:textFill>
        </w:rPr>
        <w:t>增加校舍安全保障长效机制补助资金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w:t>
      </w:r>
      <w:r>
        <w:rPr>
          <w:rFonts w:hint="eastAsia" w:ascii="仿宋_GB2312" w:hAnsi="ˎ̥" w:eastAsia="仿宋_GB2312"/>
          <w:color w:val="000000" w:themeColor="text1"/>
          <w:sz w:val="32"/>
          <w:szCs w:val="32"/>
          <w:lang w:val="en-US" w:eastAsia="zh-CN"/>
          <w14:textFill>
            <w14:solidFill>
              <w14:schemeClr w14:val="tx1"/>
            </w14:solidFill>
          </w14:textFill>
        </w:rPr>
        <w:t>2</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社会保障和就业支出（类）行政事业单位养老支出（款）机关事业单位基本养老保险缴费支出（项）。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121.04</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105.84</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87.44</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val="en-US" w:eastAsia="zh-CN"/>
          <w14:textFill>
            <w14:solidFill>
              <w14:schemeClr w14:val="tx1"/>
            </w14:solidFill>
          </w14:textFill>
        </w:rPr>
        <w:t>小</w:t>
      </w:r>
      <w:r>
        <w:rPr>
          <w:rFonts w:hint="eastAsia" w:ascii="仿宋_GB2312" w:hAnsi="ˎ̥" w:eastAsia="仿宋_GB2312"/>
          <w:color w:val="000000" w:themeColor="text1"/>
          <w:sz w:val="32"/>
          <w:szCs w:val="32"/>
          <w14:textFill>
            <w14:solidFill>
              <w14:schemeClr w14:val="tx1"/>
            </w14:solidFill>
          </w14:textFill>
        </w:rPr>
        <w:t>于预算数的主要原因：是</w:t>
      </w:r>
      <w:r>
        <w:rPr>
          <w:rFonts w:hint="eastAsia" w:ascii="仿宋_GB2312" w:hAnsi="ˎ̥" w:eastAsia="仿宋_GB2312"/>
          <w:color w:val="000000" w:themeColor="text1"/>
          <w:sz w:val="32"/>
          <w:szCs w:val="32"/>
          <w:lang w:val="en-US" w:eastAsia="zh-CN"/>
          <w14:textFill>
            <w14:solidFill>
              <w14:schemeClr w14:val="tx1"/>
            </w14:solidFill>
          </w14:textFill>
        </w:rPr>
        <w:t>人员减少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w:t>
      </w:r>
      <w:r>
        <w:rPr>
          <w:rFonts w:hint="eastAsia" w:ascii="仿宋_GB2312" w:hAnsi="ˎ̥" w:eastAsia="仿宋_GB2312"/>
          <w:color w:val="000000" w:themeColor="text1"/>
          <w:sz w:val="32"/>
          <w:szCs w:val="32"/>
          <w:lang w:val="en-US" w:eastAsia="zh-CN"/>
          <w14:textFill>
            <w14:solidFill>
              <w14:schemeClr w14:val="tx1"/>
            </w14:solidFill>
          </w14:textFill>
        </w:rPr>
        <w:t xml:space="preserve">  3</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社会保障和就业支出（类）行政事业单位养老支出（款）机关事业单位职业年金缴费支出（项）。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60.52</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67.46</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111.47</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val="en-US" w:eastAsia="zh-CN"/>
          <w14:textFill>
            <w14:solidFill>
              <w14:schemeClr w14:val="tx1"/>
            </w14:solidFill>
          </w14:textFill>
        </w:rPr>
        <w:t>大</w:t>
      </w:r>
      <w:r>
        <w:rPr>
          <w:rFonts w:hint="eastAsia" w:ascii="仿宋_GB2312" w:hAnsi="ˎ̥" w:eastAsia="仿宋_GB2312"/>
          <w:color w:val="000000" w:themeColor="text1"/>
          <w:sz w:val="32"/>
          <w:szCs w:val="32"/>
          <w14:textFill>
            <w14:solidFill>
              <w14:schemeClr w14:val="tx1"/>
            </w14:solidFill>
          </w14:textFill>
        </w:rPr>
        <w:t>于预算数的主要原因：是</w:t>
      </w:r>
      <w:r>
        <w:rPr>
          <w:rFonts w:hint="eastAsia" w:ascii="仿宋_GB2312" w:hAnsi="ˎ̥" w:eastAsia="仿宋_GB2312"/>
          <w:color w:val="000000" w:themeColor="text1"/>
          <w:sz w:val="32"/>
          <w:szCs w:val="32"/>
          <w:lang w:val="en-US" w:eastAsia="zh-CN"/>
          <w14:textFill>
            <w14:solidFill>
              <w14:schemeClr w14:val="tx1"/>
            </w14:solidFill>
          </w14:textFill>
        </w:rPr>
        <w:t>人员工资基数增加</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 xml:space="preserve">   4</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卫生健康支出（类）行政事业单位医疗（款）事业单位医疗（项）。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56.01</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43.9</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78.38</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val="en-US" w:eastAsia="zh-CN"/>
          <w14:textFill>
            <w14:solidFill>
              <w14:schemeClr w14:val="tx1"/>
            </w14:solidFill>
          </w14:textFill>
        </w:rPr>
        <w:t>小</w:t>
      </w:r>
      <w:r>
        <w:rPr>
          <w:rFonts w:hint="eastAsia" w:ascii="仿宋_GB2312" w:hAnsi="ˎ̥" w:eastAsia="仿宋_GB2312"/>
          <w:color w:val="000000" w:themeColor="text1"/>
          <w:sz w:val="32"/>
          <w:szCs w:val="32"/>
          <w14:textFill>
            <w14:solidFill>
              <w14:schemeClr w14:val="tx1"/>
            </w14:solidFill>
          </w14:textFill>
        </w:rPr>
        <w:t>于预算数的主要原因：是</w:t>
      </w:r>
      <w:r>
        <w:rPr>
          <w:rFonts w:hint="eastAsia" w:ascii="仿宋_GB2312" w:hAnsi="ˎ̥" w:eastAsia="仿宋_GB2312"/>
          <w:color w:val="000000" w:themeColor="text1"/>
          <w:sz w:val="32"/>
          <w:szCs w:val="32"/>
          <w:lang w:val="en-US" w:eastAsia="zh-CN"/>
          <w14:textFill>
            <w14:solidFill>
              <w14:schemeClr w14:val="tx1"/>
            </w14:solidFill>
          </w14:textFill>
        </w:rPr>
        <w:t>人员减少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 xml:space="preserve">   5</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卫生健康支出（类）行政事业单位医疗（款）公务员医疗补助（项）。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84.5</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93.79</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110.99</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val="en-US" w:eastAsia="zh-CN"/>
          <w14:textFill>
            <w14:solidFill>
              <w14:schemeClr w14:val="tx1"/>
            </w14:solidFill>
          </w14:textFill>
        </w:rPr>
        <w:t>大</w:t>
      </w:r>
      <w:r>
        <w:rPr>
          <w:rFonts w:hint="eastAsia" w:ascii="仿宋_GB2312" w:hAnsi="ˎ̥" w:eastAsia="仿宋_GB2312"/>
          <w:color w:val="000000" w:themeColor="text1"/>
          <w:sz w:val="32"/>
          <w:szCs w:val="32"/>
          <w14:textFill>
            <w14:solidFill>
              <w14:schemeClr w14:val="tx1"/>
            </w14:solidFill>
          </w14:textFill>
        </w:rPr>
        <w:t>于预算数的主要原因：是</w:t>
      </w:r>
      <w:r>
        <w:rPr>
          <w:rFonts w:hint="eastAsia" w:ascii="仿宋_GB2312" w:hAnsi="ˎ̥" w:eastAsia="仿宋_GB2312"/>
          <w:color w:val="000000" w:themeColor="text1"/>
          <w:sz w:val="32"/>
          <w:szCs w:val="32"/>
          <w:lang w:val="en-US" w:eastAsia="zh-CN"/>
          <w14:textFill>
            <w14:solidFill>
              <w14:schemeClr w14:val="tx1"/>
            </w14:solidFill>
          </w14:textFill>
        </w:rPr>
        <w:t>人员工资基数增加</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 xml:space="preserve">   6</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住房保障支出（类）住房改革支出（款）住房公积金（项）。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101.4</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89.29</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85.53</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val="en-US" w:eastAsia="zh-CN"/>
          <w14:textFill>
            <w14:solidFill>
              <w14:schemeClr w14:val="tx1"/>
            </w14:solidFill>
          </w14:textFill>
        </w:rPr>
        <w:t>小</w:t>
      </w:r>
      <w:r>
        <w:rPr>
          <w:rFonts w:hint="eastAsia" w:ascii="仿宋_GB2312" w:hAnsi="ˎ̥" w:eastAsia="仿宋_GB2312"/>
          <w:color w:val="000000" w:themeColor="text1"/>
          <w:sz w:val="32"/>
          <w:szCs w:val="32"/>
          <w14:textFill>
            <w14:solidFill>
              <w14:schemeClr w14:val="tx1"/>
            </w14:solidFill>
          </w14:textFill>
        </w:rPr>
        <w:t>于预算数的主要原因：是</w:t>
      </w:r>
      <w:r>
        <w:rPr>
          <w:rFonts w:hint="eastAsia" w:ascii="仿宋_GB2312" w:hAnsi="ˎ̥" w:eastAsia="仿宋_GB2312"/>
          <w:color w:val="000000" w:themeColor="text1"/>
          <w:sz w:val="32"/>
          <w:szCs w:val="32"/>
          <w:lang w:val="en-US" w:eastAsia="zh-CN"/>
          <w14:textFill>
            <w14:solidFill>
              <w14:schemeClr w14:val="tx1"/>
            </w14:solidFill>
          </w14:textFill>
        </w:rPr>
        <w:t>人员减少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年度财政拨款基本支出</w:t>
      </w:r>
      <w:r>
        <w:rPr>
          <w:rFonts w:hint="eastAsia" w:ascii="仿宋_GB2312" w:hAnsi="ˎ̥" w:eastAsia="仿宋_GB2312"/>
          <w:color w:val="000000" w:themeColor="text1"/>
          <w:sz w:val="32"/>
          <w:szCs w:val="32"/>
          <w:lang w:val="en-US" w:eastAsia="zh-CN"/>
          <w14:textFill>
            <w14:solidFill>
              <w14:schemeClr w14:val="tx1"/>
            </w14:solidFill>
          </w14:textFill>
        </w:rPr>
        <w:t>1265.31</w:t>
      </w:r>
      <w:r>
        <w:rPr>
          <w:rFonts w:hint="eastAsia" w:ascii="仿宋_GB2312" w:hAnsi="ˎ̥" w:eastAsia="仿宋_GB2312"/>
          <w:color w:val="000000" w:themeColor="text1"/>
          <w:sz w:val="32"/>
          <w:szCs w:val="32"/>
          <w14:textFill>
            <w14:solidFill>
              <w14:schemeClr w14:val="tx1"/>
            </w14:solidFill>
          </w14:textFill>
        </w:rPr>
        <w:t>万元，其中：人员经费</w:t>
      </w:r>
      <w:r>
        <w:rPr>
          <w:rFonts w:ascii="仿宋_GB2312" w:hAnsi="ˎ̥" w:eastAsia="仿宋_GB2312"/>
          <w:color w:val="000000" w:themeColor="text1"/>
          <w:sz w:val="32"/>
          <w:szCs w:val="32"/>
          <w:lang w:val="en-US"/>
          <w14:textFill>
            <w14:solidFill>
              <w14:schemeClr w14:val="tx1"/>
            </w14:solidFill>
          </w14:textFill>
        </w:rPr>
        <w:t>1,248.17</w:t>
      </w:r>
      <w:r>
        <w:rPr>
          <w:rFonts w:hint="eastAsia" w:ascii="仿宋_GB2312" w:hAnsi="ˎ̥" w:eastAsia="仿宋_GB2312"/>
          <w:color w:val="000000" w:themeColor="text1"/>
          <w:sz w:val="32"/>
          <w:szCs w:val="32"/>
          <w14:textFill>
            <w14:solidFill>
              <w14:schemeClr w14:val="tx1"/>
            </w14:solidFill>
          </w14:textFill>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000000" w:themeColor="text1"/>
          <w:sz w:val="32"/>
          <w:szCs w:val="32"/>
          <w:lang w:val="en-US"/>
          <w14:textFill>
            <w14:solidFill>
              <w14:schemeClr w14:val="tx1"/>
            </w14:solidFill>
          </w14:textFill>
        </w:rPr>
        <w:t>17.14</w:t>
      </w:r>
      <w:r>
        <w:rPr>
          <w:rFonts w:hint="eastAsia" w:ascii="仿宋_GB2312" w:hAnsi="ˎ̥" w:eastAsia="仿宋_GB2312"/>
          <w:color w:val="000000" w:themeColor="text1"/>
          <w:sz w:val="32"/>
          <w:szCs w:val="32"/>
          <w14:textFill>
            <w14:solidFill>
              <w14:schemeClr w14:val="tx1"/>
            </w14:solidFill>
          </w14:textFill>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000000" w:themeColor="text1"/>
          <w:sz w:val="32"/>
          <w:szCs w:val="32"/>
          <w:lang w:val="en-US" w:eastAsia="zh-CN"/>
          <w14:textFill>
            <w14:solidFill>
              <w14:schemeClr w14:val="tx1"/>
            </w14:solidFill>
          </w14:textFill>
        </w:rPr>
        <w:t>购</w:t>
      </w:r>
      <w:r>
        <w:rPr>
          <w:rFonts w:hint="eastAsia" w:ascii="仿宋_GB2312" w:hAnsi="ˎ̥" w:eastAsia="仿宋_GB2312"/>
          <w:color w:val="000000" w:themeColor="text1"/>
          <w:sz w:val="32"/>
          <w:szCs w:val="32"/>
          <w14:textFill>
            <w14:solidFill>
              <w14:schemeClr w14:val="tx1"/>
            </w14:solidFill>
          </w14:textFill>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上述</w:t>
      </w:r>
      <w:r>
        <w:rPr>
          <w:rFonts w:hint="eastAsia" w:ascii="仿宋_GB2312" w:hAnsi="ˎ̥" w:eastAsia="仿宋_GB2312"/>
          <w:color w:val="000000" w:themeColor="text1"/>
          <w:sz w:val="32"/>
          <w:szCs w:val="32"/>
          <w:lang w:val="en-US" w:eastAsia="zh-CN"/>
          <w14:textFill>
            <w14:solidFill>
              <w14:schemeClr w14:val="tx1"/>
            </w14:solidFill>
          </w14:textFill>
        </w:rPr>
        <w:t>数据</w:t>
      </w:r>
      <w:r>
        <w:rPr>
          <w:rFonts w:hint="eastAsia" w:ascii="仿宋_GB2312" w:hAnsi="ˎ̥" w:eastAsia="仿宋_GB2312"/>
          <w:color w:val="000000" w:themeColor="text1"/>
          <w:sz w:val="32"/>
          <w:szCs w:val="32"/>
          <w14:textFill>
            <w14:solidFill>
              <w14:schemeClr w14:val="tx1"/>
            </w14:solidFill>
          </w14:textFill>
        </w:rPr>
        <w:t>可取自财决公开06表，各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14:textFill>
            <w14:solidFill>
              <w14:schemeClr w14:val="tx1"/>
            </w14:solidFill>
          </w14:textFill>
        </w:rPr>
        <w:t>部门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（一）政府性基金预算财政拨款支出决算总体情况</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年度相比，政府性基金预算财政拨款支出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，主要原因是主要原因是</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我校没政府基金收入</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（一）国有资本经营预算财政拨款支出决算总体情况</w:t>
      </w:r>
    </w:p>
    <w:p>
      <w:pPr>
        <w:keepNext w:val="0"/>
        <w:keepLines w:val="0"/>
        <w:widowControl/>
        <w:suppressLineNumbers w:val="0"/>
        <w:spacing w:before="0" w:beforeAutospacing="0" w:after="100" w:afterAutospacing="1"/>
        <w:ind w:left="0" w:right="0" w:firstLine="640" w:firstLineChars="200"/>
        <w:jc w:val="left"/>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年度相比，国有资本经营预算财政拨款支出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，主要原因是</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无其他国有资本经营收入</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（一）财政拨款“三公”经费支出决算总体情况说明</w:t>
      </w:r>
    </w:p>
    <w:p>
      <w:pPr>
        <w:spacing w:line="578" w:lineRule="exac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年度财政拨款“三公”经费支出预算为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color w:val="000000" w:themeColor="text1"/>
          <w:sz w:val="32"/>
          <w:szCs w:val="32"/>
          <w14:textFill>
            <w14:solidFill>
              <w14:schemeClr w14:val="tx1"/>
            </w14:solidFill>
          </w14:textFill>
        </w:rPr>
        <w:t>“三公”经费支出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r>
        <w:rPr>
          <w:rFonts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eastAsia="zh-CN"/>
          <w14:textFill>
            <w14:solidFill>
              <w14:schemeClr w14:val="tx1"/>
            </w14:solidFill>
          </w14:textFill>
        </w:rPr>
        <w:t>我校没有“三公”经费支出</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楷体" w:hAnsi="楷体" w:eastAsia="楷体" w:cs="楷体"/>
          <w:color w:val="000000" w:themeColor="text1"/>
          <w:sz w:val="32"/>
          <w:szCs w:val="32"/>
          <w14:textFill>
            <w14:solidFill>
              <w14:schemeClr w14:val="tx1"/>
            </w14:solidFill>
          </w14:textFill>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年度财政拨款“三公”经费支出决算中，因公出国（境）费支出决算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%；公务用车购置及运行维护费支出决算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%；公务接待费支出决算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因公出国（境）费支出决算</w:t>
      </w:r>
      <w:r>
        <w:rPr>
          <w:rFonts w:hint="eastAsia" w:ascii="仿宋_GB2312" w:hAnsi="ˎ̥" w:eastAsia="仿宋_GB2312"/>
          <w:color w:val="000000" w:themeColor="text1"/>
          <w:sz w:val="32"/>
          <w:szCs w:val="32"/>
          <w:lang w:val="en-US" w:eastAsia="zh-CN"/>
          <w14:textFill>
            <w14:solidFill>
              <w14:schemeClr w14:val="tx1"/>
            </w14:solidFill>
          </w14:textFill>
        </w:rPr>
        <w:t>数</w:t>
      </w:r>
      <w:r>
        <w:rPr>
          <w:rFonts w:hint="eastAsia" w:ascii="仿宋_GB2312" w:hAnsi="ˎ̥" w:eastAsia="仿宋_GB2312"/>
          <w:color w:val="000000" w:themeColor="text1"/>
          <w:sz w:val="32"/>
          <w:szCs w:val="32"/>
          <w14:textFill>
            <w14:solidFill>
              <w14:schemeClr w14:val="tx1"/>
            </w14:solidFill>
          </w14:textFill>
        </w:rPr>
        <w:t>比预算数增加</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color w:val="000000" w:themeColor="text1"/>
          <w:sz w:val="32"/>
          <w:szCs w:val="32"/>
          <w14:textFill>
            <w14:solidFill>
              <w14:schemeClr w14:val="tx1"/>
            </w14:solidFill>
          </w14:textFill>
        </w:rPr>
        <w:t>因公出国（境）费支出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eastAsia="zh-CN"/>
          <w14:textFill>
            <w14:solidFill>
              <w14:schemeClr w14:val="tx1"/>
            </w14:solidFill>
          </w14:textFill>
        </w:rPr>
        <w:t>我校没有因公出国（境）费支出</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2.公务用车购置及运行维护费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公务用车购置</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万元，全年购置公务用车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辆，年末公务用车保有量</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公务用车运行维护费</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000000" w:themeColor="text1"/>
          <w:sz w:val="32"/>
          <w:szCs w:val="32"/>
          <w14:textFill>
            <w14:solidFill>
              <w14:schemeClr w14:val="tx1"/>
            </w14:solidFill>
          </w14:textFill>
        </w:rPr>
      </w:pPr>
      <w:r>
        <w:rPr>
          <w:rFonts w:hint="eastAsia" w:ascii="仿宋_GB2312" w:hAnsi="ˎ̥" w:eastAsia="仿宋_GB2312"/>
          <w:bCs/>
          <w:color w:val="000000" w:themeColor="text1"/>
          <w:sz w:val="32"/>
          <w:szCs w:val="32"/>
          <w14:textFill>
            <w14:solidFill>
              <w14:schemeClr w14:val="tx1"/>
            </w14:solidFill>
          </w14:textFill>
        </w:rPr>
        <w:t>公务用车购置及运行维护费支出决算数</w:t>
      </w:r>
      <w:r>
        <w:rPr>
          <w:rFonts w:hint="eastAsia" w:ascii="仿宋_GB2312" w:hAnsi="ˎ̥" w:eastAsia="仿宋_GB2312"/>
          <w:bCs/>
          <w:color w:val="000000" w:themeColor="text1"/>
          <w:sz w:val="32"/>
          <w:szCs w:val="32"/>
          <w:lang w:val="en-US" w:eastAsia="zh-CN"/>
          <w14:textFill>
            <w14:solidFill>
              <w14:schemeClr w14:val="tx1"/>
            </w14:solidFill>
          </w14:textFill>
        </w:rPr>
        <w:t>与</w:t>
      </w:r>
      <w:r>
        <w:rPr>
          <w:rFonts w:hint="eastAsia" w:ascii="仿宋_GB2312" w:hAnsi="ˎ̥" w:eastAsia="仿宋_GB2312"/>
          <w:color w:val="000000" w:themeColor="text1"/>
          <w:sz w:val="32"/>
          <w:szCs w:val="32"/>
          <w14:textFill>
            <w14:solidFill>
              <w14:schemeClr w14:val="tx1"/>
            </w14:solidFill>
          </w14:textFill>
        </w:rPr>
        <w:t>预算数</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完成预算的0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bCs/>
          <w:color w:val="000000" w:themeColor="text1"/>
          <w:sz w:val="32"/>
          <w:szCs w:val="32"/>
          <w14:textFill>
            <w14:solidFill>
              <w14:schemeClr w14:val="tx1"/>
            </w14:solidFill>
          </w14:textFill>
        </w:rPr>
        <w:t>公务用车购置及运行维护费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eastAsia="zh-CN"/>
          <w14:textFill>
            <w14:solidFill>
              <w14:schemeClr w14:val="tx1"/>
            </w14:solidFill>
          </w14:textFill>
        </w:rPr>
        <w:t>我校没有公务用车</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3.公务接待费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国内接待费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万元，国内公务接待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批次，接待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bCs/>
          <w:color w:val="000000" w:themeColor="text1"/>
          <w:sz w:val="32"/>
          <w:szCs w:val="32"/>
          <w14:textFill>
            <w14:solidFill>
              <w14:schemeClr w14:val="tx1"/>
            </w14:solidFill>
          </w14:textFill>
        </w:rPr>
        <w:t>国（境）外接待费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万元，国（境）外公务接待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批次，接待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公务接待费支出决算数</w:t>
      </w:r>
      <w:r>
        <w:rPr>
          <w:rFonts w:hint="eastAsia" w:ascii="仿宋_GB2312" w:hAnsi="ˎ̥" w:eastAsia="仿宋_GB2312"/>
          <w:color w:val="000000" w:themeColor="text1"/>
          <w:sz w:val="32"/>
          <w:szCs w:val="32"/>
          <w:lang w:val="en-US" w:eastAsia="zh-CN"/>
          <w14:textFill>
            <w14:solidFill>
              <w14:schemeClr w14:val="tx1"/>
            </w14:solidFill>
          </w14:textFill>
        </w:rPr>
        <w:t>与</w:t>
      </w:r>
      <w:r>
        <w:rPr>
          <w:rFonts w:hint="eastAsia" w:ascii="仿宋_GB2312" w:hAnsi="ˎ̥" w:eastAsia="仿宋_GB2312"/>
          <w:color w:val="000000" w:themeColor="text1"/>
          <w:sz w:val="32"/>
          <w:szCs w:val="32"/>
          <w14:textFill>
            <w14:solidFill>
              <w14:schemeClr w14:val="tx1"/>
            </w14:solidFill>
          </w14:textFill>
        </w:rPr>
        <w:t>预算数</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完成预算的0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bCs/>
          <w:color w:val="000000" w:themeColor="text1"/>
          <w:sz w:val="32"/>
          <w:szCs w:val="32"/>
          <w14:textFill>
            <w14:solidFill>
              <w14:schemeClr w14:val="tx1"/>
            </w14:solidFill>
          </w14:textFill>
        </w:rPr>
        <w:t>公务接待费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eastAsia="zh-CN"/>
          <w14:textFill>
            <w14:solidFill>
              <w14:schemeClr w14:val="tx1"/>
            </w14:solidFill>
          </w14:textFill>
        </w:rPr>
        <w:t>我校没有公务接待费支出。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仿宋_GB2312" w:cs="楷体"/>
          <w:bCs/>
          <w:color w:val="000000" w:themeColor="text1"/>
          <w:sz w:val="32"/>
          <w:szCs w:val="32"/>
          <w:lang w:val="en-US" w:eastAsia="zh-CN"/>
          <w14:textFill>
            <w14:solidFill>
              <w14:schemeClr w14:val="tx1"/>
            </w14:solidFill>
          </w14:textFill>
        </w:rPr>
      </w:pPr>
      <w:r>
        <w:rPr>
          <w:rFonts w:hint="eastAsia" w:ascii="楷体" w:hAnsi="楷体" w:eastAsia="楷体" w:cs="楷体"/>
          <w:bCs/>
          <w:color w:val="000000" w:themeColor="text1"/>
          <w:sz w:val="32"/>
          <w:szCs w:val="32"/>
          <w:lang w:eastAsia="zh-CN"/>
          <w14:textFill>
            <w14:solidFill>
              <w14:schemeClr w14:val="tx1"/>
            </w14:solidFill>
          </w14:textFill>
        </w:rPr>
        <w:t>我校</w:t>
      </w:r>
      <w:r>
        <w:rPr>
          <w:rFonts w:hint="eastAsia" w:ascii="楷体" w:hAnsi="楷体" w:eastAsia="楷体" w:cs="楷体"/>
          <w:bCs/>
          <w:color w:val="000000" w:themeColor="text1"/>
          <w:sz w:val="32"/>
          <w:szCs w:val="32"/>
          <w:lang w:val="en-US" w:eastAsia="zh-CN"/>
          <w14:textFill>
            <w14:solidFill>
              <w14:schemeClr w14:val="tx1"/>
            </w14:solidFill>
          </w14:textFill>
        </w:rPr>
        <w:t>2024年没有</w:t>
      </w:r>
      <w:r>
        <w:rPr>
          <w:rFonts w:hint="eastAsia" w:ascii="仿宋_GB2312" w:eastAsia="仿宋_GB2312"/>
          <w:color w:val="000000" w:themeColor="text1"/>
          <w:sz w:val="32"/>
          <w:szCs w:val="32"/>
          <w:lang w:bidi="ar"/>
          <w14:textFill>
            <w14:solidFill>
              <w14:schemeClr w14:val="tx1"/>
            </w14:solidFill>
          </w14:textFill>
        </w:rPr>
        <w:t>政府性基金预算项目</w:t>
      </w:r>
      <w:r>
        <w:rPr>
          <w:rFonts w:hint="eastAsia" w:ascii="仿宋_GB2312" w:eastAsia="仿宋_GB2312"/>
          <w:color w:val="000000" w:themeColor="text1"/>
          <w:sz w:val="32"/>
          <w:szCs w:val="32"/>
          <w:lang w:eastAsia="zh-CN" w:bidi="ar"/>
          <w14:textFill>
            <w14:solidFill>
              <w14:schemeClr w14:val="tx1"/>
            </w14:solidFill>
          </w14:textFill>
        </w:rPr>
        <w:t>和</w:t>
      </w:r>
      <w:r>
        <w:rPr>
          <w:rFonts w:hint="eastAsia" w:ascii="仿宋_GB2312" w:eastAsia="仿宋_GB2312"/>
          <w:color w:val="000000" w:themeColor="text1"/>
          <w:sz w:val="32"/>
          <w:szCs w:val="32"/>
          <w:lang w:bidi="ar"/>
          <w14:textFill>
            <w14:solidFill>
              <w14:schemeClr w14:val="tx1"/>
            </w14:solidFill>
          </w14:textFill>
        </w:rPr>
        <w:t>国有资本经营预算项目</w:t>
      </w:r>
      <w:r>
        <w:rPr>
          <w:rFonts w:hint="eastAsia" w:ascii="仿宋_GB2312" w:eastAsia="仿宋_GB2312"/>
          <w:color w:val="000000" w:themeColor="text1"/>
          <w:sz w:val="32"/>
          <w:szCs w:val="32"/>
          <w:lang w:eastAsia="zh-CN" w:bidi="ar"/>
          <w14:textFill>
            <w14:solidFill>
              <w14:schemeClr w14:val="tx1"/>
            </w14:solidFill>
          </w14:textFill>
        </w:rPr>
        <w:t>，所以开展</w:t>
      </w:r>
      <w:r>
        <w:rPr>
          <w:rFonts w:hint="eastAsia" w:ascii="仿宋_GB2312" w:eastAsia="仿宋_GB2312"/>
          <w:color w:val="000000" w:themeColor="text1"/>
          <w:sz w:val="32"/>
          <w:szCs w:val="32"/>
          <w14:textFill>
            <w14:solidFill>
              <w14:schemeClr w14:val="tx1"/>
            </w14:solidFill>
          </w14:textFill>
        </w:rPr>
        <w:t>绩效评价</w:t>
      </w:r>
      <w:r>
        <w:rPr>
          <w:rFonts w:hint="eastAsia" w:ascii="仿宋_GB2312"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eastAsia="zh-CN"/>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000000" w:themeColor="text1"/>
          <w:kern w:val="0"/>
          <w:sz w:val="32"/>
          <w:szCs w:val="32"/>
          <w:lang w:eastAsia="zh-CN" w:bidi="ar"/>
          <w14:textFill>
            <w14:solidFill>
              <w14:schemeClr w14:val="tx1"/>
            </w14:solidFill>
          </w14:textFill>
        </w:rPr>
      </w:pPr>
      <w:r>
        <w:rPr>
          <w:rFonts w:hint="eastAsia" w:ascii="仿宋_GB2312" w:hAnsi="仿宋_GB2312" w:eastAsia="仿宋_GB2312" w:cs="仿宋_GB2312"/>
          <w:color w:val="000000" w:themeColor="text1"/>
          <w:kern w:val="0"/>
          <w:sz w:val="32"/>
          <w:szCs w:val="32"/>
          <w:lang w:eastAsia="zh-CN" w:bidi="ar"/>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000000" w:themeColor="text1"/>
          <w:sz w:val="32"/>
          <w:szCs w:val="32"/>
          <w:lang w:val="zh-CN"/>
          <w14:textFill>
            <w14:solidFill>
              <w14:schemeClr w14:val="tx1"/>
            </w14:solidFill>
          </w14:textFill>
        </w:rPr>
      </w:pPr>
      <w:r>
        <w:rPr>
          <w:rFonts w:hint="eastAsia" w:ascii="仿宋_GB2312" w:eastAsia="仿宋_GB2312"/>
          <w:color w:val="000000" w:themeColor="text1"/>
          <w:sz w:val="32"/>
          <w:szCs w:val="32"/>
          <w:lang w:val="zh-CN"/>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95" w:name="_Toc15262_WPSOffice_Level2"/>
      <w:bookmarkStart w:id="96" w:name="_Toc5978_WPSOffice_Level2"/>
      <w:bookmarkStart w:id="97" w:name="_Toc15565_WPSOffice_Level2"/>
      <w:bookmarkStart w:id="98" w:name="_Toc23598_WPSOffice_Level2"/>
      <w:bookmarkStart w:id="99" w:name="_Toc32639_WPSOffice_Level2"/>
      <w:bookmarkStart w:id="100" w:name="_Toc18325_WPSOffice_Level2"/>
      <w:r>
        <w:rPr>
          <w:rFonts w:hint="eastAsia" w:ascii="楷体" w:hAnsi="楷体" w:eastAsia="楷体" w:cs="楷体"/>
          <w:bCs/>
          <w:color w:val="000000" w:themeColor="text1"/>
          <w:sz w:val="32"/>
          <w:szCs w:val="32"/>
          <w14:textFill>
            <w14:solidFill>
              <w14:schemeClr w14:val="tx1"/>
            </w14:solidFill>
          </w14:textFill>
        </w:rPr>
        <w:t>（一）机关运行经费支出情况</w:t>
      </w:r>
      <w:bookmarkEnd w:id="95"/>
      <w:bookmarkEnd w:id="96"/>
      <w:bookmarkEnd w:id="97"/>
      <w:bookmarkEnd w:id="98"/>
      <w:bookmarkEnd w:id="99"/>
      <w:bookmarkEnd w:id="100"/>
    </w:p>
    <w:p>
      <w:pPr>
        <w:keepNext w:val="0"/>
        <w:keepLines w:val="0"/>
        <w:widowControl/>
        <w:suppressLineNumbers w:val="0"/>
        <w:spacing w:before="0" w:beforeAutospacing="0" w:after="100" w:afterAutospacing="1"/>
        <w:ind w:left="0" w:right="0" w:firstLine="640" w:firstLineChars="200"/>
        <w:jc w:val="left"/>
        <w:rPr>
          <w:rFonts w:hint="eastAsia" w:ascii="仿宋_GB2312" w:hAnsi="ˎ̥" w:eastAsia="仿宋_GB2312"/>
          <w:color w:val="000000" w:themeColor="text1"/>
          <w:sz w:val="32"/>
          <w:szCs w:val="32"/>
          <w14:textFill>
            <w14:solidFill>
              <w14:schemeClr w14:val="tx1"/>
            </w14:solidFill>
          </w14:textFill>
        </w:rPr>
      </w:pPr>
      <w:bookmarkStart w:id="101" w:name="_Toc13084_WPSOffice_Level2"/>
      <w:bookmarkStart w:id="102" w:name="_Toc3131_WPSOffice_Level2"/>
      <w:bookmarkStart w:id="103" w:name="_Toc32689_WPSOffice_Level2"/>
      <w:bookmarkStart w:id="104" w:name="_Toc30383_WPSOffice_Level2"/>
      <w:bookmarkStart w:id="105" w:name="_Toc25333_WPSOffice_Level2"/>
      <w:bookmarkStart w:id="106" w:name="_Toc23966_WPSOffice_Level2"/>
      <w:r>
        <w:rPr>
          <w:rFonts w:hint="eastAsia" w:ascii="仿宋_GB2312" w:hAnsi="ˎ̥" w:eastAsia="仿宋_GB2312"/>
          <w:color w:val="000000" w:themeColor="text1"/>
          <w:sz w:val="32"/>
          <w:szCs w:val="32"/>
          <w14:textFill>
            <w14:solidFill>
              <w14:schemeClr w14:val="tx1"/>
            </w14:solidFill>
          </w14:textFill>
        </w:rPr>
        <w:t>202</w:t>
      </w:r>
      <w:r>
        <w:rPr>
          <w:rFonts w:hint="eastAsia" w:ascii="仿宋_GB2312" w:hAnsi="ˎ̥" w:eastAsia="仿宋_GB2312"/>
          <w:color w:val="000000" w:themeColor="text1"/>
          <w:sz w:val="32"/>
          <w:szCs w:val="32"/>
          <w:lang w:val="en-US" w:eastAsia="zh-CN"/>
          <w14:textFill>
            <w14:solidFill>
              <w14:schemeClr w14:val="tx1"/>
            </w14:solidFill>
          </w14:textFill>
        </w:rPr>
        <w:t>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val="en-US" w:eastAsia="zh-CN"/>
          <w14:textFill>
            <w14:solidFill>
              <w14:schemeClr w14:val="tx1"/>
            </w14:solidFill>
          </w14:textFill>
        </w:rPr>
        <w:t>我校</w:t>
      </w:r>
      <w:r>
        <w:rPr>
          <w:rFonts w:hint="eastAsia" w:ascii="仿宋_GB2312" w:hAnsi="ˎ̥" w:eastAsia="仿宋_GB2312"/>
          <w:color w:val="000000" w:themeColor="text1"/>
          <w:sz w:val="32"/>
          <w:szCs w:val="32"/>
          <w14:textFill>
            <w14:solidFill>
              <w14:schemeClr w14:val="tx1"/>
            </w14:solidFill>
          </w14:textFill>
        </w:rPr>
        <w:t>机关运行经费</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万元，增长（降低）</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%。主要原因是：</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我校无机关运行经费。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（二）政府采购支出情况</w:t>
      </w:r>
      <w:bookmarkEnd w:id="101"/>
      <w:bookmarkEnd w:id="102"/>
      <w:bookmarkEnd w:id="103"/>
      <w:bookmarkEnd w:id="104"/>
      <w:bookmarkEnd w:id="105"/>
      <w:bookmarkEnd w:id="106"/>
    </w:p>
    <w:p>
      <w:pPr>
        <w:spacing w:line="578" w:lineRule="exact"/>
        <w:ind w:firstLine="640" w:firstLineChars="200"/>
        <w:jc w:val="left"/>
        <w:rPr>
          <w:rFonts w:hint="eastAsia" w:ascii="仿宋_GB2312" w:hAnsi="ˎ̥" w:eastAsia="仿宋_GB2312"/>
          <w:color w:val="000000" w:themeColor="text1"/>
          <w:sz w:val="32"/>
          <w:szCs w:val="32"/>
          <w14:textFill>
            <w14:solidFill>
              <w14:schemeClr w14:val="tx1"/>
            </w14:solidFill>
          </w14:textFill>
        </w:rPr>
      </w:pPr>
      <w:bookmarkStart w:id="107" w:name="_Toc29584_WPSOffice_Level2"/>
      <w:bookmarkStart w:id="108" w:name="_Toc15129_WPSOffice_Level2"/>
      <w:bookmarkStart w:id="109" w:name="_Toc527_WPSOffice_Level2"/>
      <w:bookmarkStart w:id="110" w:name="_Toc10902_WPSOffice_Level2"/>
      <w:bookmarkStart w:id="111" w:name="_Toc19989_WPSOffice_Level2"/>
      <w:bookmarkStart w:id="112" w:name="_Toc6016_WPSOffice_Level2"/>
      <w:r>
        <w:rPr>
          <w:rFonts w:hint="eastAsia" w:ascii="仿宋_GB2312" w:hAnsi="ˎ̥" w:eastAsia="仿宋_GB2312"/>
          <w:color w:val="000000" w:themeColor="text1"/>
          <w:sz w:val="32"/>
          <w:szCs w:val="32"/>
          <w14:textFill>
            <w14:solidFill>
              <w14:schemeClr w14:val="tx1"/>
            </w14:solidFill>
          </w14:textFill>
        </w:rPr>
        <w:t>202</w:t>
      </w:r>
      <w:r>
        <w:rPr>
          <w:rFonts w:hint="eastAsia" w:ascii="仿宋_GB2312" w:hAnsi="ˎ̥" w:eastAsia="仿宋_GB2312"/>
          <w:color w:val="000000" w:themeColor="text1"/>
          <w:sz w:val="32"/>
          <w:szCs w:val="32"/>
          <w:lang w:val="en-US" w:eastAsia="zh-CN"/>
          <w14:textFill>
            <w14:solidFill>
              <w14:schemeClr w14:val="tx1"/>
            </w14:solidFill>
          </w14:textFill>
        </w:rPr>
        <w:t>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val="en-US" w:eastAsia="zh-CN"/>
          <w14:textFill>
            <w14:solidFill>
              <w14:schemeClr w14:val="tx1"/>
            </w14:solidFill>
          </w14:textFill>
        </w:rPr>
        <w:t>我校</w:t>
      </w:r>
      <w:r>
        <w:rPr>
          <w:rFonts w:hint="eastAsia" w:ascii="仿宋_GB2312" w:hAnsi="ˎ̥" w:eastAsia="仿宋_GB2312"/>
          <w:color w:val="000000" w:themeColor="text1"/>
          <w:sz w:val="32"/>
          <w:szCs w:val="32"/>
          <w14:textFill>
            <w14:solidFill>
              <w14:schemeClr w14:val="tx1"/>
            </w14:solidFill>
          </w14:textFill>
        </w:rPr>
        <w:t>政府采购支出总额</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万元，其中：政府采购货物支出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万元、政府采购工程支出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万元、政府采购服务支出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万元。授予中小企业合同金额</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万元，占政府采购支出总额的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%，其中：授予小微企业合同金额</w:t>
      </w:r>
      <w:r>
        <w:rPr>
          <w:rFonts w:hint="default" w:ascii="仿宋_GB2312" w:hAnsi="ˎ̥" w:eastAsia="仿宋_GB2312"/>
          <w:color w:val="000000" w:themeColor="text1"/>
          <w:sz w:val="32"/>
          <w:szCs w:val="32"/>
          <w:lang w:val="en-US"/>
          <w14:textFill>
            <w14:solidFill>
              <w14:schemeClr w14:val="tx1"/>
            </w14:solidFill>
          </w14:textFill>
        </w:rPr>
        <w:t>XX</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授予中小企业合同金额</w:t>
      </w:r>
      <w:r>
        <w:rPr>
          <w:rFonts w:hint="eastAsia" w:ascii="仿宋_GB2312" w:hAnsi="仿宋_GB2312" w:eastAsia="仿宋_GB2312" w:cs="仿宋_GB2312"/>
          <w:color w:val="000000" w:themeColor="text1"/>
          <w:sz w:val="32"/>
          <w:szCs w:val="32"/>
          <w14:textFill>
            <w14:solidFill>
              <w14:schemeClr w14:val="tx1"/>
            </w14:solidFill>
          </w14:textFill>
        </w:rPr>
        <w:t>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（三）国有资产占用情况</w:t>
      </w:r>
      <w:bookmarkEnd w:id="107"/>
      <w:bookmarkEnd w:id="108"/>
      <w:bookmarkEnd w:id="109"/>
      <w:bookmarkEnd w:id="110"/>
      <w:bookmarkEnd w:id="111"/>
      <w:bookmarkEnd w:id="112"/>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bookmarkStart w:id="113" w:name="_Toc8874_WPSOffice_Level1"/>
      <w:bookmarkStart w:id="114" w:name="_Toc8808_WPSOffice_Level1"/>
      <w:bookmarkStart w:id="115" w:name="_Toc17580_WPSOffice_Level1"/>
      <w:bookmarkStart w:id="116" w:name="_Toc4398_WPSOffice_Level1"/>
      <w:bookmarkStart w:id="117" w:name="_Toc11039_WPSOffice_Level1"/>
      <w:bookmarkStart w:id="118" w:name="_Toc15425_WPSOffice_Level1"/>
      <w:r>
        <w:rPr>
          <w:rFonts w:hint="eastAsia" w:ascii="仿宋_GB2312" w:hAnsi="ˎ̥" w:eastAsia="仿宋_GB2312"/>
          <w:bCs/>
          <w:color w:val="000000" w:themeColor="text1"/>
          <w:sz w:val="32"/>
          <w:szCs w:val="32"/>
          <w14:textFill>
            <w14:solidFill>
              <w14:schemeClr w14:val="tx1"/>
            </w14:solidFill>
          </w14:textFill>
        </w:rPr>
        <w:t>截至202</w:t>
      </w:r>
      <w:r>
        <w:rPr>
          <w:rFonts w:hint="eastAsia" w:ascii="仿宋_GB2312" w:hAnsi="ˎ̥" w:eastAsia="仿宋_GB2312"/>
          <w:bCs/>
          <w:color w:val="000000" w:themeColor="text1"/>
          <w:sz w:val="32"/>
          <w:szCs w:val="32"/>
          <w:lang w:val="en-US" w:eastAsia="zh-CN"/>
          <w14:textFill>
            <w14:solidFill>
              <w14:schemeClr w14:val="tx1"/>
            </w14:solidFill>
          </w14:textFill>
        </w:rPr>
        <w:t>4</w:t>
      </w:r>
      <w:r>
        <w:rPr>
          <w:rFonts w:hint="eastAsia" w:ascii="仿宋_GB2312" w:hAnsi="ˎ̥" w:eastAsia="仿宋_GB2312"/>
          <w:bCs/>
          <w:color w:val="000000" w:themeColor="text1"/>
          <w:sz w:val="32"/>
          <w:szCs w:val="32"/>
          <w14:textFill>
            <w14:solidFill>
              <w14:schemeClr w14:val="tx1"/>
            </w14:solidFill>
          </w14:textFill>
        </w:rPr>
        <w:t>年12月31日，本部门拥有</w:t>
      </w:r>
      <w:r>
        <w:rPr>
          <w:rFonts w:hint="eastAsia" w:ascii="仿宋_GB2312" w:hAnsi="ˎ̥" w:eastAsia="仿宋_GB2312"/>
          <w:color w:val="000000" w:themeColor="text1"/>
          <w:sz w:val="32"/>
          <w:szCs w:val="32"/>
          <w14:textFill>
            <w14:solidFill>
              <w14:schemeClr w14:val="tx1"/>
            </w14:solidFill>
          </w14:textFill>
        </w:rPr>
        <w:t>房屋面积</w:t>
      </w:r>
      <w:r>
        <w:rPr>
          <w:rFonts w:hint="eastAsia" w:ascii="仿宋_GB2312" w:hAnsi="ˎ̥" w:eastAsia="仿宋_GB2312"/>
          <w:color w:val="000000" w:themeColor="text1"/>
          <w:sz w:val="32"/>
          <w:szCs w:val="32"/>
          <w:lang w:val="en-US" w:eastAsia="zh-CN"/>
          <w14:textFill>
            <w14:solidFill>
              <w14:schemeClr w14:val="tx1"/>
            </w14:solidFill>
          </w14:textFill>
        </w:rPr>
        <w:t>13225.69</w:t>
      </w:r>
      <w:r>
        <w:rPr>
          <w:rFonts w:hint="eastAsia" w:ascii="仿宋_GB2312" w:hAnsi="ˎ̥" w:eastAsia="仿宋_GB2312"/>
          <w:color w:val="000000" w:themeColor="text1"/>
          <w:sz w:val="32"/>
          <w:szCs w:val="32"/>
          <w14:textFill>
            <w14:solidFill>
              <w14:schemeClr w14:val="tx1"/>
            </w14:solidFill>
          </w14:textFill>
        </w:rPr>
        <w:t>平方米，其中：办公用房</w:t>
      </w:r>
      <w:r>
        <w:rPr>
          <w:rFonts w:hint="eastAsia" w:ascii="仿宋_GB2312" w:hAnsi="ˎ̥" w:eastAsia="仿宋_GB2312"/>
          <w:color w:val="000000" w:themeColor="text1"/>
          <w:sz w:val="32"/>
          <w:szCs w:val="32"/>
          <w:lang w:val="en-US" w:eastAsia="zh-CN"/>
          <w14:textFill>
            <w14:solidFill>
              <w14:schemeClr w14:val="tx1"/>
            </w14:solidFill>
          </w14:textFill>
        </w:rPr>
        <w:t>940</w:t>
      </w:r>
      <w:r>
        <w:rPr>
          <w:rFonts w:hint="eastAsia" w:ascii="仿宋_GB2312" w:hAnsi="ˎ̥" w:eastAsia="仿宋_GB2312"/>
          <w:color w:val="000000" w:themeColor="text1"/>
          <w:sz w:val="32"/>
          <w:szCs w:val="32"/>
          <w14:textFill>
            <w14:solidFill>
              <w14:schemeClr w14:val="tx1"/>
            </w14:solidFill>
          </w14:textFill>
        </w:rPr>
        <w:t>平方米，业务用房</w:t>
      </w:r>
      <w:r>
        <w:rPr>
          <w:rFonts w:hint="eastAsia" w:ascii="仿宋_GB2312" w:hAnsi="ˎ̥" w:eastAsia="仿宋_GB2312"/>
          <w:color w:val="000000" w:themeColor="text1"/>
          <w:sz w:val="32"/>
          <w:szCs w:val="32"/>
          <w:lang w:val="en-US" w:eastAsia="zh-CN"/>
          <w14:textFill>
            <w14:solidFill>
              <w14:schemeClr w14:val="tx1"/>
            </w14:solidFill>
          </w14:textFill>
        </w:rPr>
        <w:t>3970</w:t>
      </w:r>
      <w:r>
        <w:rPr>
          <w:rFonts w:hint="eastAsia" w:ascii="仿宋_GB2312" w:hAnsi="ˎ̥" w:eastAsia="仿宋_GB2312"/>
          <w:color w:val="000000" w:themeColor="text1"/>
          <w:sz w:val="32"/>
          <w:szCs w:val="32"/>
          <w14:textFill>
            <w14:solidFill>
              <w14:schemeClr w14:val="tx1"/>
            </w14:solidFill>
          </w14:textFill>
        </w:rPr>
        <w:t>平方米，其他（不含构筑物）</w:t>
      </w:r>
      <w:r>
        <w:rPr>
          <w:rFonts w:hint="eastAsia" w:ascii="仿宋_GB2312" w:hAnsi="ˎ̥" w:eastAsia="仿宋_GB2312"/>
          <w:color w:val="000000" w:themeColor="text1"/>
          <w:sz w:val="32"/>
          <w:szCs w:val="32"/>
          <w:lang w:val="en-US" w:eastAsia="zh-CN"/>
          <w14:textFill>
            <w14:solidFill>
              <w14:schemeClr w14:val="tx1"/>
            </w14:solidFill>
          </w14:textFill>
        </w:rPr>
        <w:t>8315.69</w:t>
      </w:r>
      <w:r>
        <w:rPr>
          <w:rFonts w:hint="eastAsia" w:ascii="仿宋_GB2312" w:hAnsi="ˎ̥" w:eastAsia="仿宋_GB2312"/>
          <w:color w:val="000000" w:themeColor="text1"/>
          <w:sz w:val="32"/>
          <w:szCs w:val="32"/>
          <w14:textFill>
            <w14:solidFill>
              <w14:schemeClr w14:val="tx1"/>
            </w14:solidFill>
          </w14:textFill>
        </w:rPr>
        <w:t>平方米。</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本部门共有车辆</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辆，其中，副部（省）级及以上领导用车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辆、主要负责人用车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辆、机要通信用车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辆、应急保障用车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辆、执法执勤用车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辆、特种专业技术用车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辆、离退休干部服务用车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辆、其他用车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辆。单价100万元（含）以上设备（不含车辆）</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台（套）。</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年末在建工程</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十六、</w:t>
      </w:r>
      <w:r>
        <w:rPr>
          <w:rFonts w:ascii="仿宋_GB2312" w:hAnsi="ˎ̥" w:eastAsia="仿宋_GB2312"/>
          <w:color w:val="000000" w:themeColor="text1"/>
          <w:sz w:val="32"/>
          <w:szCs w:val="32"/>
          <w14:textFill>
            <w14:solidFill>
              <w14:schemeClr w14:val="tx1"/>
            </w14:solidFill>
          </w14:textFill>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1.</w:t>
      </w:r>
      <w:r>
        <w:rPr>
          <w:rFonts w:hint="eastAsia" w:ascii="仿宋_GB2312" w:hAnsi="ˎ̥" w:eastAsia="仿宋_GB2312"/>
          <w:b/>
          <w:color w:val="000000" w:themeColor="text1"/>
          <w:sz w:val="32"/>
          <w:szCs w:val="32"/>
          <w14:textFill>
            <w14:solidFill>
              <w14:schemeClr w14:val="tx1"/>
            </w14:solidFill>
          </w14:textFill>
        </w:rPr>
        <w:t>教育支出（类）普通教育（款）初中教育（项）。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w:t>
      </w:r>
      <w:r>
        <w:rPr>
          <w:rFonts w:hint="eastAsia" w:ascii="仿宋_GB2312" w:hAnsi="ˎ̥" w:eastAsia="仿宋_GB2312"/>
          <w:color w:val="000000" w:themeColor="text1"/>
          <w:sz w:val="32"/>
          <w:szCs w:val="32"/>
          <w:lang w:val="en-US" w:eastAsia="zh-CN"/>
          <w14:textFill>
            <w14:solidFill>
              <w14:schemeClr w14:val="tx1"/>
            </w14:solidFill>
          </w14:textFill>
        </w:rPr>
        <w:t>2</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社会保障和就业支出（类）行政事业单位养老支出（款）机关事业单位基本养老保险缴费支出（项）。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w:t>
      </w:r>
      <w:r>
        <w:rPr>
          <w:rFonts w:hint="eastAsia" w:ascii="仿宋_GB2312" w:hAnsi="ˎ̥" w:eastAsia="仿宋_GB2312"/>
          <w:color w:val="000000" w:themeColor="text1"/>
          <w:sz w:val="32"/>
          <w:szCs w:val="32"/>
          <w:lang w:val="en-US" w:eastAsia="zh-CN"/>
          <w14:textFill>
            <w14:solidFill>
              <w14:schemeClr w14:val="tx1"/>
            </w14:solidFill>
          </w14:textFill>
        </w:rPr>
        <w:t xml:space="preserve">  3</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社会保障和就业支出（类）行政事业单位养老支出（款）机关事业单位职业年金缴费支出（项）。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 xml:space="preserve">   4</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卫生健康支出（类）行政事业单位医疗（款）事业单位医疗（项）。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 xml:space="preserve">   5</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卫生健康支出（类）行政事业单位医疗（款）公务员医疗补助（项）。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 xml:space="preserve">   6</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住房保障支出（类）住房改革支出（款）住房公积金（项）。</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000000" w:themeColor="text1"/>
          <w14:textFill>
            <w14:solidFill>
              <w14:schemeClr w14:val="tx1"/>
            </w14:solidFill>
          </w14:textFill>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C8E7624"/>
    <w:rsid w:val="0FC80124"/>
    <w:rsid w:val="136F98C7"/>
    <w:rsid w:val="17427E68"/>
    <w:rsid w:val="1755065F"/>
    <w:rsid w:val="1AFC29C9"/>
    <w:rsid w:val="1CA52F2E"/>
    <w:rsid w:val="1E3630B9"/>
    <w:rsid w:val="26EEC2B5"/>
    <w:rsid w:val="29472309"/>
    <w:rsid w:val="2B406E77"/>
    <w:rsid w:val="2C2A0C43"/>
    <w:rsid w:val="2D1E73A5"/>
    <w:rsid w:val="301055E6"/>
    <w:rsid w:val="32717154"/>
    <w:rsid w:val="349958CA"/>
    <w:rsid w:val="34B63260"/>
    <w:rsid w:val="37FDA7E2"/>
    <w:rsid w:val="3A314D88"/>
    <w:rsid w:val="3A746883"/>
    <w:rsid w:val="3BCA22C4"/>
    <w:rsid w:val="3CA15DE9"/>
    <w:rsid w:val="3FE61EE5"/>
    <w:rsid w:val="406508EE"/>
    <w:rsid w:val="408D6263"/>
    <w:rsid w:val="41B40CEE"/>
    <w:rsid w:val="48317291"/>
    <w:rsid w:val="485F7024"/>
    <w:rsid w:val="48E70666"/>
    <w:rsid w:val="4C6877E5"/>
    <w:rsid w:val="4D6A468D"/>
    <w:rsid w:val="4EA86137"/>
    <w:rsid w:val="52F13DC6"/>
    <w:rsid w:val="561D0D8A"/>
    <w:rsid w:val="56CA7FD0"/>
    <w:rsid w:val="57FA38D1"/>
    <w:rsid w:val="5F7D3333"/>
    <w:rsid w:val="61385890"/>
    <w:rsid w:val="65F500A7"/>
    <w:rsid w:val="687436E1"/>
    <w:rsid w:val="6DA45C50"/>
    <w:rsid w:val="6E9A7825"/>
    <w:rsid w:val="6F670F9B"/>
    <w:rsid w:val="737450E0"/>
    <w:rsid w:val="74054476"/>
    <w:rsid w:val="742F38C4"/>
    <w:rsid w:val="74AB66DC"/>
    <w:rsid w:val="74C4154C"/>
    <w:rsid w:val="75956FFF"/>
    <w:rsid w:val="77AA2D01"/>
    <w:rsid w:val="7AF461DF"/>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5628</Words>
  <Characters>6204</Characters>
  <Lines>67</Lines>
  <Paragraphs>18</Paragraphs>
  <TotalTime>3</TotalTime>
  <ScaleCrop>false</ScaleCrop>
  <LinksUpToDate>false</LinksUpToDate>
  <CharactersWithSpaces>6286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2025-10-27T01:20:59Z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eyJoZGlkIjoiY2EwNWQxOTVlMmQ2Y2E4ZWQ1MWVkMzM5MGVlZGNjNmIifQ==</vt:lpwstr>
  </property>
</Properties>
</file>