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常州市武进区机关幼儿园教育集团屯昌实验</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幼儿园2024年度</w:t>
      </w: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w:t>
      </w:r>
      <w:bookmarkStart w:id="121" w:name="_GoBack"/>
      <w:bookmarkEnd w:id="121"/>
      <w:r>
        <w:rPr>
          <w:rFonts w:hint="eastAsia" w:ascii="方正小标宋_GBK" w:hAnsi="方正小标宋_GBK" w:eastAsia="方正小标宋_GBK" w:cs="方正小标宋_GBK"/>
          <w:b w:val="0"/>
          <w:bCs w:val="0"/>
          <w:sz w:val="44"/>
          <w:szCs w:val="44"/>
        </w:rPr>
        <w:t>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3465_WPSOffice_Level1"/>
      <w:bookmarkStart w:id="3" w:name="_Toc10049_WPSOffice_Level1"/>
      <w:bookmarkStart w:id="4" w:name="_Toc22941_WPSOffice_Level1"/>
      <w:bookmarkStart w:id="5" w:name="_Toc10720_WPSOffice_Level1"/>
      <w:bookmarkStart w:id="6" w:name="_Toc32433_WPSOffice_Level1"/>
      <w:bookmarkStart w:id="7" w:name="_Toc1704_WPSOffice_Level1"/>
      <w:bookmarkStart w:id="8" w:name="_Toc24238_WPSOffice_Level2"/>
      <w:bookmarkStart w:id="9" w:name="_Toc14159_WPSOffice_Level2"/>
      <w:bookmarkStart w:id="10" w:name="_Toc32622_WPSOffice_Level2"/>
      <w:bookmarkStart w:id="11" w:name="_Toc26580_WPSOffice_Level2"/>
      <w:bookmarkStart w:id="12" w:name="_Toc20274_WPSOffice_Level2"/>
      <w:bookmarkStart w:id="13" w:name="_Toc2020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单位</w:t>
      </w:r>
      <w:r>
        <w:rPr>
          <w:rFonts w:hint="eastAsia" w:ascii="黑体" w:hAnsi="黑体" w:eastAsia="黑体" w:cs="黑体"/>
          <w:sz w:val="32"/>
          <w:szCs w:val="32"/>
        </w:rPr>
        <w:t>职责</w:t>
      </w:r>
      <w:bookmarkEnd w:id="9"/>
      <w:bookmarkEnd w:id="10"/>
      <w:bookmarkEnd w:id="11"/>
      <w:bookmarkEnd w:id="12"/>
      <w:bookmarkEnd w:id="13"/>
    </w:p>
    <w:p>
      <w:pPr>
        <w:pStyle w:val="18"/>
        <w:keepNext w:val="0"/>
        <w:keepLines w:val="0"/>
        <w:widowControl/>
        <w:numPr>
          <w:ilvl w:val="0"/>
          <w:numId w:val="3"/>
        </w:numPr>
        <w:suppressLineNumbers w:val="0"/>
        <w:ind w:left="420" w:leftChars="200" w:firstLine="0" w:firstLineChars="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认真贯彻执行《幼儿园工作规程》，结合本班幼儿的特点和个体差异及时制定好各类教育工作计划，并认真实施，有计划有步骤地开展班级保教工作。</w:t>
      </w:r>
    </w:p>
    <w:p>
      <w:pPr>
        <w:pStyle w:val="18"/>
        <w:keepNext w:val="0"/>
        <w:keepLines w:val="0"/>
        <w:widowControl/>
        <w:numPr>
          <w:ilvl w:val="0"/>
          <w:numId w:val="3"/>
        </w:numPr>
        <w:suppressLineNumbers w:val="0"/>
        <w:ind w:left="420" w:leftChars="200" w:firstLine="0" w:firstLineChars="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树立正确的儿童观、教育观，热爱幼儿、尊重幼儿，对幼儿做到关心、细心、耐心，不偏爱，坚持正面教育，严禁体罚和变相体罚。</w:t>
      </w:r>
    </w:p>
    <w:p>
      <w:pPr>
        <w:pStyle w:val="18"/>
        <w:keepNext w:val="0"/>
        <w:keepLines w:val="0"/>
        <w:widowControl/>
        <w:numPr>
          <w:ilvl w:val="0"/>
          <w:numId w:val="3"/>
        </w:numPr>
        <w:suppressLineNumbers w:val="0"/>
        <w:ind w:left="420" w:leftChars="200" w:firstLine="0" w:firstLineChars="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认真及时制订教育活动计划，钻研教材，研究教法，引导幼儿主动学习。观察、分析并记录幼儿发展情况，因材施教。</w:t>
      </w:r>
    </w:p>
    <w:p>
      <w:pPr>
        <w:pStyle w:val="18"/>
        <w:keepNext w:val="0"/>
        <w:keepLines w:val="0"/>
        <w:widowControl/>
        <w:numPr>
          <w:ilvl w:val="0"/>
          <w:numId w:val="3"/>
        </w:numPr>
        <w:suppressLineNumbers w:val="0"/>
        <w:ind w:left="420" w:leftChars="200" w:firstLine="0" w:firstLineChars="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科学、合理地安排幼儿一日活动，认真执行幼儿园各项教育常规及幼儿园安全、卫生保健制度。定期进行总结，不断提高工作质量。</w:t>
      </w:r>
    </w:p>
    <w:p>
      <w:pPr>
        <w:pStyle w:val="18"/>
        <w:keepNext w:val="0"/>
        <w:keepLines w:val="0"/>
        <w:widowControl/>
        <w:numPr>
          <w:ilvl w:val="0"/>
          <w:numId w:val="3"/>
        </w:numPr>
        <w:suppressLineNumbers w:val="0"/>
        <w:ind w:left="420" w:leftChars="200" w:firstLine="0" w:firstLineChars="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进班前，必须做好一切准备工作，带班时精力集中，尽心尽责，不随便离开班级，密切关注幼儿的活动及需求，及时提供适当的指导。注意幼儿安全，预防事故发生。</w:t>
      </w:r>
    </w:p>
    <w:p>
      <w:pPr>
        <w:pStyle w:val="18"/>
        <w:keepNext w:val="0"/>
        <w:keepLines w:val="0"/>
        <w:widowControl/>
        <w:numPr>
          <w:ilvl w:val="0"/>
          <w:numId w:val="3"/>
        </w:numPr>
        <w:suppressLineNumbers w:val="0"/>
        <w:ind w:left="420" w:leftChars="200" w:firstLine="0" w:firstLineChars="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努力学习幼教专业理论，积极参加教育研究和各种业务进修学习，勇于改革、创新，不断提高自身的业务素质。</w:t>
      </w:r>
    </w:p>
    <w:p>
      <w:pPr>
        <w:pStyle w:val="18"/>
        <w:keepNext w:val="0"/>
        <w:keepLines w:val="0"/>
        <w:widowControl/>
        <w:numPr>
          <w:ilvl w:val="0"/>
          <w:numId w:val="3"/>
        </w:numPr>
        <w:suppressLineNumbers w:val="0"/>
        <w:ind w:left="420" w:leftChars="200" w:firstLine="0" w:firstLineChars="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根据教育内容，定期更换、精心布置体现幼儿主体地位的活动室环境，为区域活动提供符合本班幼儿发展水平、操作心强、卫生、丰富的玩具和材料。管理好班内一切物品不受损失，保持班内环境、物品的整洁，做好保管区内的清洁工作。</w:t>
      </w:r>
    </w:p>
    <w:p>
      <w:pPr>
        <w:pStyle w:val="18"/>
        <w:keepNext w:val="0"/>
        <w:keepLines w:val="0"/>
        <w:widowControl/>
        <w:numPr>
          <w:ilvl w:val="0"/>
          <w:numId w:val="3"/>
        </w:numPr>
        <w:suppressLineNumbers w:val="0"/>
        <w:ind w:left="420" w:leftChars="200" w:firstLine="0" w:firstLineChars="0"/>
        <w:jc w:val="left"/>
        <w:rPr>
          <w:rFonts w:hint="eastAsia" w:ascii="黑体" w:hAnsi="黑体" w:eastAsia="黑体" w:cs="黑体"/>
          <w:sz w:val="32"/>
          <w:szCs w:val="32"/>
        </w:rPr>
      </w:pPr>
      <w:r>
        <w:rPr>
          <w:rFonts w:hint="eastAsia" w:ascii="仿宋_GB2312" w:hAnsi="仿宋_GB2312" w:eastAsia="仿宋_GB2312" w:cs="仿宋_GB2312"/>
          <w:color w:val="auto"/>
          <w:kern w:val="0"/>
          <w:sz w:val="32"/>
          <w:szCs w:val="32"/>
        </w:rPr>
        <w:t>认真做好家长工作，定时和每个幼儿家长保持联系，了解幼儿家庭教育情况，和家长商议符合幼儿特点的教育措施，共同配合完成教育工作。</w:t>
      </w:r>
    </w:p>
    <w:p>
      <w:pPr>
        <w:spacing w:line="578" w:lineRule="exact"/>
        <w:ind w:firstLine="640" w:firstLineChars="200"/>
        <w:rPr>
          <w:rFonts w:hint="eastAsia" w:ascii="黑体" w:hAnsi="黑体" w:eastAsia="黑体" w:cs="黑体"/>
          <w:sz w:val="32"/>
          <w:szCs w:val="32"/>
        </w:rPr>
      </w:pPr>
      <w:bookmarkStart w:id="14" w:name="_Toc6572_WPSOffice_Level2"/>
      <w:bookmarkStart w:id="15" w:name="_Toc4833_WPSOffice_Level2"/>
      <w:bookmarkStart w:id="16" w:name="_Toc24474_WPSOffice_Level2"/>
      <w:bookmarkStart w:id="17" w:name="_Toc17796_WPSOffice_Level2"/>
      <w:bookmarkStart w:id="18" w:name="_Toc24059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纳入常州市武进区机关幼儿园教育集团屯昌实验幼儿园</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决算编制范围的单位共</w:t>
      </w:r>
      <w:r>
        <w:rPr>
          <w:rFonts w:hint="eastAsia" w:ascii="仿宋_GB2312" w:hAnsi="ˎ̥" w:eastAsia="仿宋_GB2312"/>
          <w:color w:val="000000" w:themeColor="text1"/>
          <w:sz w:val="32"/>
          <w:szCs w:val="32"/>
          <w:lang w:val="en-US" w:eastAsia="zh-CN"/>
          <w14:textFill>
            <w14:solidFill>
              <w14:schemeClr w14:val="tx1"/>
            </w14:solidFill>
          </w14:textFill>
        </w:rPr>
        <w:t>1</w:t>
      </w:r>
      <w:r>
        <w:rPr>
          <w:rFonts w:hint="eastAsia" w:ascii="仿宋_GB2312" w:hAnsi="ˎ̥" w:eastAsia="仿宋_GB2312"/>
          <w:color w:val="000000" w:themeColor="text1"/>
          <w:sz w:val="32"/>
          <w:szCs w:val="32"/>
          <w14:textFill>
            <w14:solidFill>
              <w14:schemeClr w14:val="tx1"/>
            </w14:solidFill>
          </w14:textFill>
        </w:rPr>
        <w:t>个，包括：</w:t>
      </w:r>
      <w:bookmarkStart w:id="19" w:name="_Toc24421_WPSOffice_Level2"/>
      <w:bookmarkStart w:id="20" w:name="_Toc25738_WPSOffice_Level2"/>
      <w:r>
        <w:rPr>
          <w:rFonts w:hint="eastAsia" w:ascii="仿宋_GB2312" w:hAnsi="仿宋_GB2312" w:eastAsia="仿宋_GB2312" w:cs="仿宋_GB2312"/>
          <w:color w:val="000000" w:themeColor="text1"/>
          <w:sz w:val="32"/>
          <w:szCs w:val="32"/>
          <w14:textFill>
            <w14:solidFill>
              <w14:schemeClr w14:val="tx1"/>
            </w14:solidFill>
          </w14:textFill>
        </w:rPr>
        <w:t>常州市武进区机关幼儿园教育集团屯昌实验幼儿园本级</w:t>
      </w:r>
      <w:bookmarkEnd w:id="19"/>
      <w:bookmarkEnd w:id="20"/>
    </w:p>
    <w:p>
      <w:pPr>
        <w:spacing w:line="578" w:lineRule="exact"/>
        <w:jc w:val="center"/>
        <w:rPr>
          <w:rFonts w:hint="eastAsia" w:ascii="黑体" w:hAnsi="ˎ̥" w:eastAsia="黑体"/>
          <w:color w:val="000000" w:themeColor="text1"/>
          <w:sz w:val="32"/>
          <w:szCs w:val="32"/>
          <w14:textFill>
            <w14:solidFill>
              <w14:schemeClr w14:val="tx1"/>
            </w14:solidFill>
          </w14:textFill>
        </w:rPr>
      </w:pPr>
      <w:bookmarkStart w:id="21" w:name="_Toc8164_WPSOffice_Level1"/>
      <w:bookmarkStart w:id="22" w:name="_Toc30451_WPSOffice_Level1"/>
      <w:bookmarkStart w:id="23" w:name="_Toc15521_WPSOffice_Level1"/>
      <w:bookmarkStart w:id="24" w:name="_Toc28253_WPSOffice_Level1"/>
      <w:bookmarkStart w:id="25" w:name="_Toc6234_WPSOffice_Level1"/>
      <w:bookmarkStart w:id="26" w:name="_Toc30690_WPSOffice_Level1"/>
      <w:bookmarkStart w:id="27" w:name="_Toc11518_WPSOffice_Level2"/>
      <w:bookmarkStart w:id="28" w:name="_Toc6211_WPSOffice_Level2"/>
      <w:bookmarkStart w:id="29" w:name="_Toc32695_WPSOffice_Level2"/>
      <w:bookmarkStart w:id="30" w:name="_Toc32472_WPSOffice_Level2"/>
      <w:bookmarkStart w:id="31" w:name="_Toc4029_WPSOffice_Level2"/>
      <w:bookmarkStart w:id="32" w:name="_Toc8867_WPSOffice_Level2"/>
    </w:p>
    <w:p>
      <w:pPr>
        <w:spacing w:line="578" w:lineRule="exact"/>
        <w:jc w:val="center"/>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 xml:space="preserve">第二部分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w:t>
      </w:r>
      <w:r>
        <w:rPr>
          <w:rFonts w:hint="eastAsia" w:ascii="黑体" w:hAnsi="ˎ̥" w:eastAsia="黑体"/>
          <w:color w:val="000000" w:themeColor="text1"/>
          <w:sz w:val="32"/>
          <w:szCs w:val="32"/>
          <w:lang w:eastAsia="zh-CN"/>
          <w14:textFill>
            <w14:solidFill>
              <w14:schemeClr w14:val="tx1"/>
            </w14:solidFill>
          </w14:textFill>
        </w:rPr>
        <w:t>单位</w:t>
      </w:r>
      <w:r>
        <w:rPr>
          <w:rFonts w:hint="eastAsia" w:ascii="黑体" w:hAnsi="ˎ̥" w:eastAsia="黑体"/>
          <w:color w:val="000000" w:themeColor="text1"/>
          <w:sz w:val="32"/>
          <w:szCs w:val="32"/>
          <w14:textFill>
            <w14:solidFill>
              <w14:schemeClr w14:val="tx1"/>
            </w14:solidFill>
          </w14:textFill>
        </w:rPr>
        <w:t>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bookmarkStart w:id="33" w:name="_Toc23139_WPSOffice_Level2"/>
      <w:bookmarkStart w:id="34" w:name="_Toc30334_WPSOffice_Level2"/>
      <w:bookmarkStart w:id="35" w:name="_Toc14349_WPSOffice_Level2"/>
      <w:bookmarkStart w:id="36" w:name="_Toc28622_WPSOffice_Level2"/>
      <w:bookmarkStart w:id="37" w:name="_Toc26621_WPSOffice_Level2"/>
      <w:bookmarkStart w:id="38" w:name="_Toc25608_WPSOffice_Level2"/>
      <w:r>
        <w:rPr>
          <w:rFonts w:hint="eastAsia" w:ascii="黑体" w:hAnsi="黑体" w:eastAsia="黑体" w:cs="黑体"/>
          <w:color w:val="000000" w:themeColor="text1"/>
          <w:sz w:val="32"/>
          <w:szCs w:val="32"/>
          <w14:textFill>
            <w14:solidFill>
              <w14:schemeClr w14:val="tx1"/>
            </w14:solidFill>
          </w14:textFill>
        </w:rPr>
        <w:t>二、收入决算公开表</w:t>
      </w:r>
      <w:bookmarkEnd w:id="33"/>
      <w:bookmarkEnd w:id="34"/>
      <w:bookmarkEnd w:id="35"/>
      <w:bookmarkEnd w:id="36"/>
      <w:bookmarkEnd w:id="37"/>
      <w:bookmarkEnd w:id="38"/>
      <w:bookmarkStart w:id="39" w:name="_Toc17626_WPSOffice_Level2"/>
      <w:bookmarkStart w:id="40" w:name="_Toc13854_WPSOffice_Level2"/>
      <w:bookmarkStart w:id="41" w:name="_Toc17858_WPSOffice_Level2"/>
      <w:bookmarkStart w:id="42" w:name="_Toc14658_WPSOffice_Level2"/>
      <w:bookmarkStart w:id="43" w:name="_Toc5489_WPSOffice_Level2"/>
      <w:bookmarkStart w:id="44" w:name="_Toc3262_WPSOffice_Level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三、支出决算公开表</w:t>
      </w:r>
      <w:bookmarkEnd w:id="39"/>
      <w:bookmarkEnd w:id="40"/>
      <w:bookmarkEnd w:id="41"/>
      <w:bookmarkEnd w:id="42"/>
      <w:bookmarkEnd w:id="43"/>
      <w:bookmarkEnd w:id="44"/>
      <w:bookmarkStart w:id="45" w:name="_Toc7988_WPSOffice_Level2"/>
      <w:bookmarkStart w:id="46" w:name="_Toc23591_WPSOffice_Level2"/>
      <w:bookmarkStart w:id="47" w:name="_Toc4265_WPSOffice_Level2"/>
      <w:bookmarkStart w:id="48" w:name="_Toc23493_WPSOffice_Level2"/>
      <w:bookmarkStart w:id="49" w:name="_Toc21415_WPSOffice_Level2"/>
      <w:bookmarkStart w:id="50" w:name="_Toc13701_WPSOffice_Level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bookmarkStart w:id="51" w:name="_Toc23829_WPSOffice_Level2"/>
      <w:bookmarkStart w:id="52" w:name="_Toc7879_WPSOffice_Level2"/>
      <w:bookmarkStart w:id="53" w:name="_Toc25166_WPSOffice_Level2"/>
      <w:bookmarkStart w:id="54" w:name="_Toc22783_WPSOffice_Level2"/>
      <w:bookmarkStart w:id="55" w:name="_Toc2158_WPSOffice_Level2"/>
      <w:bookmarkStart w:id="56" w:name="_Toc13516_WPSOffice_Level2"/>
      <w:r>
        <w:rPr>
          <w:rFonts w:hint="eastAsia" w:ascii="黑体" w:hAnsi="黑体" w:eastAsia="黑体" w:cs="黑体"/>
          <w:color w:val="000000" w:themeColor="text1"/>
          <w:sz w:val="32"/>
          <w:szCs w:val="32"/>
          <w14:textFill>
            <w14:solidFill>
              <w14:schemeClr w14:val="tx1"/>
            </w14:solidFill>
          </w14:textFill>
        </w:rPr>
        <w:t>五、一般公共预算财政拨款收入支出决算</w:t>
      </w:r>
      <w:bookmarkEnd w:id="51"/>
      <w:bookmarkEnd w:id="52"/>
      <w:bookmarkEnd w:id="53"/>
      <w:bookmarkEnd w:id="54"/>
      <w:r>
        <w:rPr>
          <w:rFonts w:hint="eastAsia" w:ascii="黑体" w:hAnsi="黑体" w:eastAsia="黑体" w:cs="黑体"/>
          <w:color w:val="000000" w:themeColor="text1"/>
          <w:sz w:val="32"/>
          <w:szCs w:val="32"/>
          <w14:textFill>
            <w14:solidFill>
              <w14:schemeClr w14:val="tx1"/>
            </w14:solidFill>
          </w14:textFill>
        </w:rPr>
        <w:t>公开表</w:t>
      </w:r>
      <w:bookmarkEnd w:id="55"/>
      <w:bookmarkEnd w:id="56"/>
      <w:bookmarkStart w:id="57" w:name="_Toc17833_WPSOffice_Level2"/>
      <w:bookmarkStart w:id="58" w:name="_Toc2632_WPSOffice_Level2"/>
      <w:bookmarkStart w:id="59" w:name="_Toc8373_WPSOffice_Level2"/>
      <w:bookmarkStart w:id="60" w:name="_Toc17283_WPSOffice_Level2"/>
      <w:bookmarkStart w:id="61" w:name="_Toc25362_WPSOffice_Level2"/>
      <w:bookmarkStart w:id="62" w:name="_Toc5343_WPSOffice_Level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六、一般公共预算财政拨款基本支出决算</w:t>
      </w:r>
      <w:bookmarkEnd w:id="57"/>
      <w:bookmarkEnd w:id="58"/>
      <w:bookmarkEnd w:id="59"/>
      <w:bookmarkEnd w:id="60"/>
      <w:bookmarkEnd w:id="61"/>
      <w:bookmarkEnd w:id="62"/>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left="1118" w:leftChars="304" w:hanging="480" w:hangingChars="150"/>
        <w:rPr>
          <w:rFonts w:hint="eastAsia" w:ascii="黑体" w:hAnsi="黑体" w:eastAsia="黑体" w:cs="黑体"/>
          <w:color w:val="000000" w:themeColor="text1"/>
          <w:sz w:val="32"/>
          <w:szCs w:val="32"/>
          <w14:textFill>
            <w14:solidFill>
              <w14:schemeClr w14:val="tx1"/>
            </w14:solidFill>
          </w14:textFill>
        </w:rPr>
      </w:pPr>
      <w:bookmarkStart w:id="63" w:name="_Toc5594_WPSOffice_Level2"/>
      <w:bookmarkStart w:id="64" w:name="_Toc21310_WPSOffice_Level2"/>
      <w:bookmarkStart w:id="65" w:name="_Toc1533_WPSOffice_Level2"/>
      <w:bookmarkStart w:id="66" w:name="_Toc13345_WPSOffice_Level2"/>
      <w:bookmarkStart w:id="67" w:name="_Toc6020_WPSOffice_Level2"/>
      <w:bookmarkStart w:id="68" w:name="_Toc11799_WPSOffice_Level2"/>
      <w:r>
        <w:rPr>
          <w:rFonts w:hint="eastAsia" w:ascii="黑体" w:hAnsi="黑体" w:eastAsia="黑体" w:cs="黑体"/>
          <w:color w:val="000000" w:themeColor="text1"/>
          <w:sz w:val="32"/>
          <w:szCs w:val="32"/>
          <w14:textFill>
            <w14:solidFill>
              <w14:schemeClr w14:val="tx1"/>
            </w14:solidFill>
          </w14:textFill>
        </w:rPr>
        <w:t>七、政府性基金预算财政拨款收入支出决算</w:t>
      </w:r>
      <w:bookmarkEnd w:id="63"/>
      <w:bookmarkEnd w:id="64"/>
      <w:bookmarkEnd w:id="65"/>
      <w:bookmarkEnd w:id="66"/>
      <w:bookmarkEnd w:id="67"/>
      <w:bookmarkEnd w:id="68"/>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left="1118" w:leftChars="304" w:hanging="480" w:hangingChars="15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八、国有资本经营预算财政拨款收入支出决算公开表</w:t>
      </w:r>
    </w:p>
    <w:p>
      <w:pPr>
        <w:spacing w:line="578" w:lineRule="exact"/>
        <w:ind w:firstLine="640"/>
        <w:rPr>
          <w:rFonts w:hint="eastAsia" w:ascii="黑体" w:hAnsi="黑体" w:eastAsia="黑体" w:cs="黑体"/>
          <w:color w:val="000000" w:themeColor="text1"/>
          <w:sz w:val="32"/>
          <w:szCs w:val="32"/>
          <w14:textFill>
            <w14:solidFill>
              <w14:schemeClr w14:val="tx1"/>
            </w14:solidFill>
          </w14:textFill>
        </w:rPr>
      </w:pPr>
      <w:bookmarkStart w:id="69" w:name="_Toc29886_WPSOffice_Level2"/>
      <w:bookmarkStart w:id="70" w:name="_Toc9377_WPSOffice_Level2"/>
      <w:bookmarkStart w:id="71" w:name="_Toc19961_WPSOffice_Level2"/>
      <w:bookmarkStart w:id="72" w:name="_Toc1820_WPSOffice_Level2"/>
      <w:r>
        <w:rPr>
          <w:rFonts w:hint="eastAsia" w:ascii="黑体" w:hAnsi="黑体" w:eastAsia="黑体" w:cs="黑体"/>
          <w:color w:val="000000" w:themeColor="text1"/>
          <w:sz w:val="32"/>
          <w:szCs w:val="32"/>
          <w14:textFill>
            <w14:solidFill>
              <w14:schemeClr w14:val="tx1"/>
            </w14:solidFill>
          </w14:textFill>
        </w:rPr>
        <w:t>九、财政拨款“三公”经费支出决算</w:t>
      </w:r>
      <w:bookmarkEnd w:id="69"/>
      <w:bookmarkEnd w:id="70"/>
      <w:bookmarkEnd w:id="71"/>
      <w:bookmarkEnd w:id="72"/>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firstLine="640"/>
        <w:rPr>
          <w:rFonts w:hint="eastAsia" w:ascii="仿宋" w:hAnsi="仿宋" w:eastAsia="仿宋" w:cs="仿宋"/>
          <w:color w:val="000000" w:themeColor="text1"/>
          <w:w w:val="100"/>
          <w:sz w:val="32"/>
          <w:szCs w:val="32"/>
          <w14:textFill>
            <w14:solidFill>
              <w14:schemeClr w14:val="tx1"/>
            </w14:solidFill>
          </w14:textFill>
        </w:rPr>
      </w:pPr>
      <w:r>
        <w:rPr>
          <w:rFonts w:hint="eastAsia" w:ascii="仿宋" w:hAnsi="仿宋" w:eastAsia="仿宋" w:cs="仿宋"/>
          <w:color w:val="000000" w:themeColor="text1"/>
          <w:w w:val="100"/>
          <w:sz w:val="32"/>
          <w:szCs w:val="32"/>
          <w14:textFill>
            <w14:solidFill>
              <w14:schemeClr w14:val="tx1"/>
            </w14:solidFill>
          </w14:textFill>
        </w:rPr>
        <w:t xml:space="preserve">以上报表见附件1。   </w:t>
      </w:r>
    </w:p>
    <w:p>
      <w:pPr>
        <w:spacing w:line="578" w:lineRule="exact"/>
        <w:rPr>
          <w:rFonts w:hint="eastAsia" w:ascii="黑体" w:hAnsi="黑体" w:eastAsia="黑体" w:cs="黑体"/>
          <w:color w:val="000000" w:themeColor="text1"/>
          <w:sz w:val="32"/>
          <w:szCs w:val="32"/>
          <w14:textFill>
            <w14:solidFill>
              <w14:schemeClr w14:val="tx1"/>
            </w14:solidFill>
          </w14:textFill>
        </w:rPr>
      </w:pPr>
    </w:p>
    <w:p>
      <w:pPr>
        <w:spacing w:line="578" w:lineRule="exact"/>
        <w:jc w:val="center"/>
        <w:rPr>
          <w:rFonts w:hint="eastAsia" w:ascii="黑体" w:hAnsi="ˎ̥" w:eastAsia="黑体"/>
          <w:color w:val="000000" w:themeColor="text1"/>
          <w:sz w:val="32"/>
          <w:szCs w:val="32"/>
          <w14:textFill>
            <w14:solidFill>
              <w14:schemeClr w14:val="tx1"/>
            </w14:solidFill>
          </w14:textFill>
        </w:rPr>
      </w:pPr>
      <w:bookmarkStart w:id="73" w:name="_Toc29683_WPSOffice_Level1"/>
      <w:bookmarkStart w:id="74" w:name="_Toc4402_WPSOffice_Level1"/>
      <w:bookmarkStart w:id="75" w:name="_Toc28629_WPSOffice_Level1"/>
      <w:bookmarkStart w:id="76" w:name="_Toc16686_WPSOffice_Level1"/>
      <w:bookmarkStart w:id="77" w:name="_Toc27590_WPSOffice_Level1"/>
      <w:bookmarkStart w:id="78" w:name="_Toc31264_WPSOffice_Level1"/>
      <w:r>
        <w:rPr>
          <w:rFonts w:hint="eastAsia" w:ascii="黑体" w:hAnsi="ˎ̥" w:eastAsia="黑体"/>
          <w:color w:val="000000" w:themeColor="text1"/>
          <w:sz w:val="32"/>
          <w:szCs w:val="32"/>
          <w14:textFill>
            <w14:solidFill>
              <w14:schemeClr w14:val="tx1"/>
            </w14:solidFill>
          </w14:textFill>
        </w:rPr>
        <w:t xml:space="preserve">第三部分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w:t>
      </w:r>
      <w:r>
        <w:rPr>
          <w:rFonts w:hint="eastAsia" w:ascii="黑体" w:hAnsi="ˎ̥" w:eastAsia="黑体"/>
          <w:color w:val="000000" w:themeColor="text1"/>
          <w:sz w:val="32"/>
          <w:szCs w:val="32"/>
          <w:lang w:eastAsia="zh-CN"/>
          <w14:textFill>
            <w14:solidFill>
              <w14:schemeClr w14:val="tx1"/>
            </w14:solidFill>
          </w14:textFill>
        </w:rPr>
        <w:t>单位</w:t>
      </w:r>
      <w:r>
        <w:rPr>
          <w:rFonts w:hint="eastAsia" w:ascii="黑体" w:hAnsi="ˎ̥" w:eastAsia="黑体"/>
          <w:color w:val="000000" w:themeColor="text1"/>
          <w:sz w:val="32"/>
          <w:szCs w:val="32"/>
          <w14:textFill>
            <w14:solidFill>
              <w14:schemeClr w14:val="tx1"/>
            </w14:solidFill>
          </w14:textFill>
        </w:rPr>
        <w:t>决算情况说明</w:t>
      </w:r>
      <w:bookmarkEnd w:id="73"/>
      <w:bookmarkEnd w:id="74"/>
      <w:bookmarkEnd w:id="75"/>
      <w:bookmarkEnd w:id="76"/>
      <w:bookmarkEnd w:id="77"/>
      <w:bookmarkEnd w:id="78"/>
    </w:p>
    <w:p>
      <w:pPr>
        <w:spacing w:line="578" w:lineRule="exact"/>
        <w:ind w:firstLine="640" w:firstLineChars="200"/>
        <w:rPr>
          <w:rFonts w:ascii="仿宋_GB2312" w:hAnsi="ˎ̥" w:eastAsia="仿宋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一、收入支出总体情况说明</w:t>
      </w:r>
      <w:r>
        <w:rPr>
          <w:rFonts w:hint="eastAsia" w:ascii="黑体" w:hAnsi="黑体" w:eastAsia="黑体" w:cs="黑体"/>
          <w:bCs/>
          <w:color w:val="000000" w:themeColor="text1"/>
          <w:sz w:val="32"/>
          <w:szCs w:val="32"/>
          <w14:textFill>
            <w14:solidFill>
              <w14:schemeClr w14:val="tx1"/>
            </w14:solidFill>
          </w14:textFill>
        </w:rPr>
        <w:br w:type="textWrapping"/>
      </w:r>
      <w:r>
        <w:rPr>
          <w:rFonts w:hint="eastAsia" w:ascii="楷体_GB2312" w:hAnsi="ˎ̥" w:eastAsia="楷体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年度收入总计</w:t>
      </w:r>
      <w:r>
        <w:rPr>
          <w:rFonts w:hint="default" w:ascii="仿宋_GB2312" w:hAnsi="ˎ̥" w:eastAsia="仿宋_GB2312"/>
          <w:color w:val="000000" w:themeColor="text1"/>
          <w:sz w:val="32"/>
          <w:szCs w:val="32"/>
          <w:lang w:val="en-US"/>
          <w14:textFill>
            <w14:solidFill>
              <w14:schemeClr w14:val="tx1"/>
            </w14:solidFill>
          </w14:textFill>
        </w:rPr>
        <w:t>1,154.71</w:t>
      </w:r>
      <w:r>
        <w:rPr>
          <w:rFonts w:hint="eastAsia" w:ascii="仿宋_GB2312" w:hAnsi="ˎ̥" w:eastAsia="仿宋_GB2312"/>
          <w:color w:val="000000" w:themeColor="text1"/>
          <w:sz w:val="32"/>
          <w:szCs w:val="32"/>
          <w14:textFill>
            <w14:solidFill>
              <w14:schemeClr w14:val="tx1"/>
            </w14:solidFill>
          </w14:textFill>
        </w:rPr>
        <w:t>万元，支出总计</w:t>
      </w:r>
      <w:r>
        <w:rPr>
          <w:rFonts w:hint="default" w:ascii="仿宋_GB2312" w:hAnsi="ˎ̥" w:eastAsia="仿宋_GB2312"/>
          <w:color w:val="000000" w:themeColor="text1"/>
          <w:sz w:val="32"/>
          <w:szCs w:val="32"/>
          <w:lang w:val="en-US"/>
          <w14:textFill>
            <w14:solidFill>
              <w14:schemeClr w14:val="tx1"/>
            </w14:solidFill>
          </w14:textFill>
        </w:rPr>
        <w:t>1,154.71</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年度相比，收入、支出总计各增加</w:t>
      </w:r>
      <w:r>
        <w:rPr>
          <w:rFonts w:hint="eastAsia" w:ascii="仿宋_GB2312" w:hAnsi="ˎ̥" w:eastAsia="仿宋_GB2312"/>
          <w:color w:val="000000" w:themeColor="text1"/>
          <w:sz w:val="32"/>
          <w:szCs w:val="32"/>
          <w:lang w:val="en-US" w:eastAsia="zh-CN"/>
          <w14:textFill>
            <w14:solidFill>
              <w14:schemeClr w14:val="tx1"/>
            </w14:solidFill>
          </w14:textFill>
        </w:rPr>
        <w:t>41.85</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3.76</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主要</w:t>
      </w:r>
      <w:r>
        <w:rPr>
          <w:rFonts w:hint="eastAsia" w:ascii="仿宋_GB2312" w:hAnsi="ˎ̥" w:eastAsia="仿宋_GB2312"/>
          <w:color w:val="000000" w:themeColor="text1"/>
          <w:sz w:val="32"/>
          <w:szCs w:val="32"/>
          <w14:textFill>
            <w14:solidFill>
              <w14:schemeClr w14:val="tx1"/>
            </w14:solidFill>
          </w14:textFill>
        </w:rPr>
        <w:t>原因：</w:t>
      </w:r>
      <w:r>
        <w:rPr>
          <w:rFonts w:hint="default" w:ascii="仿宋_GB2312" w:hAnsi="ˎ̥" w:eastAsia="仿宋_GB2312" w:cs="仿宋_GB2312"/>
          <w:color w:val="000000" w:themeColor="text1"/>
          <w:kern w:val="0"/>
          <w:sz w:val="32"/>
          <w:szCs w:val="32"/>
          <w14:textFill>
            <w14:solidFill>
              <w14:schemeClr w14:val="tx1"/>
            </w14:solidFill>
          </w14:textFill>
        </w:rPr>
        <w:t>一是教育支出</w:t>
      </w:r>
      <w:r>
        <w:rPr>
          <w:rFonts w:hint="eastAsia" w:ascii="仿宋_GB2312" w:hAnsi="ˎ̥" w:eastAsia="仿宋_GB2312" w:cs="仿宋_GB2312"/>
          <w:color w:val="000000" w:themeColor="text1"/>
          <w:kern w:val="0"/>
          <w:sz w:val="32"/>
          <w:szCs w:val="32"/>
          <w:lang w:eastAsia="zh-CN"/>
          <w14:textFill>
            <w14:solidFill>
              <w14:schemeClr w14:val="tx1"/>
            </w14:solidFill>
          </w14:textFill>
        </w:rPr>
        <w:t>增加42.38</w:t>
      </w:r>
      <w:r>
        <w:rPr>
          <w:rFonts w:hint="default" w:ascii="仿宋_GB2312" w:hAnsi="ˎ̥" w:eastAsia="仿宋_GB2312" w:cs="仿宋_GB2312"/>
          <w:color w:val="000000" w:themeColor="text1"/>
          <w:kern w:val="0"/>
          <w:sz w:val="32"/>
          <w:szCs w:val="32"/>
          <w14:textFill>
            <w14:solidFill>
              <w14:schemeClr w14:val="tx1"/>
            </w14:solidFill>
          </w14:textFill>
        </w:rPr>
        <w:t>万元；二是社会保障和就业支出</w:t>
      </w:r>
      <w:r>
        <w:rPr>
          <w:rFonts w:hint="eastAsia" w:ascii="仿宋_GB2312" w:hAnsi="ˎ̥" w:eastAsia="仿宋_GB2312" w:cs="仿宋_GB2312"/>
          <w:color w:val="000000" w:themeColor="text1"/>
          <w:kern w:val="0"/>
          <w:sz w:val="32"/>
          <w:szCs w:val="32"/>
          <w:lang w:eastAsia="zh-CN"/>
          <w14:textFill>
            <w14:solidFill>
              <w14:schemeClr w14:val="tx1"/>
            </w14:solidFill>
          </w14:textFill>
        </w:rPr>
        <w:t>减少</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0.08</w:t>
      </w:r>
      <w:r>
        <w:rPr>
          <w:rFonts w:hint="default" w:ascii="仿宋_GB2312" w:hAnsi="ˎ̥" w:eastAsia="仿宋_GB2312" w:cs="仿宋_GB2312"/>
          <w:color w:val="000000" w:themeColor="text1"/>
          <w:kern w:val="0"/>
          <w:sz w:val="32"/>
          <w:szCs w:val="32"/>
          <w14:textFill>
            <w14:solidFill>
              <w14:schemeClr w14:val="tx1"/>
            </w14:solidFill>
          </w14:textFill>
        </w:rPr>
        <w:t>万元；三是卫生健康支出</w:t>
      </w:r>
      <w:r>
        <w:rPr>
          <w:rFonts w:hint="eastAsia" w:ascii="仿宋_GB2312" w:hAnsi="ˎ̥" w:eastAsia="仿宋_GB2312" w:cs="仿宋_GB2312"/>
          <w:color w:val="000000" w:themeColor="text1"/>
          <w:kern w:val="0"/>
          <w:sz w:val="32"/>
          <w:szCs w:val="32"/>
          <w:lang w:eastAsia="zh-CN"/>
          <w14:textFill>
            <w14:solidFill>
              <w14:schemeClr w14:val="tx1"/>
            </w14:solidFill>
          </w14:textFill>
        </w:rPr>
        <w:t>增加</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1.63</w:t>
      </w:r>
      <w:r>
        <w:rPr>
          <w:rFonts w:hint="default" w:ascii="仿宋_GB2312" w:hAnsi="ˎ̥" w:eastAsia="仿宋_GB2312" w:cs="仿宋_GB2312"/>
          <w:color w:val="000000" w:themeColor="text1"/>
          <w:kern w:val="0"/>
          <w:sz w:val="32"/>
          <w:szCs w:val="32"/>
          <w14:textFill>
            <w14:solidFill>
              <w14:schemeClr w14:val="tx1"/>
            </w14:solidFill>
          </w14:textFill>
        </w:rPr>
        <w:t>万元；四是住房保障支出</w:t>
      </w:r>
      <w:r>
        <w:rPr>
          <w:rFonts w:hint="eastAsia" w:ascii="仿宋_GB2312" w:hAnsi="ˎ̥" w:eastAsia="仿宋_GB2312" w:cs="仿宋_GB2312"/>
          <w:color w:val="000000" w:themeColor="text1"/>
          <w:kern w:val="0"/>
          <w:sz w:val="32"/>
          <w:szCs w:val="32"/>
          <w:lang w:eastAsia="zh-CN"/>
          <w14:textFill>
            <w14:solidFill>
              <w14:schemeClr w14:val="tx1"/>
            </w14:solidFill>
          </w14:textFill>
        </w:rPr>
        <w:t>减少</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4.99</w:t>
      </w:r>
      <w:r>
        <w:rPr>
          <w:rFonts w:hint="default" w:ascii="仿宋_GB2312" w:hAnsi="ˎ̥" w:eastAsia="仿宋_GB2312" w:cs="仿宋_GB2312"/>
          <w:color w:val="000000" w:themeColor="text1"/>
          <w:kern w:val="0"/>
          <w:sz w:val="32"/>
          <w:szCs w:val="32"/>
          <w14:textFill>
            <w14:solidFill>
              <w14:schemeClr w14:val="tx1"/>
            </w14:solidFill>
          </w14:textFill>
        </w:rPr>
        <w:t>万元</w:t>
      </w:r>
      <w:r>
        <w:rPr>
          <w:rFonts w:hint="eastAsia" w:ascii="仿宋_GB2312" w:hAnsi="ˎ̥" w:eastAsia="仿宋_GB2312" w:cs="仿宋_GB2312"/>
          <w:color w:val="000000" w:themeColor="text1"/>
          <w:kern w:val="0"/>
          <w:sz w:val="32"/>
          <w:szCs w:val="32"/>
          <w:lang w:eastAsia="zh-CN"/>
          <w14:textFill>
            <w14:solidFill>
              <w14:schemeClr w14:val="tx1"/>
            </w14:solidFill>
          </w14:textFill>
        </w:rPr>
        <w:t>；五是一般公共服务支出增加</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2.99万元</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w:t>
      </w:r>
      <w:r>
        <w:rPr>
          <w:rFonts w:ascii="楷体" w:hAnsi="楷体" w:eastAsia="楷体" w:cs="楷体"/>
          <w:color w:val="000000" w:themeColor="text1"/>
          <w:sz w:val="32"/>
          <w:szCs w:val="32"/>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收入</w:t>
      </w:r>
      <w:r>
        <w:rPr>
          <w:rFonts w:ascii="楷体" w:hAnsi="楷体" w:eastAsia="楷体" w:cs="楷体"/>
          <w:color w:val="000000" w:themeColor="text1"/>
          <w:sz w:val="32"/>
          <w:szCs w:val="32"/>
          <w14:textFill>
            <w14:solidFill>
              <w14:schemeClr w14:val="tx1"/>
            </w14:solidFill>
          </w14:textFill>
        </w:rPr>
        <w:t>总计</w:t>
      </w:r>
      <w:r>
        <w:rPr>
          <w:rFonts w:hint="eastAsia" w:ascii="楷体" w:hAnsi="楷体" w:eastAsia="楷体" w:cs="楷体"/>
          <w:color w:val="000000" w:themeColor="text1"/>
          <w:sz w:val="32"/>
          <w:szCs w:val="32"/>
          <w14:textFill>
            <w14:solidFill>
              <w14:schemeClr w14:val="tx1"/>
            </w14:solidFill>
          </w14:textFill>
        </w:rPr>
        <w:t>主要</w:t>
      </w:r>
      <w:r>
        <w:rPr>
          <w:rFonts w:ascii="楷体" w:hAnsi="楷体" w:eastAsia="楷体" w:cs="楷体"/>
          <w:color w:val="000000" w:themeColor="text1"/>
          <w:sz w:val="32"/>
          <w:szCs w:val="32"/>
          <w14:textFill>
            <w14:solidFill>
              <w14:schemeClr w14:val="tx1"/>
            </w14:solidFill>
          </w14:textFill>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w:t>
      </w:r>
      <w:r>
        <w:rPr>
          <w:rFonts w:ascii="仿宋_GB2312" w:hAnsi="ˎ̥" w:eastAsia="仿宋_GB2312"/>
          <w:color w:val="000000" w:themeColor="text1"/>
          <w:sz w:val="32"/>
          <w:szCs w:val="32"/>
          <w14:textFill>
            <w14:solidFill>
              <w14:schemeClr w14:val="tx1"/>
            </w14:solidFill>
          </w14:textFill>
        </w:rPr>
        <w:t>收入</w:t>
      </w:r>
      <w:r>
        <w:rPr>
          <w:rFonts w:hint="default" w:ascii="仿宋_GB2312" w:hAnsi="ˎ̥" w:eastAsia="仿宋_GB2312"/>
          <w:color w:val="000000" w:themeColor="text1"/>
          <w:sz w:val="32"/>
          <w:szCs w:val="32"/>
          <w:lang w:val="en-US"/>
          <w14:textFill>
            <w14:solidFill>
              <w14:schemeClr w14:val="tx1"/>
            </w14:solidFill>
          </w14:textFill>
        </w:rPr>
        <w:t>1,154.69</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使用非财政拨款结余</w:t>
      </w:r>
      <w:r>
        <w:rPr>
          <w:rFonts w:hint="default" w:ascii="仿宋_GB2312" w:hAnsi="ˎ̥" w:eastAsia="仿宋_GB2312"/>
          <w:color w:val="000000" w:themeColor="text1"/>
          <w:sz w:val="32"/>
          <w:szCs w:val="32"/>
          <w:lang w:val="en-US"/>
          <w14:textFill>
            <w14:solidFill>
              <w14:schemeClr w14:val="tx1"/>
            </w14:solidFill>
          </w14:textFill>
        </w:rPr>
        <w:t>0.03</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w:t>
      </w:r>
      <w:r>
        <w:rPr>
          <w:rFonts w:hint="eastAsia" w:ascii="仿宋_GB2312" w:hAnsi="ˎ̥" w:eastAsia="仿宋_GB2312"/>
          <w:color w:val="000000" w:themeColor="text1"/>
          <w:sz w:val="32"/>
          <w:szCs w:val="32"/>
          <w:lang w:val="en-US" w:eastAsia="zh-CN"/>
          <w14:textFill>
            <w14:solidFill>
              <w14:schemeClr w14:val="tx1"/>
            </w14:solidFill>
          </w14:textFill>
        </w:rPr>
        <w:t>0.03</w:t>
      </w:r>
      <w:r>
        <w:rPr>
          <w:rFonts w:hint="eastAsia" w:ascii="仿宋_GB2312" w:hAnsi="ˎ̥" w:eastAsia="仿宋_GB2312"/>
          <w:color w:val="000000" w:themeColor="text1"/>
          <w:sz w:val="32"/>
          <w:szCs w:val="32"/>
          <w14:textFill>
            <w14:solidFill>
              <w14:schemeClr w14:val="tx1"/>
            </w14:solidFill>
          </w14:textFill>
        </w:rPr>
        <w:t>万元，主要原因是</w:t>
      </w:r>
      <w:r>
        <w:rPr>
          <w:rFonts w:hint="eastAsia" w:ascii="仿宋_GB2312" w:hAnsi="ˎ̥" w:eastAsia="仿宋_GB2312"/>
          <w:color w:val="000000" w:themeColor="text1"/>
          <w:sz w:val="32"/>
          <w:szCs w:val="32"/>
          <w:lang w:eastAsia="zh-CN"/>
          <w14:textFill>
            <w14:solidFill>
              <w14:schemeClr w14:val="tx1"/>
            </w14:solidFill>
          </w14:textFill>
        </w:rPr>
        <w:t>用于支付印鉴费、滞纳金、账户年费</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lang w:eastAsia="zh-CN"/>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w:t>
      </w:r>
      <w:r>
        <w:rPr>
          <w:rFonts w:ascii="楷体" w:hAnsi="楷体" w:eastAsia="楷体" w:cs="楷体"/>
          <w:color w:val="000000" w:themeColor="text1"/>
          <w:sz w:val="32"/>
          <w:szCs w:val="32"/>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支出</w:t>
      </w:r>
      <w:r>
        <w:rPr>
          <w:rFonts w:ascii="楷体" w:hAnsi="楷体" w:eastAsia="楷体" w:cs="楷体"/>
          <w:color w:val="000000" w:themeColor="text1"/>
          <w:sz w:val="32"/>
          <w:szCs w:val="32"/>
          <w14:textFill>
            <w14:solidFill>
              <w14:schemeClr w14:val="tx1"/>
            </w14:solidFill>
          </w14:textFill>
        </w:rPr>
        <w:t>总计</w:t>
      </w:r>
      <w:r>
        <w:rPr>
          <w:rFonts w:hint="eastAsia" w:ascii="楷体" w:hAnsi="楷体" w:eastAsia="楷体" w:cs="楷体"/>
          <w:color w:val="000000" w:themeColor="text1"/>
          <w:sz w:val="32"/>
          <w:szCs w:val="32"/>
          <w14:textFill>
            <w14:solidFill>
              <w14:schemeClr w14:val="tx1"/>
            </w14:solidFill>
          </w14:textFill>
        </w:rPr>
        <w:t>主要</w:t>
      </w:r>
      <w:r>
        <w:rPr>
          <w:rFonts w:ascii="楷体" w:hAnsi="楷体" w:eastAsia="楷体" w:cs="楷体"/>
          <w:color w:val="000000" w:themeColor="text1"/>
          <w:sz w:val="32"/>
          <w:szCs w:val="32"/>
          <w14:textFill>
            <w14:solidFill>
              <w14:schemeClr w14:val="tx1"/>
            </w14:solidFill>
          </w14:textFill>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1,154.71</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结余分配</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年度决算数减少</w:t>
      </w:r>
      <w:r>
        <w:rPr>
          <w:rFonts w:hint="eastAsia" w:ascii="仿宋_GB2312" w:hAnsi="ˎ̥" w:eastAsia="仿宋_GB2312"/>
          <w:color w:val="000000" w:themeColor="text1"/>
          <w:sz w:val="32"/>
          <w:szCs w:val="32"/>
          <w:lang w:val="en-US" w:eastAsia="zh-CN"/>
          <w14:textFill>
            <w14:solidFill>
              <w14:schemeClr w14:val="tx1"/>
            </w14:solidFill>
          </w14:textFill>
        </w:rPr>
        <w:t>0.08</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eastAsia="zh-CN"/>
          <w14:textFill>
            <w14:solidFill>
              <w14:schemeClr w14:val="tx1"/>
            </w14:solidFill>
          </w14:textFill>
        </w:rPr>
        <w:t>无结余</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年末结转结余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二、收入决算情况说明</w:t>
      </w:r>
      <w:r>
        <w:rPr>
          <w:rFonts w:hint="eastAsia" w:ascii="黑体" w:hAnsi="黑体" w:eastAsia="黑体" w:cs="黑体"/>
          <w:bCs/>
          <w:color w:val="000000" w:themeColor="text1"/>
          <w:sz w:val="32"/>
          <w:szCs w:val="32"/>
          <w14:textFill>
            <w14:solidFill>
              <w14:schemeClr w14:val="tx1"/>
            </w14:solidFill>
          </w14:textFill>
        </w:rPr>
        <w:br w:type="textWrapping"/>
      </w:r>
      <w:r>
        <w:rPr>
          <w:rFonts w:hint="eastAsia" w:ascii="仿宋_GB2312" w:hAnsi="ˎ̥" w:eastAsia="仿宋_GB2312"/>
          <w:color w:val="000000" w:themeColor="text1"/>
          <w:sz w:val="32"/>
          <w:szCs w:val="32"/>
          <w14:textFill>
            <w14:solidFill>
              <w14:schemeClr w14:val="tx1"/>
            </w14:solidFill>
          </w14:textFill>
        </w:rPr>
        <w:t xml:space="preserve">    本年收入</w:t>
      </w:r>
      <w:r>
        <w:rPr>
          <w:rFonts w:hint="default" w:ascii="仿宋_GB2312" w:hAnsi="ˎ̥" w:eastAsia="仿宋_GB2312"/>
          <w:color w:val="000000" w:themeColor="text1"/>
          <w:sz w:val="32"/>
          <w:szCs w:val="32"/>
          <w:lang w:val="en-US"/>
          <w14:textFill>
            <w14:solidFill>
              <w14:schemeClr w14:val="tx1"/>
            </w14:solidFill>
          </w14:textFill>
        </w:rPr>
        <w:t>1,154.69</w:t>
      </w:r>
      <w:r>
        <w:rPr>
          <w:rFonts w:hint="eastAsia" w:ascii="仿宋_GB2312" w:hAnsi="ˎ̥" w:eastAsia="仿宋_GB2312"/>
          <w:color w:val="000000" w:themeColor="text1"/>
          <w:sz w:val="32"/>
          <w:szCs w:val="32"/>
          <w14:textFill>
            <w14:solidFill>
              <w14:schemeClr w14:val="tx1"/>
            </w14:solidFill>
          </w14:textFill>
        </w:rPr>
        <w:t>万元，其中：财政拨款收入</w:t>
      </w:r>
      <w:r>
        <w:rPr>
          <w:rFonts w:hint="default" w:ascii="仿宋_GB2312" w:hAnsi="ˎ̥" w:eastAsia="仿宋_GB2312"/>
          <w:color w:val="000000" w:themeColor="text1"/>
          <w:sz w:val="32"/>
          <w:szCs w:val="32"/>
          <w:lang w:val="en-US"/>
          <w14:textFill>
            <w14:solidFill>
              <w14:schemeClr w14:val="tx1"/>
            </w14:solidFill>
          </w14:textFill>
        </w:rPr>
        <w:t>1,154.69</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%；上级补助收入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%；事业收入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%；经营收入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%；附属单位上缴收入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%；其他收入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1,154.71</w:t>
      </w:r>
      <w:r>
        <w:rPr>
          <w:rFonts w:hint="eastAsia" w:ascii="仿宋_GB2312" w:hAnsi="ˎ̥" w:eastAsia="仿宋_GB2312"/>
          <w:color w:val="000000" w:themeColor="text1"/>
          <w:sz w:val="32"/>
          <w:szCs w:val="32"/>
          <w14:textFill>
            <w14:solidFill>
              <w14:schemeClr w14:val="tx1"/>
            </w14:solidFill>
          </w14:textFill>
        </w:rPr>
        <w:t>万元，其中：基本支出</w:t>
      </w:r>
      <w:r>
        <w:rPr>
          <w:rFonts w:hint="default" w:ascii="仿宋_GB2312" w:hAnsi="ˎ̥" w:eastAsia="仿宋_GB2312"/>
          <w:color w:val="000000" w:themeColor="text1"/>
          <w:sz w:val="32"/>
          <w:szCs w:val="32"/>
          <w:lang w:val="en-US"/>
          <w14:textFill>
            <w14:solidFill>
              <w14:schemeClr w14:val="tx1"/>
            </w14:solidFill>
          </w14:textFill>
        </w:rPr>
        <w:t>542.55</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46.99</w:t>
      </w:r>
      <w:r>
        <w:rPr>
          <w:rFonts w:hint="eastAsia" w:ascii="仿宋_GB2312" w:hAnsi="ˎ̥" w:eastAsia="仿宋_GB2312"/>
          <w:color w:val="000000" w:themeColor="text1"/>
          <w:sz w:val="32"/>
          <w:szCs w:val="32"/>
          <w14:textFill>
            <w14:solidFill>
              <w14:schemeClr w14:val="tx1"/>
            </w14:solidFill>
          </w14:textFill>
        </w:rPr>
        <w:t>%；项目支出</w:t>
      </w:r>
      <w:r>
        <w:rPr>
          <w:rFonts w:hint="default" w:ascii="仿宋_GB2312" w:hAnsi="ˎ̥" w:eastAsia="仿宋_GB2312"/>
          <w:color w:val="000000" w:themeColor="text1"/>
          <w:sz w:val="32"/>
          <w:szCs w:val="32"/>
          <w:lang w:val="en-US"/>
          <w14:textFill>
            <w14:solidFill>
              <w14:schemeClr w14:val="tx1"/>
            </w14:solidFill>
          </w14:textFill>
        </w:rPr>
        <w:t>612.16</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53.01</w:t>
      </w:r>
      <w:r>
        <w:rPr>
          <w:rFonts w:hint="eastAsia" w:ascii="仿宋_GB2312" w:hAnsi="ˎ̥" w:eastAsia="仿宋_GB2312"/>
          <w:color w:val="000000" w:themeColor="text1"/>
          <w:sz w:val="32"/>
          <w:szCs w:val="32"/>
          <w14:textFill>
            <w14:solidFill>
              <w14:schemeClr w14:val="tx1"/>
            </w14:solidFill>
          </w14:textFill>
        </w:rPr>
        <w:t>%；上缴上级支出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%；经营支出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%；对附属单位补助支出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四、财政拨款收入支出决算总体情况说明</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年度财政拨款收入</w:t>
      </w:r>
      <w:r>
        <w:rPr>
          <w:rFonts w:hint="default" w:ascii="仿宋_GB2312" w:hAnsi="ˎ̥" w:eastAsia="仿宋_GB2312"/>
          <w:color w:val="000000" w:themeColor="text1"/>
          <w:sz w:val="32"/>
          <w:szCs w:val="32"/>
          <w:lang w:val="en-US"/>
          <w14:textFill>
            <w14:solidFill>
              <w14:schemeClr w14:val="tx1"/>
            </w14:solidFill>
          </w14:textFill>
        </w:rPr>
        <w:t>1,154.69</w:t>
      </w:r>
      <w:r>
        <w:rPr>
          <w:rFonts w:hint="eastAsia" w:ascii="仿宋_GB2312" w:hAnsi="ˎ̥" w:eastAsia="仿宋_GB2312"/>
          <w:color w:val="000000" w:themeColor="text1"/>
          <w:sz w:val="32"/>
          <w:szCs w:val="32"/>
          <w14:textFill>
            <w14:solidFill>
              <w14:schemeClr w14:val="tx1"/>
            </w14:solidFill>
          </w14:textFill>
        </w:rPr>
        <w:t>万元，支出</w:t>
      </w:r>
      <w:r>
        <w:rPr>
          <w:rFonts w:hint="default" w:ascii="仿宋_GB2312" w:hAnsi="ˎ̥" w:eastAsia="仿宋_GB2312"/>
          <w:color w:val="000000" w:themeColor="text1"/>
          <w:sz w:val="32"/>
          <w:szCs w:val="32"/>
          <w:lang w:val="en-US"/>
          <w14:textFill>
            <w14:solidFill>
              <w14:schemeClr w14:val="tx1"/>
            </w14:solidFill>
          </w14:textFill>
        </w:rPr>
        <w:t>1,154.69</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年度相比，财政拨款收入增加</w:t>
      </w:r>
      <w:r>
        <w:rPr>
          <w:rFonts w:hint="eastAsia" w:ascii="仿宋_GB2312" w:hAnsi="ˎ̥" w:eastAsia="仿宋_GB2312"/>
          <w:color w:val="000000" w:themeColor="text1"/>
          <w:sz w:val="32"/>
          <w:szCs w:val="32"/>
          <w:lang w:val="en-US" w:eastAsia="zh-CN"/>
          <w14:textFill>
            <w14:solidFill>
              <w14:schemeClr w14:val="tx1"/>
            </w14:solidFill>
          </w14:textFill>
        </w:rPr>
        <w:t>42.91</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3.86</w:t>
      </w:r>
      <w:r>
        <w:rPr>
          <w:rFonts w:hint="eastAsia" w:ascii="仿宋_GB2312" w:hAnsi="ˎ̥" w:eastAsia="仿宋_GB2312"/>
          <w:color w:val="000000" w:themeColor="text1"/>
          <w:sz w:val="32"/>
          <w:szCs w:val="32"/>
          <w14:textFill>
            <w14:solidFill>
              <w14:schemeClr w14:val="tx1"/>
            </w14:solidFill>
          </w14:textFill>
        </w:rPr>
        <w:t>%，主要原因：一般公共预算财政拨款</w:t>
      </w:r>
      <w:r>
        <w:rPr>
          <w:rFonts w:hint="eastAsia" w:ascii="仿宋_GB2312" w:hAnsi="ˎ̥" w:eastAsia="仿宋_GB2312"/>
          <w:color w:val="000000" w:themeColor="text1"/>
          <w:sz w:val="32"/>
          <w:szCs w:val="32"/>
          <w:lang w:eastAsia="zh-CN"/>
          <w14:textFill>
            <w14:solidFill>
              <w14:schemeClr w14:val="tx1"/>
            </w14:solidFill>
          </w14:textFill>
        </w:rPr>
        <w:t>收入增加</w:t>
      </w:r>
      <w:r>
        <w:rPr>
          <w:rFonts w:hint="eastAsia" w:ascii="仿宋_GB2312" w:hAnsi="ˎ̥" w:eastAsia="仿宋_GB2312"/>
          <w:color w:val="000000" w:themeColor="text1"/>
          <w:sz w:val="32"/>
          <w:szCs w:val="32"/>
          <w:lang w:val="en-US" w:eastAsia="zh-CN"/>
          <w14:textFill>
            <w14:solidFill>
              <w14:schemeClr w14:val="tx1"/>
            </w14:solidFill>
          </w14:textFill>
        </w:rPr>
        <w:t>42.91万元</w:t>
      </w:r>
      <w:r>
        <w:rPr>
          <w:rFonts w:hint="eastAsia" w:ascii="仿宋_GB2312" w:hAnsi="ˎ̥" w:eastAsia="仿宋_GB2312"/>
          <w:color w:val="000000" w:themeColor="text1"/>
          <w:sz w:val="32"/>
          <w:szCs w:val="32"/>
          <w14:textFill>
            <w14:solidFill>
              <w14:schemeClr w14:val="tx1"/>
            </w14:solidFill>
          </w14:textFill>
        </w:rPr>
        <w:t>。支出增加</w:t>
      </w:r>
      <w:r>
        <w:rPr>
          <w:rFonts w:hint="eastAsia" w:ascii="仿宋_GB2312" w:hAnsi="ˎ̥" w:eastAsia="仿宋_GB2312"/>
          <w:color w:val="000000" w:themeColor="text1"/>
          <w:sz w:val="32"/>
          <w:szCs w:val="32"/>
          <w:lang w:val="en-US" w:eastAsia="zh-CN"/>
          <w14:textFill>
            <w14:solidFill>
              <w14:schemeClr w14:val="tx1"/>
            </w14:solidFill>
          </w14:textFill>
        </w:rPr>
        <w:t>42.91</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3.86</w:t>
      </w:r>
      <w:r>
        <w:rPr>
          <w:rFonts w:hint="eastAsia" w:ascii="仿宋_GB2312" w:hAnsi="ˎ̥" w:eastAsia="仿宋_GB2312"/>
          <w:color w:val="000000" w:themeColor="text1"/>
          <w:sz w:val="32"/>
          <w:szCs w:val="32"/>
          <w14:textFill>
            <w14:solidFill>
              <w14:schemeClr w14:val="tx1"/>
            </w14:solidFill>
          </w14:textFill>
        </w:rPr>
        <w:t>%，主要原因：一是一般公共服务支出</w:t>
      </w:r>
      <w:r>
        <w:rPr>
          <w:rFonts w:hint="eastAsia" w:ascii="仿宋_GB2312" w:hAnsi="ˎ̥" w:eastAsia="仿宋_GB2312"/>
          <w:color w:val="000000" w:themeColor="text1"/>
          <w:sz w:val="32"/>
          <w:szCs w:val="32"/>
          <w:lang w:eastAsia="zh-CN"/>
          <w14:textFill>
            <w14:solidFill>
              <w14:schemeClr w14:val="tx1"/>
            </w14:solidFill>
          </w14:textFill>
        </w:rPr>
        <w:t>增加</w:t>
      </w:r>
      <w:r>
        <w:rPr>
          <w:rFonts w:hint="eastAsia" w:ascii="仿宋_GB2312" w:hAnsi="ˎ̥" w:eastAsia="仿宋_GB2312"/>
          <w:color w:val="000000" w:themeColor="text1"/>
          <w:sz w:val="32"/>
          <w:szCs w:val="32"/>
          <w:lang w:val="en-US" w:eastAsia="zh-CN"/>
          <w14:textFill>
            <w14:solidFill>
              <w14:schemeClr w14:val="tx1"/>
            </w14:solidFill>
          </w14:textFill>
        </w:rPr>
        <w:t>2.29万元</w:t>
      </w:r>
      <w:r>
        <w:rPr>
          <w:rFonts w:hint="eastAsia" w:ascii="仿宋_GB2312" w:hAnsi="ˎ̥" w:eastAsia="仿宋_GB2312"/>
          <w:color w:val="000000" w:themeColor="text1"/>
          <w:sz w:val="32"/>
          <w:szCs w:val="32"/>
          <w14:textFill>
            <w14:solidFill>
              <w14:schemeClr w14:val="tx1"/>
            </w14:solidFill>
          </w14:textFill>
        </w:rPr>
        <w:t>；二是教育支出</w:t>
      </w:r>
      <w:r>
        <w:rPr>
          <w:rFonts w:hint="eastAsia" w:ascii="仿宋_GB2312" w:hAnsi="ˎ̥" w:eastAsia="仿宋_GB2312"/>
          <w:color w:val="000000" w:themeColor="text1"/>
          <w:sz w:val="32"/>
          <w:szCs w:val="32"/>
          <w:lang w:eastAsia="zh-CN"/>
          <w14:textFill>
            <w14:solidFill>
              <w14:schemeClr w14:val="tx1"/>
            </w14:solidFill>
          </w14:textFill>
        </w:rPr>
        <w:t>增加</w:t>
      </w:r>
      <w:r>
        <w:rPr>
          <w:rFonts w:hint="eastAsia" w:ascii="仿宋_GB2312" w:hAnsi="ˎ̥" w:eastAsia="仿宋_GB2312"/>
          <w:color w:val="000000" w:themeColor="text1"/>
          <w:sz w:val="32"/>
          <w:szCs w:val="32"/>
          <w:lang w:val="en-US" w:eastAsia="zh-CN"/>
          <w14:textFill>
            <w14:solidFill>
              <w14:schemeClr w14:val="tx1"/>
            </w14:solidFill>
          </w14:textFill>
        </w:rPr>
        <w:t>43.35万元；三是社会保障和就业支出减少0.08万元；四是卫生健康支出增加1.63万元；五是住房保障支出减少4.99万元</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财政拨款年初结转结余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财政拨款年末结转结余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79" w:name="_Toc21737_WPSOffice_Level2"/>
      <w:bookmarkStart w:id="80" w:name="_Toc9989_WPSOffice_Level2"/>
      <w:bookmarkStart w:id="81" w:name="_Toc13694_WPSOffice_Level2"/>
      <w:bookmarkStart w:id="82" w:name="_Toc19665_WPSOffice_Level2"/>
      <w:bookmarkStart w:id="83" w:name="_Toc17398_WPSOffice_Level2"/>
      <w:bookmarkStart w:id="84" w:name="_Toc23005_WPSOffice_Level2"/>
      <w:r>
        <w:rPr>
          <w:rFonts w:hint="eastAsia" w:ascii="楷体" w:hAnsi="楷体" w:eastAsia="楷体" w:cs="楷体"/>
          <w:color w:val="000000" w:themeColor="text1"/>
          <w:sz w:val="32"/>
          <w:szCs w:val="32"/>
          <w14:textFill>
            <w14:solidFill>
              <w14:schemeClr w14:val="tx1"/>
            </w14:solidFill>
          </w14:textFill>
        </w:rPr>
        <w:t>（一）一般公共预算财政拨款支出决算总体情况</w:t>
      </w:r>
      <w:bookmarkEnd w:id="79"/>
      <w:bookmarkEnd w:id="80"/>
      <w:bookmarkEnd w:id="81"/>
      <w:bookmarkEnd w:id="82"/>
      <w:bookmarkEnd w:id="83"/>
      <w:bookmarkEnd w:id="84"/>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1,154.69</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年度相比，一般公共预算财政拨款支出增加</w:t>
      </w:r>
      <w:r>
        <w:rPr>
          <w:rFonts w:hint="eastAsia" w:ascii="仿宋_GB2312" w:hAnsi="ˎ̥" w:eastAsia="仿宋_GB2312"/>
          <w:color w:val="000000" w:themeColor="text1"/>
          <w:sz w:val="32"/>
          <w:szCs w:val="32"/>
          <w:lang w:val="en-US" w:eastAsia="zh-CN"/>
          <w14:textFill>
            <w14:solidFill>
              <w14:schemeClr w14:val="tx1"/>
            </w14:solidFill>
          </w14:textFill>
        </w:rPr>
        <w:t>42.91</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3.86</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eastAsia="zh-CN"/>
          <w14:textFill>
            <w14:solidFill>
              <w14:schemeClr w14:val="tx1"/>
            </w14:solidFill>
          </w14:textFill>
        </w:rPr>
        <w:t>基本支出减少</w:t>
      </w:r>
      <w:r>
        <w:rPr>
          <w:rFonts w:hint="eastAsia" w:ascii="仿宋_GB2312" w:hAnsi="ˎ̥" w:eastAsia="仿宋_GB2312"/>
          <w:color w:val="000000" w:themeColor="text1"/>
          <w:sz w:val="32"/>
          <w:szCs w:val="32"/>
          <w:lang w:val="en-US" w:eastAsia="zh-CN"/>
          <w14:textFill>
            <w14:solidFill>
              <w14:schemeClr w14:val="tx1"/>
            </w14:solidFill>
          </w14:textFill>
        </w:rPr>
        <w:t>29.67万元，项目支出增加72.56万元</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85" w:name="_Toc19535_WPSOffice_Level2"/>
      <w:bookmarkStart w:id="86" w:name="_Toc19075_WPSOffice_Level2"/>
      <w:bookmarkStart w:id="87" w:name="_Toc23864_WPSOffice_Level2"/>
      <w:bookmarkStart w:id="88" w:name="_Toc2711_WPSOffice_Level2"/>
      <w:bookmarkStart w:id="89" w:name="_Toc27767_WPSOffice_Level2"/>
      <w:bookmarkStart w:id="90" w:name="_Toc18793_WPSOffice_Level2"/>
      <w:r>
        <w:rPr>
          <w:rFonts w:hint="eastAsia" w:ascii="楷体" w:hAnsi="楷体" w:eastAsia="楷体" w:cs="楷体"/>
          <w:color w:val="000000" w:themeColor="text1"/>
          <w:sz w:val="32"/>
          <w:szCs w:val="32"/>
          <w14:textFill>
            <w14:solidFill>
              <w14:schemeClr w14:val="tx1"/>
            </w14:solidFill>
          </w14:textFill>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1,154.69</w:t>
      </w:r>
      <w:r>
        <w:rPr>
          <w:rFonts w:hint="eastAsia" w:ascii="仿宋_GB2312" w:hAnsi="ˎ̥" w:eastAsia="仿宋_GB2312"/>
          <w:color w:val="000000" w:themeColor="text1"/>
          <w:sz w:val="32"/>
          <w:szCs w:val="32"/>
          <w14:textFill>
            <w14:solidFill>
              <w14:schemeClr w14:val="tx1"/>
            </w14:solidFill>
          </w14:textFill>
        </w:rPr>
        <w:t>万元，主要用于以下方面：</w:t>
      </w:r>
      <w:r>
        <w:rPr>
          <w:rFonts w:hint="eastAsia" w:ascii="仿宋_GB2312" w:hAnsi="ˎ̥" w:eastAsia="仿宋_GB2312"/>
          <w:b/>
          <w:color w:val="000000" w:themeColor="text1"/>
          <w:sz w:val="32"/>
          <w:szCs w:val="32"/>
          <w14:textFill>
            <w14:solidFill>
              <w14:schemeClr w14:val="tx1"/>
            </w14:solidFill>
          </w14:textFill>
        </w:rPr>
        <w:t>一般公共服务（类）</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4.50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0.39</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教育支出（类）</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966.74</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83.72</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社会保障和就业（类）</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79.34</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6.87</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卫生健康支出（类）</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66.02</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5.72</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bCs/>
          <w:color w:val="000000" w:themeColor="text1"/>
          <w:sz w:val="32"/>
          <w:szCs w:val="32"/>
          <w14:textFill>
            <w14:solidFill>
              <w14:schemeClr w14:val="tx1"/>
            </w14:solidFill>
          </w14:textFill>
        </w:rPr>
        <w:t>住房保障（类）</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38.09</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3.3</w:t>
      </w:r>
      <w:r>
        <w:rPr>
          <w:rFonts w:hint="eastAsia" w:ascii="仿宋_GB2312" w:hAnsi="ˎ̥" w:eastAsia="仿宋_GB2312"/>
          <w:color w:val="000000" w:themeColor="text1"/>
          <w:sz w:val="32"/>
          <w:szCs w:val="32"/>
          <w14:textFill>
            <w14:solidFill>
              <w14:schemeClr w14:val="tx1"/>
            </w14:solidFill>
          </w14:textFill>
        </w:rPr>
        <w:t>%。</w:t>
      </w:r>
      <w:bookmarkStart w:id="91" w:name="_Toc21701_WPSOffice_Level2"/>
      <w:bookmarkStart w:id="92" w:name="_Toc9502_WPSOffice_Level2"/>
      <w:bookmarkStart w:id="93" w:name="_Toc25136_WPSOffice_Level2"/>
      <w:bookmarkStart w:id="94" w:name="_Toc15415_WPSOffice_Level2"/>
      <w:bookmarkStart w:id="95" w:name="_Toc29364_WPSOffice_Level2"/>
      <w:bookmarkStart w:id="96" w:name="_Toc22318_WPSOffice_Level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657.91</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1,154.69</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175.51</w:t>
      </w:r>
      <w:r>
        <w:rPr>
          <w:rFonts w:hint="eastAsia" w:ascii="仿宋_GB2312" w:hAnsi="ˎ̥" w:eastAsia="仿宋_GB2312"/>
          <w:color w:val="000000" w:themeColor="text1"/>
          <w:sz w:val="32"/>
          <w:szCs w:val="32"/>
          <w14:textFill>
            <w14:solidFill>
              <w14:schemeClr w14:val="tx1"/>
            </w14:solidFill>
          </w14:textFill>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1.</w:t>
      </w:r>
      <w:r>
        <w:rPr>
          <w:rFonts w:hint="eastAsia" w:ascii="仿宋_GB2312" w:hAnsi="ˎ̥" w:eastAsia="仿宋_GB2312"/>
          <w:b/>
          <w:color w:val="000000" w:themeColor="text1"/>
          <w:sz w:val="32"/>
          <w:szCs w:val="32"/>
          <w14:textFill>
            <w14:solidFill>
              <w14:schemeClr w14:val="tx1"/>
            </w14:solidFill>
          </w14:textFill>
        </w:rPr>
        <w:t>一般公共服务（类）组织事务（款）其他组织事务支出（项）。</w:t>
      </w:r>
    </w:p>
    <w:p>
      <w:pPr>
        <w:spacing w:line="578" w:lineRule="exact"/>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0.50</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%。决算数大于预算数的主要原因</w:t>
      </w:r>
      <w:r>
        <w:rPr>
          <w:rFonts w:hint="eastAsia" w:ascii="仿宋_GB2312" w:hAnsi="ˎ̥" w:eastAsia="仿宋_GB2312"/>
          <w:color w:val="000000" w:themeColor="text1"/>
          <w:sz w:val="32"/>
          <w:szCs w:val="32"/>
          <w:lang w:eastAsia="zh-CN"/>
          <w14:textFill>
            <w14:solidFill>
              <w14:schemeClr w14:val="tx1"/>
            </w14:solidFill>
          </w14:textFill>
        </w:rPr>
        <w:t>增加</w:t>
      </w:r>
      <w:r>
        <w:rPr>
          <w:rFonts w:hint="eastAsia" w:ascii="仿宋_GB2312" w:hAnsi="ˎ̥" w:eastAsia="仿宋_GB2312"/>
          <w:color w:val="000000" w:themeColor="text1"/>
          <w:sz w:val="32"/>
          <w:szCs w:val="32"/>
          <w14:textFill>
            <w14:solidFill>
              <w14:schemeClr w14:val="tx1"/>
            </w14:solidFill>
          </w14:textFill>
        </w:rPr>
        <w:t>王树稳名师工作室2022年度未支出工作经费。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lang w:eastAsia="zh-CN"/>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2</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一般公共服务（类）其他共产党事务支出（款）一般行政管理事务</w:t>
      </w:r>
      <w:r>
        <w:rPr>
          <w:rFonts w:hint="eastAsia" w:ascii="仿宋_GB2312" w:hAnsi="ˎ̥" w:eastAsia="仿宋_GB2312"/>
          <w:b/>
          <w:color w:val="000000" w:themeColor="text1"/>
          <w:sz w:val="32"/>
          <w:szCs w:val="32"/>
          <w:lang w:eastAsia="zh-CN"/>
          <w14:textFill>
            <w14:solidFill>
              <w14:schemeClr w14:val="tx1"/>
            </w14:solidFill>
          </w14:textFill>
        </w:rPr>
        <w:t>。</w:t>
      </w:r>
    </w:p>
    <w:p>
      <w:pPr>
        <w:spacing w:line="578" w:lineRule="exact"/>
        <w:rPr>
          <w:rFonts w:hint="eastAsia" w:ascii="仿宋_GB2312" w:hAnsi="ˎ̥" w:eastAsia="仿宋_GB2312"/>
          <w:color w:val="000000" w:themeColor="text1"/>
          <w:sz w:val="32"/>
          <w:szCs w:val="32"/>
          <w:lang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4.00</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%。决算数大于预算数的主要原因</w:t>
      </w:r>
      <w:r>
        <w:rPr>
          <w:rFonts w:hint="eastAsia" w:ascii="仿宋_GB2312" w:hAnsi="ˎ̥" w:eastAsia="仿宋_GB2312"/>
          <w:color w:val="000000" w:themeColor="text1"/>
          <w:sz w:val="32"/>
          <w:szCs w:val="32"/>
          <w:lang w:eastAsia="zh-CN"/>
          <w14:textFill>
            <w14:solidFill>
              <w14:schemeClr w14:val="tx1"/>
            </w14:solidFill>
          </w14:textFill>
        </w:rPr>
        <w:t>增加</w:t>
      </w:r>
      <w:r>
        <w:rPr>
          <w:rFonts w:hint="eastAsia" w:ascii="仿宋_GB2312" w:hAnsi="ˎ̥" w:eastAsia="仿宋_GB2312"/>
          <w:color w:val="000000" w:themeColor="text1"/>
          <w:sz w:val="32"/>
          <w:szCs w:val="32"/>
          <w14:textFill>
            <w14:solidFill>
              <w14:schemeClr w14:val="tx1"/>
            </w14:solidFill>
          </w14:textFill>
        </w:rPr>
        <w:t>用于修缮校门</w:t>
      </w:r>
      <w:r>
        <w:rPr>
          <w:rFonts w:hint="eastAsia" w:ascii="仿宋_GB2312" w:hAnsi="ˎ̥" w:eastAsia="仿宋_GB2312"/>
          <w:color w:val="000000" w:themeColor="text1"/>
          <w:sz w:val="32"/>
          <w:szCs w:val="32"/>
          <w:lang w:eastAsia="zh-CN"/>
          <w14:textFill>
            <w14:solidFill>
              <w14:schemeClr w14:val="tx1"/>
            </w14:solidFill>
          </w14:textFill>
        </w:rPr>
        <w:t>经费。</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3</w:t>
      </w:r>
      <w:r>
        <w:rPr>
          <w:rFonts w:hint="eastAsia" w:ascii="仿宋_GB2312" w:hAnsi="ˎ̥" w:eastAsia="仿宋_GB2312"/>
          <w:color w:val="000000" w:themeColor="text1"/>
          <w:sz w:val="32"/>
          <w:szCs w:val="32"/>
          <w14:textFill>
            <w14:solidFill>
              <w14:schemeClr w14:val="tx1"/>
            </w14:solidFill>
          </w14:textFill>
        </w:rPr>
        <w:t>.</w:t>
      </w:r>
      <w:r>
        <w:rPr>
          <w:rFonts w:hint="default" w:ascii="仿宋_GB2312" w:hAnsi="ˎ̥" w:eastAsia="仿宋_GB2312" w:cs="仿宋_GB2312"/>
          <w:b/>
          <w:color w:val="000000" w:themeColor="text1"/>
          <w:kern w:val="0"/>
          <w:sz w:val="32"/>
          <w:szCs w:val="32"/>
          <w14:textFill>
            <w14:solidFill>
              <w14:schemeClr w14:val="tx1"/>
            </w14:solidFill>
          </w14:textFill>
        </w:rPr>
        <w:t>教育支出（类）普通教育（款）学前教育（项）</w:t>
      </w:r>
    </w:p>
    <w:p>
      <w:pPr>
        <w:spacing w:line="578" w:lineRule="exact"/>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435.11</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966.74</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222.18</w:t>
      </w:r>
      <w:r>
        <w:rPr>
          <w:rFonts w:hint="eastAsia" w:ascii="仿宋_GB2312" w:hAnsi="ˎ̥" w:eastAsia="仿宋_GB2312"/>
          <w:color w:val="000000" w:themeColor="text1"/>
          <w:sz w:val="32"/>
          <w:szCs w:val="32"/>
          <w14:textFill>
            <w14:solidFill>
              <w14:schemeClr w14:val="tx1"/>
            </w14:solidFill>
          </w14:textFill>
        </w:rPr>
        <w:t>%。决算数大于预算数的主要原因</w:t>
      </w:r>
      <w:r>
        <w:rPr>
          <w:rFonts w:hint="eastAsia" w:ascii="仿宋_GB2312" w:hAnsi="ˎ̥" w:eastAsia="仿宋_GB2312"/>
          <w:color w:val="000000" w:themeColor="text1"/>
          <w:sz w:val="32"/>
          <w:szCs w:val="32"/>
          <w:lang w:eastAsia="zh-CN"/>
          <w14:textFill>
            <w14:solidFill>
              <w14:schemeClr w14:val="tx1"/>
            </w14:solidFill>
          </w14:textFill>
        </w:rPr>
        <w:t>一是基本支出减少</w:t>
      </w:r>
      <w:r>
        <w:rPr>
          <w:rFonts w:hint="eastAsia" w:ascii="仿宋_GB2312" w:hAnsi="ˎ̥" w:eastAsia="仿宋_GB2312"/>
          <w:color w:val="000000" w:themeColor="text1"/>
          <w:sz w:val="32"/>
          <w:szCs w:val="32"/>
          <w:lang w:val="en-US" w:eastAsia="zh-CN"/>
          <w14:textFill>
            <w14:solidFill>
              <w14:schemeClr w14:val="tx1"/>
            </w14:solidFill>
          </w14:textFill>
        </w:rPr>
        <w:t>64.66万元；二是项目支出增加596.29万元</w:t>
      </w:r>
      <w:r>
        <w:rPr>
          <w:rFonts w:hint="eastAsia" w:ascii="仿宋_GB2312" w:hAnsi="ˎ̥" w:eastAsia="仿宋_GB2312"/>
          <w:color w:val="000000" w:themeColor="text1"/>
          <w:sz w:val="32"/>
          <w:szCs w:val="32"/>
          <w14:textFill>
            <w14:solidFill>
              <w14:schemeClr w14:val="tx1"/>
            </w14:solidFill>
          </w14:textFill>
        </w:rPr>
        <w:t>。</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4</w:t>
      </w:r>
      <w:r>
        <w:rPr>
          <w:rFonts w:hint="eastAsia" w:ascii="仿宋_GB2312" w:hAnsi="ˎ̥" w:eastAsia="仿宋_GB2312"/>
          <w:color w:val="000000" w:themeColor="text1"/>
          <w:sz w:val="32"/>
          <w:szCs w:val="32"/>
          <w14:textFill>
            <w14:solidFill>
              <w14:schemeClr w14:val="tx1"/>
            </w14:solidFill>
          </w14:textFill>
        </w:rPr>
        <w:t>.</w:t>
      </w:r>
      <w:r>
        <w:rPr>
          <w:rFonts w:hint="default" w:ascii="仿宋_GB2312" w:hAnsi="ˎ̥" w:eastAsia="仿宋_GB2312" w:cs="仿宋_GB2312"/>
          <w:b/>
          <w:color w:val="000000" w:themeColor="text1"/>
          <w:kern w:val="0"/>
          <w:sz w:val="32"/>
          <w:szCs w:val="32"/>
          <w14:textFill>
            <w14:solidFill>
              <w14:schemeClr w14:val="tx1"/>
            </w14:solidFill>
          </w14:textFill>
        </w:rPr>
        <w:t>社会保障和就业支出（类）行政事业单位养老支出（款）机关事业单位基本养老保险缴费支出（项）</w:t>
      </w:r>
    </w:p>
    <w:p>
      <w:pPr>
        <w:spacing w:line="578" w:lineRule="exact"/>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56.27</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46.54</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82.71</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eastAsia="zh-CN"/>
          <w14:textFill>
            <w14:solidFill>
              <w14:schemeClr w14:val="tx1"/>
            </w14:solidFill>
          </w14:textFill>
        </w:rPr>
        <w:t>小于</w:t>
      </w:r>
      <w:r>
        <w:rPr>
          <w:rFonts w:hint="eastAsia" w:ascii="仿宋_GB2312" w:hAnsi="ˎ̥" w:eastAsia="仿宋_GB2312"/>
          <w:color w:val="000000" w:themeColor="text1"/>
          <w:sz w:val="32"/>
          <w:szCs w:val="32"/>
          <w14:textFill>
            <w14:solidFill>
              <w14:schemeClr w14:val="tx1"/>
            </w14:solidFill>
          </w14:textFill>
        </w:rPr>
        <w:t>预算数的主要原因</w:t>
      </w:r>
      <w:r>
        <w:rPr>
          <w:rFonts w:hint="eastAsia" w:ascii="仿宋_GB2312" w:hAnsi="ˎ̥" w:eastAsia="仿宋_GB2312"/>
          <w:color w:val="000000" w:themeColor="text1"/>
          <w:sz w:val="32"/>
          <w:szCs w:val="32"/>
          <w:lang w:val="en-US" w:eastAsia="zh-CN"/>
          <w14:textFill>
            <w14:solidFill>
              <w14:schemeClr w14:val="tx1"/>
            </w14:solidFill>
          </w14:textFill>
        </w:rPr>
        <w:t>1人退休，</w:t>
      </w:r>
      <w:r>
        <w:rPr>
          <w:rFonts w:hint="eastAsia" w:ascii="仿宋_GB2312" w:hAnsi="ˎ̥" w:eastAsia="仿宋_GB2312"/>
          <w:color w:val="000000" w:themeColor="text1"/>
          <w:sz w:val="32"/>
          <w:szCs w:val="32"/>
          <w:lang w:eastAsia="zh-CN"/>
          <w14:textFill>
            <w14:solidFill>
              <w14:schemeClr w14:val="tx1"/>
            </w14:solidFill>
          </w14:textFill>
        </w:rPr>
        <w:t>养老保险缴费</w:t>
      </w:r>
      <w:r>
        <w:rPr>
          <w:rFonts w:hint="eastAsia" w:ascii="仿宋_GB2312" w:hAnsi="ˎ̥" w:eastAsia="仿宋_GB2312"/>
          <w:color w:val="000000" w:themeColor="text1"/>
          <w:sz w:val="32"/>
          <w:szCs w:val="32"/>
          <w:lang w:val="en-US" w:eastAsia="zh-CN"/>
          <w14:textFill>
            <w14:solidFill>
              <w14:schemeClr w14:val="tx1"/>
            </w14:solidFill>
          </w14:textFill>
        </w:rPr>
        <w:t>减少</w:t>
      </w:r>
      <w:r>
        <w:rPr>
          <w:rFonts w:hint="eastAsia" w:ascii="仿宋_GB2312" w:hAnsi="ˎ̥" w:eastAsia="仿宋_GB2312"/>
          <w:color w:val="000000" w:themeColor="text1"/>
          <w:sz w:val="32"/>
          <w:szCs w:val="32"/>
          <w14:textFill>
            <w14:solidFill>
              <w14:schemeClr w14:val="tx1"/>
            </w14:solidFill>
          </w14:textFill>
        </w:rPr>
        <w:t>。</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5</w:t>
      </w:r>
      <w:r>
        <w:rPr>
          <w:rFonts w:hint="eastAsia" w:ascii="仿宋_GB2312" w:hAnsi="ˎ̥" w:eastAsia="仿宋_GB2312"/>
          <w:color w:val="000000" w:themeColor="text1"/>
          <w:sz w:val="32"/>
          <w:szCs w:val="32"/>
          <w14:textFill>
            <w14:solidFill>
              <w14:schemeClr w14:val="tx1"/>
            </w14:solidFill>
          </w14:textFill>
        </w:rPr>
        <w:t>.</w:t>
      </w:r>
      <w:r>
        <w:rPr>
          <w:rFonts w:hint="default" w:ascii="仿宋_GB2312" w:hAnsi="ˎ̥" w:eastAsia="仿宋_GB2312" w:cs="仿宋_GB2312"/>
          <w:b/>
          <w:color w:val="000000" w:themeColor="text1"/>
          <w:kern w:val="0"/>
          <w:sz w:val="32"/>
          <w:szCs w:val="32"/>
          <w14:textFill>
            <w14:solidFill>
              <w14:schemeClr w14:val="tx1"/>
            </w14:solidFill>
          </w14:textFill>
        </w:rPr>
        <w:t>社会保障和就业支出（类）行政事业单位养老支出（款）机关事业单位职业年金缴费支出（项）</w:t>
      </w:r>
    </w:p>
    <w:p>
      <w:pPr>
        <w:spacing w:line="578" w:lineRule="exact"/>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28.14</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11.72</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41.65</w:t>
      </w:r>
      <w:r>
        <w:rPr>
          <w:rFonts w:hint="eastAsia" w:ascii="仿宋_GB2312" w:hAnsi="ˎ̥" w:eastAsia="仿宋_GB2312"/>
          <w:color w:val="000000" w:themeColor="text1"/>
          <w:sz w:val="32"/>
          <w:szCs w:val="32"/>
          <w14:textFill>
            <w14:solidFill>
              <w14:schemeClr w14:val="tx1"/>
            </w14:solidFill>
          </w14:textFill>
        </w:rPr>
        <w:t>%。决算数大于预算数的主要原因</w:t>
      </w:r>
      <w:r>
        <w:rPr>
          <w:rFonts w:hint="eastAsia" w:ascii="仿宋_GB2312" w:hAnsi="ˎ̥" w:eastAsia="仿宋_GB2312"/>
          <w:color w:val="000000" w:themeColor="text1"/>
          <w:sz w:val="32"/>
          <w:szCs w:val="32"/>
          <w:lang w:val="en-US" w:eastAsia="zh-CN"/>
          <w14:textFill>
            <w14:solidFill>
              <w14:schemeClr w14:val="tx1"/>
            </w14:solidFill>
          </w14:textFill>
        </w:rPr>
        <w:t>1人退休，职</w:t>
      </w:r>
      <w:r>
        <w:rPr>
          <w:rFonts w:hint="eastAsia" w:ascii="仿宋_GB2312" w:hAnsi="ˎ̥" w:eastAsia="仿宋_GB2312"/>
          <w:color w:val="000000" w:themeColor="text1"/>
          <w:sz w:val="32"/>
          <w:szCs w:val="32"/>
          <w:lang w:eastAsia="zh-CN"/>
          <w14:textFill>
            <w14:solidFill>
              <w14:schemeClr w14:val="tx1"/>
            </w14:solidFill>
          </w14:textFill>
        </w:rPr>
        <w:t>业年金缴费</w:t>
      </w:r>
      <w:r>
        <w:rPr>
          <w:rFonts w:hint="eastAsia" w:ascii="仿宋_GB2312" w:hAnsi="ˎ̥" w:eastAsia="仿宋_GB2312"/>
          <w:color w:val="000000" w:themeColor="text1"/>
          <w:sz w:val="32"/>
          <w:szCs w:val="32"/>
          <w:lang w:val="en-US" w:eastAsia="zh-CN"/>
          <w14:textFill>
            <w14:solidFill>
              <w14:schemeClr w14:val="tx1"/>
            </w14:solidFill>
          </w14:textFill>
        </w:rPr>
        <w:t>减少</w:t>
      </w:r>
      <w:r>
        <w:rPr>
          <w:rFonts w:hint="eastAsia" w:ascii="仿宋_GB2312" w:hAnsi="ˎ̥" w:eastAsia="仿宋_GB2312"/>
          <w:color w:val="000000" w:themeColor="text1"/>
          <w:sz w:val="32"/>
          <w:szCs w:val="32"/>
          <w14:textFill>
            <w14:solidFill>
              <w14:schemeClr w14:val="tx1"/>
            </w14:solidFill>
          </w14:textFill>
        </w:rPr>
        <w:t>。</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6</w:t>
      </w:r>
      <w:r>
        <w:rPr>
          <w:rFonts w:hint="eastAsia" w:ascii="仿宋_GB2312" w:hAnsi="ˎ̥" w:eastAsia="仿宋_GB2312"/>
          <w:color w:val="000000" w:themeColor="text1"/>
          <w:sz w:val="32"/>
          <w:szCs w:val="32"/>
          <w14:textFill>
            <w14:solidFill>
              <w14:schemeClr w14:val="tx1"/>
            </w14:solidFill>
          </w14:textFill>
        </w:rPr>
        <w:t>.</w:t>
      </w:r>
      <w:r>
        <w:rPr>
          <w:rFonts w:hint="default" w:ascii="仿宋_GB2312" w:hAnsi="ˎ̥" w:eastAsia="仿宋_GB2312" w:cs="仿宋_GB2312"/>
          <w:b/>
          <w:color w:val="000000" w:themeColor="text1"/>
          <w:kern w:val="0"/>
          <w:sz w:val="32"/>
          <w:szCs w:val="32"/>
          <w14:textFill>
            <w14:solidFill>
              <w14:schemeClr w14:val="tx1"/>
            </w14:solidFill>
          </w14:textFill>
        </w:rPr>
        <w:t>卫生健康支出（类）行政事业单位医疗（款）事业单位医疗（项）</w:t>
      </w:r>
    </w:p>
    <w:p>
      <w:pPr>
        <w:spacing w:line="578" w:lineRule="exact"/>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25.68</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19.07</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74.26</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eastAsia="zh-CN"/>
          <w14:textFill>
            <w14:solidFill>
              <w14:schemeClr w14:val="tx1"/>
            </w14:solidFill>
          </w14:textFill>
        </w:rPr>
        <w:t>小</w:t>
      </w:r>
      <w:r>
        <w:rPr>
          <w:rFonts w:hint="eastAsia" w:ascii="仿宋_GB2312" w:hAnsi="ˎ̥" w:eastAsia="仿宋_GB2312"/>
          <w:color w:val="000000" w:themeColor="text1"/>
          <w:sz w:val="32"/>
          <w:szCs w:val="32"/>
          <w14:textFill>
            <w14:solidFill>
              <w14:schemeClr w14:val="tx1"/>
            </w14:solidFill>
          </w14:textFill>
        </w:rPr>
        <w:t>于预算数的主要原因</w:t>
      </w:r>
      <w:r>
        <w:rPr>
          <w:rFonts w:hint="eastAsia" w:ascii="仿宋_GB2312" w:hAnsi="ˎ̥" w:eastAsia="仿宋_GB2312"/>
          <w:color w:val="000000" w:themeColor="text1"/>
          <w:sz w:val="32"/>
          <w:szCs w:val="32"/>
          <w:lang w:val="en-US" w:eastAsia="zh-CN"/>
          <w14:textFill>
            <w14:solidFill>
              <w14:schemeClr w14:val="tx1"/>
            </w14:solidFill>
          </w14:textFill>
        </w:rPr>
        <w:t>1人退休，</w:t>
      </w:r>
      <w:r>
        <w:rPr>
          <w:rFonts w:hint="eastAsia" w:ascii="仿宋_GB2312" w:hAnsi="ˎ̥" w:eastAsia="仿宋_GB2312"/>
          <w:color w:val="000000" w:themeColor="text1"/>
          <w:sz w:val="32"/>
          <w:szCs w:val="32"/>
          <w:lang w:eastAsia="zh-CN"/>
          <w14:textFill>
            <w14:solidFill>
              <w14:schemeClr w14:val="tx1"/>
            </w14:solidFill>
          </w14:textFill>
        </w:rPr>
        <w:t>医疗保险缴费</w:t>
      </w:r>
      <w:r>
        <w:rPr>
          <w:rFonts w:hint="eastAsia" w:ascii="仿宋_GB2312" w:hAnsi="ˎ̥" w:eastAsia="仿宋_GB2312"/>
          <w:color w:val="000000" w:themeColor="text1"/>
          <w:sz w:val="32"/>
          <w:szCs w:val="32"/>
          <w:lang w:val="en-US" w:eastAsia="zh-CN"/>
          <w14:textFill>
            <w14:solidFill>
              <w14:schemeClr w14:val="tx1"/>
            </w14:solidFill>
          </w14:textFill>
        </w:rPr>
        <w:t>减少</w:t>
      </w:r>
      <w:r>
        <w:rPr>
          <w:rFonts w:hint="eastAsia" w:ascii="仿宋_GB2312" w:hAnsi="ˎ̥" w:eastAsia="仿宋_GB2312"/>
          <w:color w:val="000000" w:themeColor="text1"/>
          <w:sz w:val="32"/>
          <w:szCs w:val="32"/>
          <w14:textFill>
            <w14:solidFill>
              <w14:schemeClr w14:val="tx1"/>
            </w14:solidFill>
          </w14:textFill>
        </w:rPr>
        <w:t>。</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7</w:t>
      </w:r>
      <w:r>
        <w:rPr>
          <w:rFonts w:hint="eastAsia" w:ascii="仿宋_GB2312" w:hAnsi="ˎ̥" w:eastAsia="仿宋_GB2312"/>
          <w:color w:val="000000" w:themeColor="text1"/>
          <w:sz w:val="32"/>
          <w:szCs w:val="32"/>
          <w14:textFill>
            <w14:solidFill>
              <w14:schemeClr w14:val="tx1"/>
            </w14:solidFill>
          </w14:textFill>
        </w:rPr>
        <w:t>.</w:t>
      </w:r>
      <w:r>
        <w:rPr>
          <w:rFonts w:hint="default" w:ascii="仿宋_GB2312" w:hAnsi="ˎ̥" w:eastAsia="仿宋_GB2312" w:cs="仿宋_GB2312"/>
          <w:b/>
          <w:color w:val="000000" w:themeColor="text1"/>
          <w:kern w:val="0"/>
          <w:sz w:val="32"/>
          <w:szCs w:val="32"/>
          <w14:textFill>
            <w14:solidFill>
              <w14:schemeClr w14:val="tx1"/>
            </w14:solidFill>
          </w14:textFill>
        </w:rPr>
        <w:t>卫生健康支出（类）行政事业单位医疗（款）公务员医疗补助（项）</w:t>
      </w:r>
    </w:p>
    <w:p>
      <w:pPr>
        <w:spacing w:line="578" w:lineRule="exact"/>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61.72</w:t>
      </w:r>
      <w:r>
        <w:rPr>
          <w:rFonts w:hint="eastAsia" w:ascii="仿宋_GB2312" w:hAnsi="ˎ̥" w:eastAsia="仿宋_GB2312"/>
          <w:color w:val="000000" w:themeColor="text1"/>
          <w:sz w:val="32"/>
          <w:szCs w:val="32"/>
          <w14:textFill>
            <w14:solidFill>
              <w14:schemeClr w14:val="tx1"/>
            </w14:solidFill>
          </w14:textFill>
        </w:rPr>
        <w:t>万元，支出决算</w:t>
      </w:r>
      <w:r>
        <w:rPr>
          <w:rFonts w:hint="eastAsia" w:ascii="仿宋_GB2312" w:hAnsi="ˎ̥" w:eastAsia="仿宋_GB2312"/>
          <w:color w:val="000000" w:themeColor="text1"/>
          <w:sz w:val="32"/>
          <w:szCs w:val="32"/>
          <w:lang w:eastAsia="zh-CN"/>
          <w14:textFill>
            <w14:solidFill>
              <w14:schemeClr w14:val="tx1"/>
            </w14:solidFill>
          </w14:textFill>
        </w:rPr>
        <w:t>为</w:t>
      </w:r>
      <w:r>
        <w:rPr>
          <w:rFonts w:hint="eastAsia" w:ascii="仿宋_GB2312" w:hAnsi="ˎ̥" w:eastAsia="仿宋_GB2312"/>
          <w:color w:val="000000" w:themeColor="text1"/>
          <w:sz w:val="32"/>
          <w:szCs w:val="32"/>
          <w14:textFill>
            <w14:solidFill>
              <w14:schemeClr w14:val="tx1"/>
            </w14:solidFill>
          </w14:textFill>
        </w:rPr>
        <w:t>44.69万元，完成年初预算的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72.41</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eastAsia="zh-CN"/>
          <w14:textFill>
            <w14:solidFill>
              <w14:schemeClr w14:val="tx1"/>
            </w14:solidFill>
          </w14:textFill>
        </w:rPr>
        <w:t>小</w:t>
      </w:r>
      <w:r>
        <w:rPr>
          <w:rFonts w:hint="eastAsia" w:ascii="仿宋_GB2312" w:hAnsi="ˎ̥" w:eastAsia="仿宋_GB2312"/>
          <w:color w:val="000000" w:themeColor="text1"/>
          <w:sz w:val="32"/>
          <w:szCs w:val="32"/>
          <w14:textFill>
            <w14:solidFill>
              <w14:schemeClr w14:val="tx1"/>
            </w14:solidFill>
          </w14:textFill>
        </w:rPr>
        <w:t>于预算数的主要原因</w:t>
      </w:r>
      <w:r>
        <w:rPr>
          <w:rFonts w:hint="eastAsia" w:ascii="仿宋_GB2312" w:hAnsi="ˎ̥" w:eastAsia="仿宋_GB2312"/>
          <w:color w:val="000000" w:themeColor="text1"/>
          <w:sz w:val="32"/>
          <w:szCs w:val="32"/>
          <w:lang w:val="en-US" w:eastAsia="zh-CN"/>
          <w14:textFill>
            <w14:solidFill>
              <w14:schemeClr w14:val="tx1"/>
            </w14:solidFill>
          </w14:textFill>
        </w:rPr>
        <w:t>1人退休，</w:t>
      </w:r>
      <w:r>
        <w:rPr>
          <w:rFonts w:hint="eastAsia" w:ascii="仿宋_GB2312" w:hAnsi="ˎ̥" w:eastAsia="仿宋_GB2312"/>
          <w:color w:val="000000" w:themeColor="text1"/>
          <w:sz w:val="32"/>
          <w:szCs w:val="32"/>
          <w:lang w:eastAsia="zh-CN"/>
          <w14:textFill>
            <w14:solidFill>
              <w14:schemeClr w14:val="tx1"/>
            </w14:solidFill>
          </w14:textFill>
        </w:rPr>
        <w:t>公务员医疗补助缴费减少</w:t>
      </w:r>
      <w:r>
        <w:rPr>
          <w:rFonts w:hint="eastAsia" w:ascii="仿宋_GB2312" w:hAnsi="ˎ̥" w:eastAsia="仿宋_GB2312"/>
          <w:color w:val="000000" w:themeColor="text1"/>
          <w:sz w:val="32"/>
          <w:szCs w:val="32"/>
          <w14:textFill>
            <w14:solidFill>
              <w14:schemeClr w14:val="tx1"/>
            </w14:solidFill>
          </w14:textFill>
        </w:rPr>
        <w:t>。</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8</w:t>
      </w:r>
      <w:r>
        <w:rPr>
          <w:rFonts w:hint="eastAsia" w:ascii="仿宋_GB2312" w:hAnsi="ˎ̥" w:eastAsia="仿宋_GB2312"/>
          <w:color w:val="000000" w:themeColor="text1"/>
          <w:sz w:val="32"/>
          <w:szCs w:val="32"/>
          <w14:textFill>
            <w14:solidFill>
              <w14:schemeClr w14:val="tx1"/>
            </w14:solidFill>
          </w14:textFill>
        </w:rPr>
        <w:t>.</w:t>
      </w:r>
      <w:r>
        <w:rPr>
          <w:rFonts w:hint="default" w:ascii="仿宋_GB2312" w:hAnsi="ˎ̥" w:eastAsia="仿宋_GB2312" w:cs="仿宋_GB2312"/>
          <w:b/>
          <w:color w:val="000000" w:themeColor="text1"/>
          <w:kern w:val="0"/>
          <w:sz w:val="32"/>
          <w:szCs w:val="32"/>
          <w14:textFill>
            <w14:solidFill>
              <w14:schemeClr w14:val="tx1"/>
            </w14:solidFill>
          </w14:textFill>
        </w:rPr>
        <w:t>卫生健康支出（类）行政事业单位医疗（款）其他行政事业单位医疗支出（项）</w:t>
      </w:r>
    </w:p>
    <w:p>
      <w:pPr>
        <w:spacing w:line="578" w:lineRule="exact"/>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2.25</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2.26</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100.44</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eastAsia="zh-CN"/>
          <w14:textFill>
            <w14:solidFill>
              <w14:schemeClr w14:val="tx1"/>
            </w14:solidFill>
          </w14:textFill>
        </w:rPr>
        <w:t>大</w:t>
      </w:r>
      <w:r>
        <w:rPr>
          <w:rFonts w:hint="eastAsia" w:ascii="仿宋_GB2312" w:hAnsi="ˎ̥" w:eastAsia="仿宋_GB2312"/>
          <w:color w:val="000000" w:themeColor="text1"/>
          <w:sz w:val="32"/>
          <w:szCs w:val="32"/>
          <w14:textFill>
            <w14:solidFill>
              <w14:schemeClr w14:val="tx1"/>
            </w14:solidFill>
          </w14:textFill>
        </w:rPr>
        <w:t>于预算数的主要原因</w:t>
      </w:r>
      <w:r>
        <w:rPr>
          <w:rFonts w:hint="eastAsia" w:ascii="仿宋_GB2312" w:hAnsi="ˎ̥" w:eastAsia="仿宋_GB2312"/>
          <w:color w:val="000000" w:themeColor="text1"/>
          <w:sz w:val="32"/>
          <w:szCs w:val="32"/>
          <w:lang w:eastAsia="zh-CN"/>
          <w14:textFill>
            <w14:solidFill>
              <w14:schemeClr w14:val="tx1"/>
            </w14:solidFill>
          </w14:textFill>
        </w:rPr>
        <w:t>医疗费支出增加</w:t>
      </w:r>
      <w:r>
        <w:rPr>
          <w:rFonts w:hint="eastAsia" w:ascii="仿宋_GB2312" w:hAnsi="ˎ̥" w:eastAsia="仿宋_GB2312"/>
          <w:color w:val="000000" w:themeColor="text1"/>
          <w:sz w:val="32"/>
          <w:szCs w:val="32"/>
          <w14:textFill>
            <w14:solidFill>
              <w14:schemeClr w14:val="tx1"/>
            </w14:solidFill>
          </w14:textFill>
        </w:rPr>
        <w:t>。</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9</w:t>
      </w:r>
      <w:r>
        <w:rPr>
          <w:rFonts w:hint="eastAsia" w:ascii="仿宋_GB2312" w:hAnsi="ˎ̥" w:eastAsia="仿宋_GB2312"/>
          <w:color w:val="000000" w:themeColor="text1"/>
          <w:sz w:val="32"/>
          <w:szCs w:val="32"/>
          <w14:textFill>
            <w14:solidFill>
              <w14:schemeClr w14:val="tx1"/>
            </w14:solidFill>
          </w14:textFill>
        </w:rPr>
        <w:t>.</w:t>
      </w:r>
      <w:r>
        <w:rPr>
          <w:rFonts w:hint="default" w:ascii="仿宋_GB2312" w:hAnsi="ˎ̥" w:eastAsia="仿宋_GB2312" w:cs="仿宋_GB2312"/>
          <w:b/>
          <w:color w:val="000000" w:themeColor="text1"/>
          <w:kern w:val="0"/>
          <w:sz w:val="32"/>
          <w:szCs w:val="32"/>
          <w14:textFill>
            <w14:solidFill>
              <w14:schemeClr w14:val="tx1"/>
            </w14:solidFill>
          </w14:textFill>
        </w:rPr>
        <w:t>住房保障支出（类）住房改革支出（款）住房公积金（项）</w:t>
      </w:r>
    </w:p>
    <w:p>
      <w:pPr>
        <w:spacing w:line="578" w:lineRule="exact"/>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48.73</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38.09</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78.17</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eastAsia="zh-CN"/>
          <w14:textFill>
            <w14:solidFill>
              <w14:schemeClr w14:val="tx1"/>
            </w14:solidFill>
          </w14:textFill>
        </w:rPr>
        <w:t>小</w:t>
      </w:r>
      <w:r>
        <w:rPr>
          <w:rFonts w:hint="eastAsia" w:ascii="仿宋_GB2312" w:hAnsi="ˎ̥" w:eastAsia="仿宋_GB2312"/>
          <w:color w:val="000000" w:themeColor="text1"/>
          <w:sz w:val="32"/>
          <w:szCs w:val="32"/>
          <w14:textFill>
            <w14:solidFill>
              <w14:schemeClr w14:val="tx1"/>
            </w14:solidFill>
          </w14:textFill>
        </w:rPr>
        <w:t>于预算数的主要原因</w:t>
      </w:r>
      <w:r>
        <w:rPr>
          <w:rFonts w:hint="eastAsia" w:ascii="仿宋_GB2312" w:hAnsi="ˎ̥" w:eastAsia="仿宋_GB2312"/>
          <w:color w:val="000000" w:themeColor="text1"/>
          <w:sz w:val="32"/>
          <w:szCs w:val="32"/>
          <w:lang w:val="en-US" w:eastAsia="zh-CN"/>
          <w14:textFill>
            <w14:solidFill>
              <w14:schemeClr w14:val="tx1"/>
            </w14:solidFill>
          </w14:textFill>
        </w:rPr>
        <w:t>1人退休，</w:t>
      </w:r>
      <w:r>
        <w:rPr>
          <w:rFonts w:hint="eastAsia" w:ascii="仿宋_GB2312" w:hAnsi="ˎ̥" w:eastAsia="仿宋_GB2312"/>
          <w:color w:val="000000" w:themeColor="text1"/>
          <w:sz w:val="32"/>
          <w:szCs w:val="32"/>
          <w:lang w:eastAsia="zh-CN"/>
          <w14:textFill>
            <w14:solidFill>
              <w14:schemeClr w14:val="tx1"/>
            </w14:solidFill>
          </w14:textFill>
        </w:rPr>
        <w:t>住房公积金缴费</w:t>
      </w:r>
      <w:r>
        <w:rPr>
          <w:rFonts w:hint="eastAsia" w:ascii="仿宋_GB2312" w:hAnsi="ˎ̥" w:eastAsia="仿宋_GB2312"/>
          <w:color w:val="000000" w:themeColor="text1"/>
          <w:sz w:val="32"/>
          <w:szCs w:val="32"/>
          <w:lang w:val="en-US" w:eastAsia="zh-CN"/>
          <w14:textFill>
            <w14:solidFill>
              <w14:schemeClr w14:val="tx1"/>
            </w14:solidFill>
          </w14:textFill>
        </w:rPr>
        <w:t>减少</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年度财政拨款基本支出</w:t>
      </w:r>
      <w:r>
        <w:rPr>
          <w:rFonts w:hint="eastAsia" w:ascii="仿宋_GB2312" w:hAnsi="ˎ̥" w:eastAsia="仿宋_GB2312"/>
          <w:color w:val="000000" w:themeColor="text1"/>
          <w:sz w:val="32"/>
          <w:szCs w:val="32"/>
          <w:lang w:val="en-US"/>
          <w14:textFill>
            <w14:solidFill>
              <w14:schemeClr w14:val="tx1"/>
            </w14:solidFill>
          </w14:textFill>
        </w:rPr>
        <w:t>542.52</w:t>
      </w:r>
      <w:r>
        <w:rPr>
          <w:rFonts w:hint="eastAsia" w:ascii="仿宋_GB2312" w:hAnsi="ˎ̥" w:eastAsia="仿宋_GB2312"/>
          <w:color w:val="000000" w:themeColor="text1"/>
          <w:sz w:val="32"/>
          <w:szCs w:val="32"/>
          <w14:textFill>
            <w14:solidFill>
              <w14:schemeClr w14:val="tx1"/>
            </w14:solidFill>
          </w14:textFill>
        </w:rPr>
        <w:t>万元，其中：人员经费</w:t>
      </w:r>
      <w:r>
        <w:rPr>
          <w:rFonts w:ascii="仿宋_GB2312" w:hAnsi="ˎ̥" w:eastAsia="仿宋_GB2312"/>
          <w:color w:val="000000" w:themeColor="text1"/>
          <w:sz w:val="32"/>
          <w:szCs w:val="32"/>
          <w:lang w:val="en-US"/>
          <w14:textFill>
            <w14:solidFill>
              <w14:schemeClr w14:val="tx1"/>
            </w14:solidFill>
          </w14:textFill>
        </w:rPr>
        <w:t>534.50</w:t>
      </w:r>
      <w:r>
        <w:rPr>
          <w:rFonts w:hint="eastAsia" w:ascii="仿宋_GB2312" w:hAnsi="ˎ̥" w:eastAsia="仿宋_GB2312"/>
          <w:color w:val="000000" w:themeColor="text1"/>
          <w:sz w:val="32"/>
          <w:szCs w:val="32"/>
          <w14:textFill>
            <w14:solidFill>
              <w14:schemeClr w14:val="tx1"/>
            </w14:solidFill>
          </w14:textFill>
        </w:rPr>
        <w:t>万元，主要包括：工资福利支出中的基本工资、津贴补贴、绩效工资、机关事业单位基本养老保险缴费、职业年金缴费、职工基本医疗保险缴费、公务员医疗补助缴费、其他社会保障缴费、住房公积金、医疗费。公用经费</w:t>
      </w:r>
      <w:r>
        <w:rPr>
          <w:rFonts w:ascii="仿宋_GB2312" w:hAnsi="ˎ̥" w:eastAsia="仿宋_GB2312"/>
          <w:color w:val="000000" w:themeColor="text1"/>
          <w:sz w:val="32"/>
          <w:szCs w:val="32"/>
          <w:lang w:val="en-US"/>
          <w14:textFill>
            <w14:solidFill>
              <w14:schemeClr w14:val="tx1"/>
            </w14:solidFill>
          </w14:textFill>
        </w:rPr>
        <w:t>8.02</w:t>
      </w:r>
      <w:r>
        <w:rPr>
          <w:rFonts w:hint="eastAsia" w:ascii="仿宋_GB2312" w:hAnsi="ˎ̥" w:eastAsia="仿宋_GB2312"/>
          <w:color w:val="000000" w:themeColor="text1"/>
          <w:sz w:val="32"/>
          <w:szCs w:val="32"/>
          <w14:textFill>
            <w14:solidFill>
              <w14:schemeClr w14:val="tx1"/>
            </w14:solidFill>
          </w14:textFill>
        </w:rPr>
        <w:t>万元，主要包括：商品和服务支出中的邮电费</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工会经费。</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年度相比，政府性基金预算财政拨款支出增加（减少）</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年度相比，国有资本经营预算财政拨款支出增加（减少）</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年度财政拨款“三公”经费支出预算为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万元，完成预算的</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w:t>
      </w:r>
      <w:r>
        <w:rPr>
          <w:rFonts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color w:val="000000" w:themeColor="text1"/>
          <w:sz w:val="32"/>
          <w:szCs w:val="32"/>
          <w14:textFill>
            <w14:solidFill>
              <w14:schemeClr w14:val="tx1"/>
            </w14:solidFill>
          </w14:textFill>
        </w:rPr>
        <w:t>“三公”经费支出增加</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减少</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，增长（</w:t>
      </w:r>
      <w:r>
        <w:rPr>
          <w:rFonts w:hint="eastAsia" w:ascii="仿宋_GB2312" w:hAnsi="ˎ̥" w:eastAsia="仿宋_GB2312"/>
          <w:color w:val="000000" w:themeColor="text1"/>
          <w:sz w:val="32"/>
          <w:szCs w:val="32"/>
          <w14:textFill>
            <w14:solidFill>
              <w14:schemeClr w14:val="tx1"/>
            </w14:solidFill>
          </w14:textFill>
        </w:rPr>
        <w:t>下降</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楷体" w:hAnsi="楷体" w:eastAsia="楷体" w:cs="楷体"/>
          <w:color w:val="000000" w:themeColor="text1"/>
          <w:sz w:val="32"/>
          <w:szCs w:val="32"/>
          <w14:textFill>
            <w14:solidFill>
              <w14:schemeClr w14:val="tx1"/>
            </w14:solidFill>
          </w14:textFill>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年度财政拨款“三公”经费支出决算中，因公出国（境）费支出决算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%；公务用车购置及运行维护费支出决算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%；公务接待费支出决算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1.因公出国（境）费</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因公出国（境）费支出决算</w:t>
      </w:r>
      <w:r>
        <w:rPr>
          <w:rFonts w:hint="eastAsia" w:ascii="仿宋_GB2312" w:hAnsi="ˎ̥" w:eastAsia="仿宋_GB2312"/>
          <w:color w:val="000000" w:themeColor="text1"/>
          <w:sz w:val="32"/>
          <w:szCs w:val="32"/>
          <w:lang w:val="en-US" w:eastAsia="zh-CN"/>
          <w14:textFill>
            <w14:solidFill>
              <w14:schemeClr w14:val="tx1"/>
            </w14:solidFill>
          </w14:textFill>
        </w:rPr>
        <w:t>数</w:t>
      </w:r>
      <w:r>
        <w:rPr>
          <w:rFonts w:hint="eastAsia" w:ascii="仿宋_GB2312" w:hAnsi="ˎ̥" w:eastAsia="仿宋_GB2312"/>
          <w:color w:val="000000" w:themeColor="text1"/>
          <w:sz w:val="32"/>
          <w:szCs w:val="32"/>
          <w14:textFill>
            <w14:solidFill>
              <w14:schemeClr w14:val="tx1"/>
            </w14:solidFill>
          </w14:textFill>
        </w:rPr>
        <w:t>比预算数增加（减少）</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完成预算的0.00</w:t>
      </w:r>
      <w:r>
        <w:rPr>
          <w:rFonts w:hint="default"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color w:val="000000" w:themeColor="text1"/>
          <w:sz w:val="32"/>
          <w:szCs w:val="32"/>
          <w14:textFill>
            <w14:solidFill>
              <w14:schemeClr w14:val="tx1"/>
            </w14:solidFill>
          </w14:textFill>
        </w:rPr>
        <w:t>因公出国（境）费支出增加</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减少</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，增长（</w:t>
      </w:r>
      <w:r>
        <w:rPr>
          <w:rFonts w:hint="eastAsia" w:ascii="仿宋_GB2312" w:hAnsi="ˎ̥" w:eastAsia="仿宋_GB2312"/>
          <w:color w:val="000000" w:themeColor="text1"/>
          <w:sz w:val="32"/>
          <w:szCs w:val="32"/>
          <w14:textFill>
            <w14:solidFill>
              <w14:schemeClr w14:val="tx1"/>
            </w14:solidFill>
          </w14:textFill>
        </w:rPr>
        <w:t>下降</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 xml:space="preserve">    2.公务用车购置及运行维护费</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公务用车购置</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万元，全年购置公务用车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辆，年末公务用车保有量</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公务用车运行维护费</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000000" w:themeColor="text1"/>
          <w:sz w:val="32"/>
          <w:szCs w:val="32"/>
          <w14:textFill>
            <w14:solidFill>
              <w14:schemeClr w14:val="tx1"/>
            </w14:solidFill>
          </w14:textFill>
        </w:rPr>
      </w:pPr>
      <w:r>
        <w:rPr>
          <w:rFonts w:hint="eastAsia" w:ascii="仿宋_GB2312" w:hAnsi="ˎ̥" w:eastAsia="仿宋_GB2312"/>
          <w:bCs/>
          <w:color w:val="000000" w:themeColor="text1"/>
          <w:sz w:val="32"/>
          <w:szCs w:val="32"/>
          <w14:textFill>
            <w14:solidFill>
              <w14:schemeClr w14:val="tx1"/>
            </w14:solidFill>
          </w14:textFill>
        </w:rPr>
        <w:t>公务用车购置及运行维护费支出决算数</w:t>
      </w:r>
      <w:r>
        <w:rPr>
          <w:rFonts w:hint="eastAsia" w:ascii="仿宋_GB2312" w:hAnsi="ˎ̥" w:eastAsia="仿宋_GB2312"/>
          <w:color w:val="000000" w:themeColor="text1"/>
          <w:sz w:val="32"/>
          <w:szCs w:val="32"/>
          <w14:textFill>
            <w14:solidFill>
              <w14:schemeClr w14:val="tx1"/>
            </w14:solidFill>
          </w14:textFill>
        </w:rPr>
        <w:t>比预算数增加（减少）</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完成预算的0.00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bCs/>
          <w:color w:val="000000" w:themeColor="text1"/>
          <w:sz w:val="32"/>
          <w:szCs w:val="32"/>
          <w14:textFill>
            <w14:solidFill>
              <w14:schemeClr w14:val="tx1"/>
            </w14:solidFill>
          </w14:textFill>
        </w:rPr>
        <w:t>公务用车购置及运行维护费</w:t>
      </w:r>
      <w:r>
        <w:rPr>
          <w:rFonts w:hint="eastAsia" w:ascii="仿宋_GB2312" w:hAnsi="ˎ̥" w:eastAsia="仿宋_GB2312"/>
          <w:color w:val="000000" w:themeColor="text1"/>
          <w:sz w:val="32"/>
          <w:szCs w:val="32"/>
          <w14:textFill>
            <w14:solidFill>
              <w14:schemeClr w14:val="tx1"/>
            </w14:solidFill>
          </w14:textFill>
        </w:rPr>
        <w:t>支出增加</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减少</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，增长（</w:t>
      </w:r>
      <w:r>
        <w:rPr>
          <w:rFonts w:hint="eastAsia" w:ascii="仿宋_GB2312" w:hAnsi="ˎ̥" w:eastAsia="仿宋_GB2312"/>
          <w:color w:val="000000" w:themeColor="text1"/>
          <w:sz w:val="32"/>
          <w:szCs w:val="32"/>
          <w14:textFill>
            <w14:solidFill>
              <w14:schemeClr w14:val="tx1"/>
            </w14:solidFill>
          </w14:textFill>
        </w:rPr>
        <w:t>下降</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 xml:space="preserve">    3.公务接待费</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国内接待费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万元，国内公务接待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批次，接待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bCs/>
          <w:color w:val="000000" w:themeColor="text1"/>
          <w:sz w:val="32"/>
          <w:szCs w:val="32"/>
          <w14:textFill>
            <w14:solidFill>
              <w14:schemeClr w14:val="tx1"/>
            </w14:solidFill>
          </w14:textFill>
        </w:rPr>
        <w:t>国（境）外接待费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万元，国（境）外公务接待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批次，接待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公务接待费支出决算数比预算数增加（减少）</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完成预算的0.00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bCs/>
          <w:color w:val="000000" w:themeColor="text1"/>
          <w:sz w:val="32"/>
          <w:szCs w:val="32"/>
          <w14:textFill>
            <w14:solidFill>
              <w14:schemeClr w14:val="tx1"/>
            </w14:solidFill>
          </w14:textFill>
        </w:rPr>
        <w:t>公务接待费</w:t>
      </w:r>
      <w:r>
        <w:rPr>
          <w:rFonts w:hint="eastAsia" w:ascii="仿宋_GB2312" w:hAnsi="ˎ̥" w:eastAsia="仿宋_GB2312"/>
          <w:color w:val="000000" w:themeColor="text1"/>
          <w:sz w:val="32"/>
          <w:szCs w:val="32"/>
          <w14:textFill>
            <w14:solidFill>
              <w14:schemeClr w14:val="tx1"/>
            </w14:solidFill>
          </w14:textFill>
        </w:rPr>
        <w:t>支出增加</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减少</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，增长（</w:t>
      </w:r>
      <w:r>
        <w:rPr>
          <w:rFonts w:hint="eastAsia" w:ascii="仿宋_GB2312" w:hAnsi="ˎ̥" w:eastAsia="仿宋_GB2312"/>
          <w:color w:val="000000" w:themeColor="text1"/>
          <w:sz w:val="32"/>
          <w:szCs w:val="32"/>
          <w14:textFill>
            <w14:solidFill>
              <w14:schemeClr w14:val="tx1"/>
            </w14:solidFill>
          </w14:textFill>
        </w:rPr>
        <w:t>下降</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根据财政预算绩效管理要求，可按照如下格式说明：根据预算管理要求，我</w:t>
      </w:r>
      <w:r>
        <w:rPr>
          <w:rFonts w:hint="eastAsia" w:ascii="仿宋_GB2312" w:eastAsia="仿宋_GB2312"/>
          <w:color w:val="000000" w:themeColor="text1"/>
          <w:sz w:val="32"/>
          <w:szCs w:val="32"/>
          <w:lang w:eastAsia="zh-CN"/>
          <w14:textFill>
            <w14:solidFill>
              <w14:schemeClr w14:val="tx1"/>
            </w14:solidFill>
          </w14:textFill>
        </w:rPr>
        <w:t>单位</w:t>
      </w:r>
      <w:r>
        <w:rPr>
          <w:rFonts w:hint="eastAsia" w:ascii="仿宋_GB2312" w:eastAsia="仿宋_GB2312"/>
          <w:color w:val="000000" w:themeColor="text1"/>
          <w:sz w:val="32"/>
          <w:szCs w:val="32"/>
          <w14:textFill>
            <w14:solidFill>
              <w14:schemeClr w14:val="tx1"/>
            </w14:solidFill>
          </w14:textFill>
        </w:rPr>
        <w:t>组织对</w:t>
      </w:r>
      <w:r>
        <w:rPr>
          <w:rFonts w:hint="default" w:ascii="仿宋_GB2312" w:eastAsia="仿宋_GB2312"/>
          <w:color w:val="000000" w:themeColor="text1"/>
          <w:sz w:val="32"/>
          <w:szCs w:val="32"/>
          <w:lang w:val="en-US"/>
          <w14:textFill>
            <w14:solidFill>
              <w14:schemeClr w14:val="tx1"/>
            </w14:solidFill>
          </w14:textFill>
        </w:rPr>
        <w:t>2024</w:t>
      </w:r>
      <w:r>
        <w:rPr>
          <w:rFonts w:hint="eastAsia" w:ascii="仿宋_GB2312" w:eastAsia="仿宋_GB2312"/>
          <w:color w:val="000000" w:themeColor="text1"/>
          <w:sz w:val="32"/>
          <w:szCs w:val="32"/>
          <w14:textFill>
            <w14:solidFill>
              <w14:schemeClr w14:val="tx1"/>
            </w14:solidFill>
          </w14:textFill>
        </w:rPr>
        <w:t>年度一般公共预算项目支出全面开展绩效自评</w:t>
      </w:r>
      <w:r>
        <w:rPr>
          <w:rFonts w:hint="default" w:ascii="仿宋_GB2312" w:eastAsia="仿宋_GB2312"/>
          <w:color w:val="000000" w:themeColor="text1"/>
          <w:sz w:val="32"/>
          <w:szCs w:val="32"/>
          <w:lang w:val="en-US"/>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共涉及资金612.16万元，占一般公共预算项目支出总额的100%</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bidi="ar"/>
          <w14:textFill>
            <w14:solidFill>
              <w14:schemeClr w14:val="tx1"/>
            </w14:solidFill>
          </w14:textFill>
        </w:rPr>
        <w:t>组织对</w:t>
      </w:r>
      <w:r>
        <w:rPr>
          <w:rFonts w:hint="default" w:ascii="仿宋_GB2312" w:eastAsia="仿宋_GB2312"/>
          <w:color w:val="000000" w:themeColor="text1"/>
          <w:sz w:val="32"/>
          <w:szCs w:val="32"/>
          <w:lang w:val="en-US" w:bidi="ar"/>
          <w14:textFill>
            <w14:solidFill>
              <w14:schemeClr w14:val="tx1"/>
            </w14:solidFill>
          </w14:textFill>
        </w:rPr>
        <w:t>2024</w:t>
      </w:r>
      <w:r>
        <w:rPr>
          <w:rFonts w:hint="eastAsia" w:ascii="仿宋_GB2312" w:eastAsia="仿宋_GB2312"/>
          <w:color w:val="000000" w:themeColor="text1"/>
          <w:sz w:val="32"/>
          <w:szCs w:val="32"/>
          <w:lang w:bidi="ar"/>
          <w14:textFill>
            <w14:solidFill>
              <w14:schemeClr w14:val="tx1"/>
            </w14:solidFill>
          </w14:textFill>
        </w:rPr>
        <w:t>年度</w:t>
      </w:r>
      <w:r>
        <w:rPr>
          <w:rFonts w:hint="eastAsia" w:ascii="仿宋_GB2312" w:eastAsia="仿宋_GB2312"/>
          <w:color w:val="000000" w:themeColor="text1"/>
          <w:sz w:val="32"/>
          <w:szCs w:val="32"/>
          <w:lang w:val="en-US" w:eastAsia="zh-CN" w:bidi="ar"/>
          <w14:textFill>
            <w14:solidFill>
              <w14:schemeClr w14:val="tx1"/>
            </w14:solidFill>
          </w14:textFill>
        </w:rPr>
        <w:t>0</w:t>
      </w:r>
      <w:r>
        <w:rPr>
          <w:rFonts w:hint="eastAsia" w:ascii="仿宋_GB2312" w:eastAsia="仿宋_GB2312"/>
          <w:color w:val="000000" w:themeColor="text1"/>
          <w:sz w:val="32"/>
          <w:szCs w:val="32"/>
          <w:lang w:bidi="ar"/>
          <w14:textFill>
            <w14:solidFill>
              <w14:schemeClr w14:val="tx1"/>
            </w14:solidFill>
          </w14:textFill>
        </w:rPr>
        <w:t>个政府性基金预算项目开展绩效自评，共涉及资金</w:t>
      </w:r>
      <w:r>
        <w:rPr>
          <w:rFonts w:hint="eastAsia" w:ascii="仿宋_GB2312" w:eastAsia="仿宋_GB2312"/>
          <w:color w:val="000000" w:themeColor="text1"/>
          <w:sz w:val="32"/>
          <w:szCs w:val="32"/>
          <w:lang w:val="en-US" w:eastAsia="zh-CN" w:bidi="ar"/>
          <w14:textFill>
            <w14:solidFill>
              <w14:schemeClr w14:val="tx1"/>
            </w14:solidFill>
          </w14:textFill>
        </w:rPr>
        <w:t>0.00</w:t>
      </w:r>
      <w:r>
        <w:rPr>
          <w:rFonts w:hint="eastAsia" w:ascii="仿宋_GB2312" w:eastAsia="仿宋_GB2312"/>
          <w:color w:val="000000" w:themeColor="text1"/>
          <w:sz w:val="32"/>
          <w:szCs w:val="32"/>
          <w:lang w:bidi="ar"/>
          <w14:textFill>
            <w14:solidFill>
              <w14:schemeClr w14:val="tx1"/>
            </w14:solidFill>
          </w14:textFill>
        </w:rPr>
        <w:t>万元，占政府性基金预算项目支出总额的</w:t>
      </w:r>
      <w:r>
        <w:rPr>
          <w:rFonts w:hint="eastAsia" w:ascii="仿宋_GB2312" w:eastAsia="仿宋_GB2312"/>
          <w:color w:val="000000" w:themeColor="text1"/>
          <w:sz w:val="32"/>
          <w:szCs w:val="32"/>
          <w:lang w:val="en-US" w:eastAsia="zh-CN" w:bidi="ar"/>
          <w14:textFill>
            <w14:solidFill>
              <w14:schemeClr w14:val="tx1"/>
            </w14:solidFill>
          </w14:textFill>
        </w:rPr>
        <w:t>0.00</w:t>
      </w:r>
      <w:r>
        <w:rPr>
          <w:rFonts w:hint="eastAsia" w:ascii="仿宋_GB2312" w:eastAsia="仿宋_GB2312"/>
          <w:color w:val="000000" w:themeColor="text1"/>
          <w:sz w:val="32"/>
          <w:szCs w:val="32"/>
          <w:lang w:bidi="ar"/>
          <w14:textFill>
            <w14:solidFill>
              <w14:schemeClr w14:val="tx1"/>
            </w14:solidFill>
          </w14:textFill>
        </w:rPr>
        <w:t>%。组织对</w:t>
      </w:r>
      <w:r>
        <w:rPr>
          <w:rFonts w:hint="default" w:ascii="仿宋_GB2312" w:eastAsia="仿宋_GB2312"/>
          <w:color w:val="000000" w:themeColor="text1"/>
          <w:sz w:val="32"/>
          <w:szCs w:val="32"/>
          <w:lang w:val="en-US" w:bidi="ar"/>
          <w14:textFill>
            <w14:solidFill>
              <w14:schemeClr w14:val="tx1"/>
            </w14:solidFill>
          </w14:textFill>
        </w:rPr>
        <w:t>2024</w:t>
      </w:r>
      <w:r>
        <w:rPr>
          <w:rFonts w:hint="eastAsia" w:ascii="仿宋_GB2312" w:eastAsia="仿宋_GB2312"/>
          <w:color w:val="000000" w:themeColor="text1"/>
          <w:sz w:val="32"/>
          <w:szCs w:val="32"/>
          <w:lang w:bidi="ar"/>
          <w14:textFill>
            <w14:solidFill>
              <w14:schemeClr w14:val="tx1"/>
            </w14:solidFill>
          </w14:textFill>
        </w:rPr>
        <w:t>年度</w:t>
      </w:r>
      <w:r>
        <w:rPr>
          <w:rFonts w:hint="eastAsia" w:ascii="仿宋_GB2312" w:eastAsia="仿宋_GB2312"/>
          <w:color w:val="000000" w:themeColor="text1"/>
          <w:sz w:val="32"/>
          <w:szCs w:val="32"/>
          <w:lang w:val="en-US" w:eastAsia="zh-CN" w:bidi="ar"/>
          <w14:textFill>
            <w14:solidFill>
              <w14:schemeClr w14:val="tx1"/>
            </w14:solidFill>
          </w14:textFill>
        </w:rPr>
        <w:t>0</w:t>
      </w:r>
      <w:r>
        <w:rPr>
          <w:rFonts w:hint="eastAsia" w:ascii="仿宋_GB2312" w:eastAsia="仿宋_GB2312"/>
          <w:color w:val="000000" w:themeColor="text1"/>
          <w:sz w:val="32"/>
          <w:szCs w:val="32"/>
          <w:lang w:bidi="ar"/>
          <w14:textFill>
            <w14:solidFill>
              <w14:schemeClr w14:val="tx1"/>
            </w14:solidFill>
          </w14:textFill>
        </w:rPr>
        <w:t xml:space="preserve">个国有资本经营预算项目开展绩效自评，共涉及资金 </w:t>
      </w:r>
      <w:r>
        <w:rPr>
          <w:rFonts w:hint="eastAsia" w:ascii="仿宋_GB2312" w:eastAsia="仿宋_GB2312"/>
          <w:color w:val="000000" w:themeColor="text1"/>
          <w:sz w:val="32"/>
          <w:szCs w:val="32"/>
          <w:lang w:val="en-US" w:eastAsia="zh-CN" w:bidi="ar"/>
          <w14:textFill>
            <w14:solidFill>
              <w14:schemeClr w14:val="tx1"/>
            </w14:solidFill>
          </w14:textFill>
        </w:rPr>
        <w:t>0.00</w:t>
      </w:r>
      <w:r>
        <w:rPr>
          <w:rFonts w:hint="eastAsia" w:ascii="仿宋_GB2312" w:eastAsia="仿宋_GB2312"/>
          <w:color w:val="000000" w:themeColor="text1"/>
          <w:sz w:val="32"/>
          <w:szCs w:val="32"/>
          <w:lang w:bidi="ar"/>
          <w14:textFill>
            <w14:solidFill>
              <w14:schemeClr w14:val="tx1"/>
            </w14:solidFill>
          </w14:textFill>
        </w:rPr>
        <w:t>万元，占国有资本经营预算项目支出总额的</w:t>
      </w:r>
      <w:r>
        <w:rPr>
          <w:rFonts w:hint="eastAsia" w:ascii="仿宋_GB2312" w:eastAsia="仿宋_GB2312"/>
          <w:color w:val="000000" w:themeColor="text1"/>
          <w:sz w:val="32"/>
          <w:szCs w:val="32"/>
          <w:lang w:val="en-US" w:eastAsia="zh-CN" w:bidi="ar"/>
          <w14:textFill>
            <w14:solidFill>
              <w14:schemeClr w14:val="tx1"/>
            </w14:solidFill>
          </w14:textFill>
        </w:rPr>
        <w:t>0.00</w:t>
      </w:r>
      <w:r>
        <w:rPr>
          <w:rFonts w:hint="eastAsia" w:ascii="仿宋_GB2312" w:eastAsia="仿宋_GB2312"/>
          <w:color w:val="000000" w:themeColor="text1"/>
          <w:sz w:val="32"/>
          <w:szCs w:val="32"/>
          <w:lang w:bidi="ar"/>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（二）</w:t>
      </w:r>
      <w:r>
        <w:rPr>
          <w:rFonts w:hint="eastAsia" w:ascii="楷体" w:hAnsi="楷体" w:eastAsia="楷体" w:cs="楷体"/>
          <w:bCs/>
          <w:color w:val="000000" w:themeColor="text1"/>
          <w:sz w:val="32"/>
          <w:szCs w:val="32"/>
          <w:lang w:eastAsia="zh-CN"/>
          <w14:textFill>
            <w14:solidFill>
              <w14:schemeClr w14:val="tx1"/>
            </w14:solidFill>
          </w14:textFill>
        </w:rPr>
        <w:t>单位</w:t>
      </w:r>
      <w:r>
        <w:rPr>
          <w:rFonts w:hint="eastAsia" w:ascii="楷体" w:hAnsi="楷体" w:eastAsia="楷体" w:cs="楷体"/>
          <w:bCs/>
          <w:color w:val="000000" w:themeColor="text1"/>
          <w:sz w:val="32"/>
          <w:szCs w:val="32"/>
          <w14:textFill>
            <w14:solidFill>
              <w14:schemeClr w14:val="tx1"/>
            </w14:solidFill>
          </w14:textFill>
        </w:rPr>
        <w:t>决算中项目绩效自评结果（</w:t>
      </w:r>
      <w:r>
        <w:rPr>
          <w:rFonts w:hint="eastAsia" w:ascii="楷体" w:hAnsi="楷体" w:eastAsia="楷体" w:cs="楷体"/>
          <w:bCs/>
          <w:color w:val="000000" w:themeColor="text1"/>
          <w:sz w:val="32"/>
          <w:szCs w:val="32"/>
          <w:lang w:eastAsia="zh-CN"/>
          <w14:textFill>
            <w14:solidFill>
              <w14:schemeClr w14:val="tx1"/>
            </w14:solidFill>
          </w14:textFill>
        </w:rPr>
        <w:t>无</w:t>
      </w:r>
      <w:r>
        <w:rPr>
          <w:rFonts w:hint="eastAsia" w:ascii="楷体" w:hAnsi="楷体" w:eastAsia="楷体" w:cs="楷体"/>
          <w:bCs/>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（三）</w:t>
      </w:r>
      <w:r>
        <w:rPr>
          <w:rFonts w:hint="eastAsia" w:ascii="楷体" w:hAnsi="楷体" w:eastAsia="楷体" w:cs="楷体"/>
          <w:bCs/>
          <w:color w:val="000000" w:themeColor="text1"/>
          <w:sz w:val="32"/>
          <w:szCs w:val="32"/>
          <w:lang w:eastAsia="zh-CN"/>
          <w14:textFill>
            <w14:solidFill>
              <w14:schemeClr w14:val="tx1"/>
            </w14:solidFill>
          </w14:textFill>
        </w:rPr>
        <w:t>单位</w:t>
      </w:r>
      <w:r>
        <w:rPr>
          <w:rFonts w:hint="eastAsia" w:ascii="楷体" w:hAnsi="楷体" w:eastAsia="楷体" w:cs="楷体"/>
          <w:bCs/>
          <w:color w:val="000000" w:themeColor="text1"/>
          <w:sz w:val="32"/>
          <w:szCs w:val="32"/>
          <w14:textFill>
            <w14:solidFill>
              <w14:schemeClr w14:val="tx1"/>
            </w14:solidFill>
          </w14:textFill>
        </w:rPr>
        <w:t>评价结果（</w:t>
      </w:r>
      <w:r>
        <w:rPr>
          <w:rFonts w:hint="eastAsia" w:ascii="楷体" w:hAnsi="楷体" w:eastAsia="楷体" w:cs="楷体"/>
          <w:bCs/>
          <w:color w:val="000000" w:themeColor="text1"/>
          <w:sz w:val="32"/>
          <w:szCs w:val="32"/>
          <w:lang w:eastAsia="zh-CN"/>
          <w14:textFill>
            <w14:solidFill>
              <w14:schemeClr w14:val="tx1"/>
            </w14:solidFill>
          </w14:textFill>
        </w:rPr>
        <w:t>无</w:t>
      </w:r>
      <w:r>
        <w:rPr>
          <w:rFonts w:hint="eastAsia" w:ascii="楷体" w:hAnsi="楷体" w:eastAsia="楷体" w:cs="楷体"/>
          <w:bCs/>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（四）财政评价结果（</w:t>
      </w:r>
      <w:r>
        <w:rPr>
          <w:rFonts w:hint="eastAsia" w:ascii="楷体" w:hAnsi="楷体" w:eastAsia="楷体" w:cs="楷体"/>
          <w:bCs/>
          <w:color w:val="000000" w:themeColor="text1"/>
          <w:sz w:val="32"/>
          <w:szCs w:val="32"/>
          <w:lang w:eastAsia="zh-CN"/>
          <w14:textFill>
            <w14:solidFill>
              <w14:schemeClr w14:val="tx1"/>
            </w14:solidFill>
          </w14:textFill>
        </w:rPr>
        <w:t>无</w:t>
      </w:r>
      <w:r>
        <w:rPr>
          <w:rFonts w:hint="eastAsia" w:ascii="楷体" w:hAnsi="楷体" w:eastAsia="楷体" w:cs="楷体"/>
          <w:bCs/>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97" w:name="_Toc32639_WPSOffice_Level2"/>
      <w:bookmarkStart w:id="98" w:name="_Toc15262_WPSOffice_Level2"/>
      <w:bookmarkStart w:id="99" w:name="_Toc5978_WPSOffice_Level2"/>
      <w:bookmarkStart w:id="100" w:name="_Toc23598_WPSOffice_Level2"/>
      <w:bookmarkStart w:id="101" w:name="_Toc18325_WPSOffice_Level2"/>
      <w:bookmarkStart w:id="102" w:name="_Toc15565_WPSOffice_Level2"/>
      <w:r>
        <w:rPr>
          <w:rFonts w:hint="eastAsia" w:ascii="楷体" w:hAnsi="楷体" w:eastAsia="楷体" w:cs="楷体"/>
          <w:bCs/>
          <w:color w:val="000000" w:themeColor="text1"/>
          <w:sz w:val="32"/>
          <w:szCs w:val="32"/>
          <w14:textFill>
            <w14:solidFill>
              <w14:schemeClr w14:val="tx1"/>
            </w14:solidFill>
          </w14:textFill>
        </w:rPr>
        <w:t>（一）机关运行经费支出情况</w:t>
      </w:r>
      <w:bookmarkEnd w:id="97"/>
      <w:bookmarkEnd w:id="98"/>
      <w:bookmarkEnd w:id="99"/>
      <w:bookmarkEnd w:id="100"/>
      <w:bookmarkEnd w:id="101"/>
      <w:bookmarkEnd w:id="102"/>
    </w:p>
    <w:p>
      <w:pPr>
        <w:spacing w:line="578" w:lineRule="exact"/>
        <w:ind w:firstLine="640" w:firstLineChars="200"/>
        <w:rPr>
          <w:rFonts w:hint="eastAsia" w:ascii="仿宋_GB2312" w:hAnsi="ˎ̥" w:eastAsia="仿宋_GB2312"/>
          <w:color w:val="000000" w:themeColor="text1"/>
          <w:sz w:val="32"/>
          <w:szCs w:val="32"/>
          <w:lang w:eastAsia="zh-CN"/>
          <w14:textFill>
            <w14:solidFill>
              <w14:schemeClr w14:val="tx1"/>
            </w14:solidFill>
          </w14:textFill>
        </w:rPr>
      </w:pPr>
      <w:bookmarkStart w:id="103" w:name="_Toc23966_WPSOffice_Level2"/>
      <w:bookmarkStart w:id="104" w:name="_Toc3131_WPSOffice_Level2"/>
      <w:bookmarkStart w:id="105" w:name="_Toc13084_WPSOffice_Level2"/>
      <w:bookmarkStart w:id="106" w:name="_Toc30383_WPSOffice_Level2"/>
      <w:bookmarkStart w:id="107" w:name="_Toc32689_WPSOffice_Level2"/>
      <w:bookmarkStart w:id="108" w:name="_Toc25333_WPSOffice_Level2"/>
      <w:r>
        <w:rPr>
          <w:rFonts w:hint="eastAsia" w:ascii="仿宋_GB2312" w:hAnsi="ˎ̥" w:eastAsia="仿宋_GB2312"/>
          <w:color w:val="000000" w:themeColor="text1"/>
          <w:sz w:val="32"/>
          <w:szCs w:val="32"/>
          <w14:textFill>
            <w14:solidFill>
              <w14:schemeClr w14:val="tx1"/>
            </w14:solidFill>
          </w14:textFill>
        </w:rPr>
        <w:t>202</w:t>
      </w:r>
      <w:r>
        <w:rPr>
          <w:rFonts w:hint="eastAsia" w:ascii="仿宋_GB2312" w:hAnsi="ˎ̥" w:eastAsia="仿宋_GB2312"/>
          <w:color w:val="000000" w:themeColor="text1"/>
          <w:sz w:val="32"/>
          <w:szCs w:val="32"/>
          <w:lang w:val="en-US" w:eastAsia="zh-CN"/>
          <w14:textFill>
            <w14:solidFill>
              <w14:schemeClr w14:val="tx1"/>
            </w14:solidFill>
          </w14:textFill>
        </w:rPr>
        <w:t>4</w:t>
      </w:r>
      <w:r>
        <w:rPr>
          <w:rFonts w:hint="eastAsia" w:ascii="仿宋_GB2312" w:hAnsi="ˎ̥" w:eastAsia="仿宋_GB2312"/>
          <w:color w:val="000000" w:themeColor="text1"/>
          <w:sz w:val="32"/>
          <w:szCs w:val="32"/>
          <w14:textFill>
            <w14:solidFill>
              <w14:schemeClr w14:val="tx1"/>
            </w14:solidFill>
          </w14:textFill>
        </w:rPr>
        <w:t>年度</w:t>
      </w:r>
      <w:r>
        <w:rPr>
          <w:rFonts w:hint="default" w:ascii="仿宋_GB2312" w:hAnsi="ˎ̥" w:eastAsia="仿宋_GB2312" w:cs="仿宋_GB2312"/>
          <w:color w:val="000000" w:themeColor="text1"/>
          <w:kern w:val="0"/>
          <w:sz w:val="32"/>
          <w:szCs w:val="32"/>
          <w14:textFill>
            <w14:solidFill>
              <w14:schemeClr w14:val="tx1"/>
            </w14:solidFill>
          </w14:textFill>
        </w:rPr>
        <w:t>常州市武进区机关幼儿园教育集团屯昌实验幼儿园</w:t>
      </w:r>
      <w:r>
        <w:rPr>
          <w:rFonts w:hint="eastAsia" w:ascii="仿宋_GB2312" w:hAnsi="ˎ̥" w:eastAsia="仿宋_GB2312"/>
          <w:color w:val="000000" w:themeColor="text1"/>
          <w:sz w:val="32"/>
          <w:szCs w:val="32"/>
          <w14:textFill>
            <w14:solidFill>
              <w14:schemeClr w14:val="tx1"/>
            </w14:solidFill>
          </w14:textFill>
        </w:rPr>
        <w:t>机关运行经费</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w:t>
      </w:r>
      <w:r>
        <w:rPr>
          <w:rFonts w:hint="default" w:ascii="仿宋_GB2312" w:hAnsi="ˎ̥" w:eastAsia="仿宋_GB2312" w:cs="仿宋_GB2312"/>
          <w:color w:val="000000" w:themeColor="text1"/>
          <w:kern w:val="0"/>
          <w:sz w:val="32"/>
          <w:szCs w:val="32"/>
          <w14:textFill>
            <w14:solidFill>
              <w14:schemeClr w14:val="tx1"/>
            </w14:solidFill>
          </w14:textFill>
        </w:rPr>
        <w:t>常州市武进区机关幼儿园教育集团屯昌实验幼儿园</w:t>
      </w:r>
      <w:r>
        <w:rPr>
          <w:rFonts w:hint="eastAsia" w:ascii="仿宋_GB2312" w:hAnsi="ˎ̥" w:eastAsia="仿宋_GB2312"/>
          <w:color w:val="000000" w:themeColor="text1"/>
          <w:sz w:val="32"/>
          <w:szCs w:val="32"/>
          <w14:textFill>
            <w14:solidFill>
              <w14:schemeClr w14:val="tx1"/>
            </w14:solidFill>
          </w14:textFill>
        </w:rPr>
        <w:t>政府采购支出总额</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万元，其中：政府采购货物支出</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万元、政府采购工程支出</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万元、政府采购服务支出</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万元。授予中小企业合同金额</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万元，占政府采购支出总额的</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%，其中：授予小微企业合同金额</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授予中小企业合同金额</w:t>
      </w:r>
      <w:r>
        <w:rPr>
          <w:rFonts w:hint="eastAsia" w:ascii="仿宋_GB2312" w:hAnsi="仿宋_GB2312" w:eastAsia="仿宋_GB2312" w:cs="仿宋_GB2312"/>
          <w:color w:val="000000" w:themeColor="text1"/>
          <w:sz w:val="32"/>
          <w:szCs w:val="32"/>
          <w14:textFill>
            <w14:solidFill>
              <w14:schemeClr w14:val="tx1"/>
            </w14:solidFill>
          </w14:textFill>
        </w:rPr>
        <w:t>的</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109" w:name="_Toc527_WPSOffice_Level2"/>
      <w:bookmarkStart w:id="110" w:name="_Toc19989_WPSOffice_Level2"/>
      <w:bookmarkStart w:id="111" w:name="_Toc15129_WPSOffice_Level2"/>
      <w:bookmarkStart w:id="112" w:name="_Toc10902_WPSOffice_Level2"/>
      <w:bookmarkStart w:id="113" w:name="_Toc6016_WPSOffice_Level2"/>
      <w:bookmarkStart w:id="114" w:name="_Toc29584_WPSOffice_Level2"/>
      <w:r>
        <w:rPr>
          <w:rFonts w:hint="eastAsia" w:ascii="楷体" w:hAnsi="楷体" w:eastAsia="楷体" w:cs="楷体"/>
          <w:bCs/>
          <w:color w:val="000000" w:themeColor="text1"/>
          <w:sz w:val="32"/>
          <w:szCs w:val="32"/>
          <w14:textFill>
            <w14:solidFill>
              <w14:schemeClr w14:val="tx1"/>
            </w14:solidFill>
          </w14:textFill>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Cs/>
          <w:color w:val="000000" w:themeColor="text1"/>
          <w:sz w:val="32"/>
          <w:szCs w:val="32"/>
          <w14:textFill>
            <w14:solidFill>
              <w14:schemeClr w14:val="tx1"/>
            </w14:solidFill>
          </w14:textFill>
        </w:rPr>
        <w:t>截至</w:t>
      </w:r>
      <w:r>
        <w:rPr>
          <w:rFonts w:hint="default" w:ascii="仿宋_GB2312" w:hAnsi="ˎ̥" w:eastAsia="仿宋_GB2312"/>
          <w:bCs/>
          <w:color w:val="000000" w:themeColor="text1"/>
          <w:sz w:val="32"/>
          <w:szCs w:val="32"/>
          <w:lang w:val="en-US"/>
          <w14:textFill>
            <w14:solidFill>
              <w14:schemeClr w14:val="tx1"/>
            </w14:solidFill>
          </w14:textFill>
        </w:rPr>
        <w:t>2024</w:t>
      </w:r>
      <w:r>
        <w:rPr>
          <w:rFonts w:hint="eastAsia" w:ascii="仿宋_GB2312" w:hAnsi="ˎ̥" w:eastAsia="仿宋_GB2312"/>
          <w:bCs/>
          <w:color w:val="000000" w:themeColor="text1"/>
          <w:sz w:val="32"/>
          <w:szCs w:val="32"/>
          <w14:textFill>
            <w14:solidFill>
              <w14:schemeClr w14:val="tx1"/>
            </w14:solidFill>
          </w14:textFill>
        </w:rPr>
        <w:t>年12月31日，本</w:t>
      </w:r>
      <w:r>
        <w:rPr>
          <w:rFonts w:hint="eastAsia" w:ascii="仿宋_GB2312" w:hAnsi="ˎ̥" w:eastAsia="仿宋_GB2312"/>
          <w:bCs/>
          <w:color w:val="000000" w:themeColor="text1"/>
          <w:sz w:val="32"/>
          <w:szCs w:val="32"/>
          <w:lang w:eastAsia="zh-CN"/>
          <w14:textFill>
            <w14:solidFill>
              <w14:schemeClr w14:val="tx1"/>
            </w14:solidFill>
          </w14:textFill>
        </w:rPr>
        <w:t>单位</w:t>
      </w:r>
      <w:r>
        <w:rPr>
          <w:rFonts w:hint="eastAsia" w:ascii="仿宋_GB2312" w:hAnsi="ˎ̥" w:eastAsia="仿宋_GB2312"/>
          <w:bCs/>
          <w:color w:val="000000" w:themeColor="text1"/>
          <w:sz w:val="32"/>
          <w:szCs w:val="32"/>
          <w14:textFill>
            <w14:solidFill>
              <w14:schemeClr w14:val="tx1"/>
            </w14:solidFill>
          </w14:textFill>
        </w:rPr>
        <w:t>拥有</w:t>
      </w:r>
      <w:r>
        <w:rPr>
          <w:rFonts w:hint="eastAsia" w:ascii="仿宋_GB2312" w:hAnsi="ˎ̥" w:eastAsia="仿宋_GB2312"/>
          <w:color w:val="000000" w:themeColor="text1"/>
          <w:sz w:val="32"/>
          <w:szCs w:val="32"/>
          <w14:textFill>
            <w14:solidFill>
              <w14:schemeClr w14:val="tx1"/>
            </w14:solidFill>
          </w14:textFill>
        </w:rPr>
        <w:t>房屋面积8251平方米</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共有车辆</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辆，其中，副部（省）级及以上领导用车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辆、主要负责人用车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辆、机要通信用车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辆、应急保障用车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辆、执法执勤用车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辆、特种专业技术用车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辆、离退休干部服务用车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辆、其他用车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单价100万元（含）以上设备（不含车辆）</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bookmarkStart w:id="115" w:name="_Toc4398_WPSOffice_Level1"/>
      <w:bookmarkStart w:id="116" w:name="_Toc8874_WPSOffice_Level1"/>
      <w:bookmarkStart w:id="117" w:name="_Toc11039_WPSOffice_Level1"/>
      <w:bookmarkStart w:id="118" w:name="_Toc8808_WPSOffice_Level1"/>
      <w:bookmarkStart w:id="119" w:name="_Toc17580_WPSOffice_Level1"/>
      <w:bookmarkStart w:id="120"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财政拨款收入：指同级政府财政</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二、上级补助收入：指事业单位从主管</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十六、</w:t>
      </w:r>
      <w:r>
        <w:rPr>
          <w:rFonts w:ascii="仿宋_GB2312" w:hAnsi="ˎ̥" w:eastAsia="仿宋_GB2312"/>
          <w:color w:val="000000" w:themeColor="text1"/>
          <w:sz w:val="32"/>
          <w:szCs w:val="32"/>
          <w14:textFill>
            <w14:solidFill>
              <w14:schemeClr w14:val="tx1"/>
            </w14:solidFill>
          </w14:textFill>
        </w:rPr>
        <w:t>支出功能分类</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DB07A5B5"/>
    <w:multiLevelType w:val="singleLevel"/>
    <w:tmpl w:val="DB07A5B5"/>
    <w:lvl w:ilvl="0" w:tentative="0">
      <w:start w:val="1"/>
      <w:numFmt w:val="chineseCounting"/>
      <w:suff w:val="nothing"/>
      <w:lvlText w:val="%1、"/>
      <w:lvlJc w:val="left"/>
      <w:rPr>
        <w:rFonts w:hint="eastAsia"/>
      </w:rPr>
    </w:lvl>
  </w:abstractNum>
  <w:abstractNum w:abstractNumId="2">
    <w:nsid w:val="140429E8"/>
    <w:multiLevelType w:val="multilevel"/>
    <w:tmpl w:val="140429E8"/>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8F028E"/>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5CE0AB7"/>
    <w:rsid w:val="08241459"/>
    <w:rsid w:val="09201287"/>
    <w:rsid w:val="0FC80124"/>
    <w:rsid w:val="0FE92896"/>
    <w:rsid w:val="103B064D"/>
    <w:rsid w:val="136F98C7"/>
    <w:rsid w:val="17427E68"/>
    <w:rsid w:val="1755065F"/>
    <w:rsid w:val="1AFC29C9"/>
    <w:rsid w:val="1CA52F2E"/>
    <w:rsid w:val="1E3630B9"/>
    <w:rsid w:val="26EEC2B5"/>
    <w:rsid w:val="28A76383"/>
    <w:rsid w:val="29472309"/>
    <w:rsid w:val="2A6E4F60"/>
    <w:rsid w:val="2B406E77"/>
    <w:rsid w:val="2C2A0C43"/>
    <w:rsid w:val="2D1E73A5"/>
    <w:rsid w:val="2DDE3499"/>
    <w:rsid w:val="32717154"/>
    <w:rsid w:val="34B63260"/>
    <w:rsid w:val="37FDA7E2"/>
    <w:rsid w:val="3A314D88"/>
    <w:rsid w:val="3A3B6E5D"/>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516450B"/>
    <w:rsid w:val="687436E1"/>
    <w:rsid w:val="6DA45C50"/>
    <w:rsid w:val="6E9A7825"/>
    <w:rsid w:val="6F670F9B"/>
    <w:rsid w:val="737450E0"/>
    <w:rsid w:val="74054476"/>
    <w:rsid w:val="742F38C4"/>
    <w:rsid w:val="74AB66DC"/>
    <w:rsid w:val="74C4154C"/>
    <w:rsid w:val="75956FFF"/>
    <w:rsid w:val="77AA2D01"/>
    <w:rsid w:val="78E104BF"/>
    <w:rsid w:val="78F468A3"/>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 w:type="paragraph" w:customStyle="1" w:styleId="18">
    <w:name w:val="List Paragraph_ae4f8f85-048c-45a2-9fa5-5c1716267bc1"/>
    <w:basedOn w:val="1"/>
    <w:qFormat/>
    <w:uiPriority w:val="0"/>
    <w:pPr>
      <w:spacing w:before="0" w:beforeAutospacing="0" w:after="0" w:afterAutospacing="0"/>
      <w:ind w:left="0" w:right="0" w:firstLine="420" w:firstLineChars="20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5</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2025-10-27T03:37:21Z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