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color w:val="auto"/>
          <w:sz w:val="44"/>
          <w:szCs w:val="44"/>
          <w:highlight w:val="none"/>
        </w:rPr>
      </w:pPr>
      <w:r>
        <w:rPr>
          <w:rFonts w:hint="eastAsia" w:ascii="方正小标宋_GBK" w:hAnsi="方正小标宋_GBK" w:eastAsia="方正小标宋_GBK" w:cs="方正小标宋_GBK"/>
          <w:b w:val="0"/>
          <w:bCs w:val="0"/>
          <w:color w:val="auto"/>
          <w:sz w:val="44"/>
          <w:szCs w:val="44"/>
          <w:highlight w:val="none"/>
        </w:rPr>
        <w:t>屯昌县教育局本级2024年度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Theme="majorEastAsia" w:hAnsiTheme="majorEastAsia" w:eastAsiaTheme="majorEastAsia" w:cstheme="majorEastAsia"/>
          <w:b/>
          <w:bCs/>
          <w:color w:val="auto"/>
          <w:sz w:val="44"/>
          <w:szCs w:val="44"/>
          <w:highlight w:val="none"/>
        </w:rPr>
      </w:pPr>
      <w:r>
        <w:rPr>
          <w:rFonts w:hint="eastAsia" w:ascii="方正小标宋_GBK" w:hAnsi="方正小标宋_GBK" w:eastAsia="方正小标宋_GBK" w:cs="方正小标宋_GBK"/>
          <w:b w:val="0"/>
          <w:bCs w:val="0"/>
          <w:color w:val="auto"/>
          <w:sz w:val="44"/>
          <w:szCs w:val="44"/>
          <w:highlight w:val="none"/>
          <w:lang w:eastAsia="zh-CN"/>
        </w:rPr>
        <w:t>单位</w:t>
      </w:r>
      <w:r>
        <w:rPr>
          <w:rFonts w:hint="eastAsia" w:ascii="方正小标宋_GBK" w:hAnsi="方正小标宋_GBK" w:eastAsia="方正小标宋_GBK" w:cs="方正小标宋_GBK"/>
          <w:b w:val="0"/>
          <w:bCs w:val="0"/>
          <w:color w:val="auto"/>
          <w:sz w:val="44"/>
          <w:szCs w:val="44"/>
          <w:highlight w:val="none"/>
        </w:rPr>
        <w:t>决算公开报告</w:t>
      </w:r>
    </w:p>
    <w:p>
      <w:pPr>
        <w:spacing w:line="578" w:lineRule="exact"/>
        <w:jc w:val="both"/>
        <w:rPr>
          <w:rFonts w:hint="eastAsia" w:ascii="黑体" w:hAnsi="ˎ̥" w:eastAsia="黑体"/>
          <w:b/>
          <w:color w:val="auto"/>
          <w:sz w:val="32"/>
          <w:szCs w:val="32"/>
          <w:highlight w:val="none"/>
        </w:rPr>
      </w:pPr>
    </w:p>
    <w:p>
      <w:pPr>
        <w:spacing w:line="578" w:lineRule="exact"/>
        <w:jc w:val="center"/>
        <w:rPr>
          <w:rFonts w:hint="eastAsia" w:ascii="黑体" w:hAnsi="黑体" w:eastAsia="黑体" w:cs="黑体"/>
          <w:color w:val="auto"/>
          <w:sz w:val="44"/>
          <w:szCs w:val="44"/>
          <w:highlight w:val="none"/>
        </w:rPr>
      </w:pPr>
      <w:bookmarkStart w:id="0" w:name="_Toc11440_WPSOffice_Type2"/>
      <w:r>
        <w:rPr>
          <w:rFonts w:hint="eastAsia" w:ascii="黑体" w:hAnsi="黑体" w:eastAsia="黑体" w:cs="黑体"/>
          <w:color w:val="auto"/>
          <w:sz w:val="44"/>
          <w:szCs w:val="44"/>
          <w:highlight w:val="none"/>
        </w:rPr>
        <w:t>目  录</w:t>
      </w:r>
    </w:p>
    <w:p>
      <w:pPr>
        <w:pStyle w:val="24"/>
        <w:tabs>
          <w:tab w:val="right" w:leader="dot" w:pos="8306"/>
        </w:tabs>
        <w:spacing w:line="578" w:lineRule="exact"/>
        <w:jc w:val="both"/>
        <w:rPr>
          <w:rFonts w:hint="eastAsia"/>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_Toc1704_WPSOffice_Level1 </w:instrText>
      </w:r>
      <w:r>
        <w:rPr>
          <w:color w:val="auto"/>
          <w:sz w:val="32"/>
          <w:szCs w:val="32"/>
          <w:highlight w:val="none"/>
        </w:rPr>
        <w:fldChar w:fldCharType="separate"/>
      </w:r>
      <w:r>
        <w:rPr>
          <w:rFonts w:hint="eastAsia" w:ascii="黑体" w:hAnsi="ˎ̥" w:eastAsia="黑体"/>
          <w:color w:val="auto"/>
          <w:sz w:val="32"/>
          <w:szCs w:val="32"/>
          <w:highlight w:val="none"/>
        </w:rPr>
        <w:t>第一部分 基本情况</w:t>
      </w:r>
      <w:r>
        <w:rPr>
          <w:color w:val="auto"/>
          <w:sz w:val="32"/>
          <w:szCs w:val="32"/>
          <w:highlight w:val="none"/>
        </w:rPr>
        <w:tab/>
      </w:r>
      <w:r>
        <w:rPr>
          <w:color w:val="auto"/>
          <w:sz w:val="32"/>
          <w:szCs w:val="32"/>
          <w:highlight w:val="none"/>
        </w:rPr>
        <w:fldChar w:fldCharType="end"/>
      </w:r>
      <w:r>
        <w:rPr>
          <w:rFonts w:hint="eastAsia"/>
          <w:color w:val="auto"/>
          <w:sz w:val="32"/>
          <w:szCs w:val="32"/>
          <w:highlight w:val="none"/>
        </w:rPr>
        <w:t>2</w:t>
      </w:r>
    </w:p>
    <w:p>
      <w:pPr>
        <w:pStyle w:val="25"/>
        <w:tabs>
          <w:tab w:val="right" w:leader="dot" w:pos="8306"/>
        </w:tabs>
        <w:spacing w:line="578" w:lineRule="exact"/>
        <w:ind w:leftChars="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_Toc20274_WPSOffice_Level2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一、</w:t>
      </w:r>
      <w:r>
        <w:rPr>
          <w:rFonts w:hint="eastAsia" w:ascii="仿宋" w:hAnsi="仿宋" w:eastAsia="仿宋" w:cs="仿宋"/>
          <w:color w:val="auto"/>
          <w:sz w:val="32"/>
          <w:szCs w:val="32"/>
          <w:highlight w:val="none"/>
          <w:lang w:eastAsia="zh-CN"/>
        </w:rPr>
        <w:t>单位</w:t>
      </w:r>
      <w:r>
        <w:rPr>
          <w:rFonts w:hint="eastAsia" w:ascii="仿宋" w:hAnsi="仿宋" w:eastAsia="仿宋" w:cs="仿宋"/>
          <w:color w:val="auto"/>
          <w:sz w:val="32"/>
          <w:szCs w:val="32"/>
          <w:highlight w:val="none"/>
        </w:rPr>
        <w:t>职责</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2</w:t>
      </w:r>
    </w:p>
    <w:p>
      <w:pPr>
        <w:pStyle w:val="25"/>
        <w:tabs>
          <w:tab w:val="right" w:leader="dot" w:pos="8306"/>
        </w:tabs>
        <w:spacing w:line="578" w:lineRule="exact"/>
        <w:ind w:leftChars="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_Toc4833_WPSOffice_Level2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color w:val="auto"/>
          <w:sz w:val="32"/>
          <w:szCs w:val="32"/>
          <w:highlight w:val="none"/>
        </w:rPr>
        <w:t>二、机构设置</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2</w:t>
      </w:r>
    </w:p>
    <w:p>
      <w:pPr>
        <w:pStyle w:val="24"/>
        <w:tabs>
          <w:tab w:val="right" w:leader="dot" w:pos="8306"/>
        </w:tabs>
        <w:spacing w:line="578" w:lineRule="exact"/>
        <w:jc w:val="both"/>
        <w:rPr>
          <w:rFonts w:hint="eastAsia"/>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_Toc28253_WPSOffice_Level1 </w:instrText>
      </w:r>
      <w:r>
        <w:rPr>
          <w:color w:val="auto"/>
          <w:sz w:val="32"/>
          <w:szCs w:val="32"/>
          <w:highlight w:val="none"/>
        </w:rPr>
        <w:fldChar w:fldCharType="separate"/>
      </w:r>
      <w:r>
        <w:rPr>
          <w:rFonts w:hint="eastAsia" w:ascii="黑体" w:hAnsi="ˎ̥" w:eastAsia="黑体"/>
          <w:color w:val="auto"/>
          <w:sz w:val="32"/>
          <w:szCs w:val="32"/>
          <w:highlight w:val="none"/>
        </w:rPr>
        <w:t xml:space="preserve">第二部分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w:t>
      </w:r>
      <w:r>
        <w:rPr>
          <w:rFonts w:hint="eastAsia" w:ascii="黑体" w:hAnsi="ˎ̥" w:eastAsia="黑体"/>
          <w:color w:val="auto"/>
          <w:sz w:val="32"/>
          <w:szCs w:val="32"/>
          <w:highlight w:val="none"/>
          <w:lang w:eastAsia="zh-CN"/>
        </w:rPr>
        <w:t>单位</w:t>
      </w:r>
      <w:r>
        <w:rPr>
          <w:rFonts w:hint="eastAsia" w:ascii="黑体" w:hAnsi="ˎ̥" w:eastAsia="黑体"/>
          <w:color w:val="auto"/>
          <w:sz w:val="32"/>
          <w:szCs w:val="32"/>
          <w:highlight w:val="none"/>
        </w:rPr>
        <w:t>决算公开表</w:t>
      </w:r>
      <w:r>
        <w:rPr>
          <w:color w:val="auto"/>
          <w:sz w:val="32"/>
          <w:szCs w:val="32"/>
          <w:highlight w:val="none"/>
        </w:rPr>
        <w:tab/>
      </w:r>
      <w:r>
        <w:rPr>
          <w:color w:val="auto"/>
          <w:sz w:val="32"/>
          <w:szCs w:val="32"/>
          <w:highlight w:val="none"/>
        </w:rPr>
        <w:fldChar w:fldCharType="end"/>
      </w:r>
      <w:r>
        <w:rPr>
          <w:rFonts w:hint="eastAsia"/>
          <w:color w:val="auto"/>
          <w:sz w:val="32"/>
          <w:szCs w:val="32"/>
          <w:highlight w:val="none"/>
        </w:rPr>
        <w:t>2</w:t>
      </w:r>
    </w:p>
    <w:p>
      <w:pPr>
        <w:pStyle w:val="24"/>
        <w:tabs>
          <w:tab w:val="right" w:leader="dot" w:pos="8306"/>
        </w:tabs>
        <w:spacing w:line="578" w:lineRule="exact"/>
        <w:jc w:val="both"/>
        <w:rPr>
          <w:rFonts w:hint="eastAsia"/>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_Toc27590_WPSOffice_Level1 </w:instrText>
      </w:r>
      <w:r>
        <w:rPr>
          <w:color w:val="auto"/>
          <w:sz w:val="32"/>
          <w:szCs w:val="32"/>
          <w:highlight w:val="none"/>
        </w:rPr>
        <w:fldChar w:fldCharType="separate"/>
      </w:r>
      <w:r>
        <w:rPr>
          <w:rFonts w:hint="eastAsia" w:ascii="黑体" w:hAnsi="黑体" w:eastAsia="黑体" w:cs="黑体"/>
          <w:color w:val="auto"/>
          <w:sz w:val="32"/>
          <w:szCs w:val="32"/>
          <w:highlight w:val="none"/>
        </w:rPr>
        <w:t>第三部分</w:t>
      </w:r>
      <w:r>
        <w:rPr>
          <w:rFonts w:hint="eastAsia"/>
          <w:color w:val="auto"/>
          <w:sz w:val="32"/>
          <w:szCs w:val="32"/>
          <w:highlight w:val="none"/>
        </w:rPr>
        <w:t xml:space="preserve">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w:t>
      </w:r>
      <w:r>
        <w:rPr>
          <w:rFonts w:hint="eastAsia" w:ascii="黑体" w:hAnsi="ˎ̥" w:eastAsia="黑体"/>
          <w:color w:val="auto"/>
          <w:sz w:val="32"/>
          <w:szCs w:val="32"/>
          <w:highlight w:val="none"/>
          <w:lang w:eastAsia="zh-CN"/>
        </w:rPr>
        <w:t>单位</w:t>
      </w:r>
      <w:r>
        <w:rPr>
          <w:rFonts w:hint="eastAsia" w:ascii="黑体" w:hAnsi="ˎ̥" w:eastAsia="黑体"/>
          <w:color w:val="auto"/>
          <w:sz w:val="32"/>
          <w:szCs w:val="32"/>
          <w:highlight w:val="none"/>
        </w:rPr>
        <w:t>决算情况说明</w:t>
      </w:r>
      <w:r>
        <w:rPr>
          <w:color w:val="auto"/>
          <w:sz w:val="32"/>
          <w:szCs w:val="32"/>
          <w:highlight w:val="none"/>
        </w:rPr>
        <w:tab/>
      </w:r>
      <w:r>
        <w:rPr>
          <w:color w:val="auto"/>
          <w:sz w:val="32"/>
          <w:szCs w:val="32"/>
          <w:highlight w:val="none"/>
        </w:rPr>
        <w:fldChar w:fldCharType="end"/>
      </w:r>
      <w:r>
        <w:rPr>
          <w:rFonts w:hint="eastAsia"/>
          <w:color w:val="auto"/>
          <w:sz w:val="32"/>
          <w:szCs w:val="32"/>
          <w:highlight w:val="none"/>
        </w:rPr>
        <w:t>3</w:t>
      </w:r>
    </w:p>
    <w:p>
      <w:pPr>
        <w:pStyle w:val="25"/>
        <w:tabs>
          <w:tab w:val="right" w:leader="dot" w:pos="8306"/>
        </w:tabs>
        <w:spacing w:line="578" w:lineRule="exact"/>
        <w:ind w:leftChars="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_Toc21737_WPSOffice_Level2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一、收入支出总体情况说明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3</w:t>
      </w:r>
    </w:p>
    <w:p>
      <w:pPr>
        <w:pStyle w:val="25"/>
        <w:tabs>
          <w:tab w:val="right" w:leader="dot" w:pos="8306"/>
        </w:tabs>
        <w:spacing w:line="578" w:lineRule="exact"/>
        <w:ind w:leftChars="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二、收入决算情况说明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4</w:t>
      </w:r>
    </w:p>
    <w:p>
      <w:pPr>
        <w:pStyle w:val="25"/>
        <w:tabs>
          <w:tab w:val="right" w:leader="dot" w:pos="8306"/>
        </w:tabs>
        <w:spacing w:line="578" w:lineRule="exact"/>
        <w:ind w:leftChars="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三、支出决算情况说明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4</w:t>
      </w:r>
    </w:p>
    <w:p>
      <w:pPr>
        <w:pStyle w:val="25"/>
        <w:tabs>
          <w:tab w:val="right" w:leader="dot" w:pos="8306"/>
        </w:tabs>
        <w:spacing w:line="578" w:lineRule="exact"/>
        <w:ind w:leftChars="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四、财政拨款收入支出决算</w:t>
      </w:r>
      <w:r>
        <w:rPr>
          <w:rFonts w:hint="eastAsia" w:ascii="仿宋" w:hAnsi="仿宋" w:eastAsia="仿宋" w:cs="仿宋"/>
          <w:bCs/>
          <w:color w:val="auto"/>
          <w:sz w:val="32"/>
          <w:szCs w:val="32"/>
          <w:highlight w:val="none"/>
          <w:lang w:val="en-US" w:eastAsia="zh-CN"/>
        </w:rPr>
        <w:t>总体</w:t>
      </w:r>
      <w:r>
        <w:rPr>
          <w:rFonts w:hint="eastAsia" w:ascii="仿宋" w:hAnsi="仿宋" w:eastAsia="仿宋" w:cs="仿宋"/>
          <w:bCs/>
          <w:color w:val="auto"/>
          <w:sz w:val="32"/>
          <w:szCs w:val="32"/>
          <w:highlight w:val="none"/>
        </w:rPr>
        <w:t>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4</w:t>
      </w:r>
    </w:p>
    <w:p>
      <w:pPr>
        <w:pStyle w:val="25"/>
        <w:tabs>
          <w:tab w:val="right" w:leader="dot" w:pos="8306"/>
        </w:tabs>
        <w:spacing w:line="578" w:lineRule="exact"/>
        <w:ind w:leftChars="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五、一般公共预算财政拨款支出决算情况说明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5</w:t>
      </w:r>
    </w:p>
    <w:p>
      <w:pPr>
        <w:pStyle w:val="25"/>
        <w:tabs>
          <w:tab w:val="right" w:leader="dot" w:pos="8306"/>
        </w:tabs>
        <w:spacing w:line="578" w:lineRule="exact"/>
        <w:ind w:leftChars="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六、一般公共预算财政拨款基本支出决算情况说明</w:t>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6</w:t>
      </w:r>
    </w:p>
    <w:p>
      <w:pPr>
        <w:pStyle w:val="25"/>
        <w:numPr>
          <w:ilvl w:val="0"/>
          <w:numId w:val="1"/>
        </w:numPr>
        <w:tabs>
          <w:tab w:val="right" w:leader="dot" w:pos="8306"/>
        </w:tabs>
        <w:spacing w:line="578" w:lineRule="exact"/>
        <w:ind w:leftChars="0"/>
        <w:jc w:val="both"/>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政府性基金预算财政拨款支出决算情况说明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7</w:t>
      </w:r>
    </w:p>
    <w:p>
      <w:pPr>
        <w:pStyle w:val="25"/>
        <w:numPr>
          <w:ilvl w:val="0"/>
          <w:numId w:val="1"/>
        </w:numPr>
        <w:tabs>
          <w:tab w:val="right" w:leader="dot" w:pos="8306"/>
        </w:tabs>
        <w:spacing w:line="578" w:lineRule="exact"/>
        <w:ind w:leftChars="0"/>
        <w:jc w:val="both"/>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国有资本经营预算财政拨款支出决算情况说明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8</w:t>
      </w:r>
    </w:p>
    <w:p>
      <w:pPr>
        <w:pStyle w:val="25"/>
        <w:tabs>
          <w:tab w:val="right" w:leader="dot" w:pos="8306"/>
        </w:tabs>
        <w:spacing w:line="578" w:lineRule="exact"/>
        <w:ind w:leftChars="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九、财政拨款“三公”经费支出决算情况说明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9</w:t>
      </w:r>
    </w:p>
    <w:p>
      <w:pPr>
        <w:pStyle w:val="25"/>
        <w:tabs>
          <w:tab w:val="right" w:leader="dot" w:pos="8306"/>
        </w:tabs>
        <w:spacing w:line="578" w:lineRule="exact"/>
        <w:ind w:leftChars="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fldChar w:fldCharType="begin"/>
      </w:r>
      <w:r>
        <w:rPr>
          <w:rFonts w:hint="eastAsia" w:ascii="仿宋" w:hAnsi="仿宋" w:eastAsia="仿宋" w:cs="仿宋"/>
          <w:color w:val="auto"/>
          <w:sz w:val="32"/>
          <w:szCs w:val="32"/>
          <w:highlight w:val="none"/>
        </w:rPr>
        <w:instrText xml:space="preserve"> HYPERLINK \l _Toc19535_WPSOffice_Level2 </w:instrText>
      </w:r>
      <w:r>
        <w:rPr>
          <w:rFonts w:hint="eastAsia" w:ascii="仿宋" w:hAnsi="仿宋" w:eastAsia="仿宋" w:cs="仿宋"/>
          <w:color w:val="auto"/>
          <w:sz w:val="32"/>
          <w:szCs w:val="32"/>
          <w:highlight w:val="none"/>
        </w:rPr>
        <w:fldChar w:fldCharType="separate"/>
      </w:r>
      <w:r>
        <w:rPr>
          <w:rFonts w:hint="eastAsia" w:ascii="仿宋" w:hAnsi="仿宋" w:eastAsia="仿宋" w:cs="仿宋"/>
          <w:bCs/>
          <w:color w:val="auto"/>
          <w:sz w:val="32"/>
          <w:szCs w:val="32"/>
          <w:highlight w:val="none"/>
        </w:rPr>
        <w:t>十、预算绩效情况说明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fldChar w:fldCharType="end"/>
      </w:r>
      <w:r>
        <w:rPr>
          <w:rFonts w:hint="eastAsia" w:ascii="仿宋" w:hAnsi="仿宋" w:eastAsia="仿宋" w:cs="仿宋"/>
          <w:color w:val="auto"/>
          <w:sz w:val="32"/>
          <w:szCs w:val="32"/>
          <w:highlight w:val="none"/>
        </w:rPr>
        <w:t>11</w:t>
      </w:r>
    </w:p>
    <w:p>
      <w:pPr>
        <w:pStyle w:val="25"/>
        <w:tabs>
          <w:tab w:val="right" w:leader="dot" w:pos="8306"/>
        </w:tabs>
        <w:spacing w:line="578" w:lineRule="exact"/>
        <w:ind w:leftChars="0"/>
        <w:jc w:val="both"/>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rPr>
        <w:t>十一、其他重要事项情况说明</w:t>
      </w:r>
      <w:r>
        <w:rPr>
          <w:rFonts w:hint="eastAsia" w:ascii="仿宋" w:hAnsi="仿宋" w:eastAsia="仿宋" w:cs="仿宋"/>
          <w:color w:val="auto"/>
          <w:sz w:val="32"/>
          <w:szCs w:val="32"/>
          <w:highlight w:val="none"/>
        </w:rPr>
        <w:tab/>
      </w:r>
      <w:r>
        <w:rPr>
          <w:rFonts w:hint="eastAsia" w:ascii="仿宋" w:hAnsi="仿宋" w:eastAsia="仿宋" w:cs="仿宋"/>
          <w:color w:val="auto"/>
          <w:sz w:val="32"/>
          <w:szCs w:val="32"/>
          <w:highlight w:val="none"/>
        </w:rPr>
        <w:t>13</w:t>
      </w:r>
    </w:p>
    <w:p>
      <w:pPr>
        <w:pStyle w:val="24"/>
        <w:tabs>
          <w:tab w:val="right" w:leader="dot" w:pos="8306"/>
        </w:tabs>
        <w:spacing w:line="578" w:lineRule="exact"/>
        <w:jc w:val="both"/>
        <w:rPr>
          <w:rFonts w:hint="eastAsia" w:ascii="黑体" w:hAnsi="ˎ̥"/>
          <w:b/>
          <w:color w:val="auto"/>
          <w:sz w:val="32"/>
          <w:szCs w:val="32"/>
          <w:highlight w:val="none"/>
        </w:rPr>
      </w:pPr>
      <w:r>
        <w:rPr>
          <w:color w:val="auto"/>
          <w:sz w:val="32"/>
          <w:szCs w:val="32"/>
          <w:highlight w:val="none"/>
        </w:rPr>
        <w:fldChar w:fldCharType="begin"/>
      </w:r>
      <w:r>
        <w:rPr>
          <w:color w:val="auto"/>
          <w:sz w:val="32"/>
          <w:szCs w:val="32"/>
          <w:highlight w:val="none"/>
        </w:rPr>
        <w:instrText xml:space="preserve"> HYPERLINK \l _Toc15425_WPSOffice_Level1 </w:instrText>
      </w:r>
      <w:r>
        <w:rPr>
          <w:color w:val="auto"/>
          <w:sz w:val="32"/>
          <w:szCs w:val="32"/>
          <w:highlight w:val="none"/>
        </w:rPr>
        <w:fldChar w:fldCharType="separate"/>
      </w:r>
      <w:r>
        <w:rPr>
          <w:rFonts w:hint="eastAsia" w:ascii="黑体" w:hAnsi="ˎ̥" w:eastAsia="黑体"/>
          <w:color w:val="auto"/>
          <w:sz w:val="32"/>
          <w:szCs w:val="32"/>
          <w:highlight w:val="none"/>
        </w:rPr>
        <w:t>第四部分  名词解释</w:t>
      </w:r>
      <w:r>
        <w:rPr>
          <w:color w:val="auto"/>
          <w:sz w:val="32"/>
          <w:szCs w:val="32"/>
          <w:highlight w:val="none"/>
        </w:rPr>
        <w:tab/>
      </w:r>
      <w:bookmarkStart w:id="1" w:name="_Toc15425_WPSOffice_Level1Page"/>
      <w:r>
        <w:rPr>
          <w:color w:val="auto"/>
          <w:sz w:val="32"/>
          <w:szCs w:val="32"/>
          <w:highlight w:val="none"/>
        </w:rPr>
        <w:t>1</w:t>
      </w:r>
      <w:bookmarkEnd w:id="1"/>
      <w:r>
        <w:rPr>
          <w:color w:val="auto"/>
          <w:sz w:val="32"/>
          <w:szCs w:val="32"/>
          <w:highlight w:val="none"/>
        </w:rPr>
        <w:fldChar w:fldCharType="end"/>
      </w:r>
      <w:bookmarkEnd w:id="0"/>
      <w:r>
        <w:rPr>
          <w:rFonts w:hint="eastAsia"/>
          <w:color w:val="auto"/>
          <w:sz w:val="32"/>
          <w:szCs w:val="32"/>
          <w:highlight w:val="none"/>
        </w:rPr>
        <w:t>5</w:t>
      </w:r>
    </w:p>
    <w:p>
      <w:pPr>
        <w:spacing w:line="578" w:lineRule="exact"/>
        <w:jc w:val="both"/>
        <w:rPr>
          <w:rFonts w:hint="eastAsia" w:ascii="黑体" w:hAnsi="ˎ̥" w:eastAsia="黑体"/>
          <w:color w:val="auto"/>
          <w:sz w:val="32"/>
          <w:szCs w:val="32"/>
          <w:highlight w:val="none"/>
        </w:rPr>
      </w:pPr>
      <w:bookmarkStart w:id="2" w:name="_Toc10720_WPSOffice_Level1"/>
      <w:bookmarkStart w:id="3" w:name="_Toc1704_WPSOffice_Level1"/>
      <w:bookmarkStart w:id="4" w:name="_Toc10049_WPSOffice_Level1"/>
      <w:bookmarkStart w:id="5" w:name="_Toc23465_WPSOffice_Level1"/>
      <w:bookmarkStart w:id="6" w:name="_Toc32433_WPSOffice_Level1"/>
      <w:bookmarkStart w:id="7" w:name="_Toc22941_WPSOffice_Level1"/>
      <w:bookmarkStart w:id="8" w:name="_Toc24238_WPSOffice_Level2"/>
      <w:bookmarkStart w:id="9" w:name="_Toc32622_WPSOffice_Level2"/>
      <w:bookmarkStart w:id="10" w:name="_Toc26580_WPSOffice_Level2"/>
      <w:bookmarkStart w:id="11" w:name="_Toc20205_WPSOffice_Level2"/>
      <w:bookmarkStart w:id="12" w:name="_Toc14159_WPSOffice_Level2"/>
      <w:bookmarkStart w:id="13" w:name="_Toc20274_WPSOffice_Level2"/>
    </w:p>
    <w:p>
      <w:pPr>
        <w:spacing w:line="578" w:lineRule="exact"/>
        <w:jc w:val="center"/>
        <w:rPr>
          <w:rFonts w:hint="eastAsia" w:ascii="黑体" w:hAnsi="ˎ̥" w:eastAsia="黑体"/>
          <w:color w:val="auto"/>
          <w:sz w:val="32"/>
          <w:szCs w:val="32"/>
          <w:highlight w:val="none"/>
        </w:rPr>
      </w:pPr>
      <w:r>
        <w:rPr>
          <w:rFonts w:hint="eastAsia" w:ascii="黑体" w:hAnsi="ˎ̥" w:eastAsia="黑体"/>
          <w:color w:val="auto"/>
          <w:sz w:val="32"/>
          <w:szCs w:val="32"/>
          <w:highlight w:val="none"/>
        </w:rPr>
        <w:t xml:space="preserve">第一部分  </w:t>
      </w:r>
      <w:bookmarkEnd w:id="2"/>
      <w:bookmarkEnd w:id="3"/>
      <w:bookmarkEnd w:id="4"/>
      <w:bookmarkEnd w:id="5"/>
      <w:bookmarkEnd w:id="6"/>
      <w:bookmarkEnd w:id="7"/>
      <w:r>
        <w:rPr>
          <w:rFonts w:hint="eastAsia" w:ascii="黑体" w:hAnsi="ˎ̥" w:eastAsia="黑体"/>
          <w:color w:val="auto"/>
          <w:sz w:val="32"/>
          <w:szCs w:val="32"/>
          <w:highlight w:val="none"/>
        </w:rPr>
        <w:t>基本情况</w:t>
      </w:r>
    </w:p>
    <w:p>
      <w:pPr>
        <w:spacing w:line="578" w:lineRule="exact"/>
        <w:ind w:firstLine="640" w:firstLineChars="200"/>
        <w:jc w:val="both"/>
        <w:rPr>
          <w:rFonts w:hint="eastAsia" w:ascii="楷体" w:hAnsi="楷体" w:eastAsia="楷体" w:cs="楷体"/>
          <w:color w:val="auto"/>
          <w:sz w:val="32"/>
          <w:szCs w:val="32"/>
          <w:highlight w:val="none"/>
        </w:rPr>
      </w:pPr>
    </w:p>
    <w:bookmarkEnd w:id="8"/>
    <w:p>
      <w:pPr>
        <w:numPr>
          <w:ilvl w:val="0"/>
          <w:numId w:val="2"/>
        </w:numPr>
        <w:spacing w:line="578" w:lineRule="exact"/>
        <w:ind w:firstLine="640" w:firstLineChars="200"/>
        <w:jc w:val="both"/>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eastAsia="zh-CN"/>
        </w:rPr>
        <w:t>单位</w:t>
      </w:r>
      <w:r>
        <w:rPr>
          <w:rFonts w:hint="eastAsia" w:ascii="黑体" w:hAnsi="黑体" w:eastAsia="黑体" w:cs="黑体"/>
          <w:color w:val="auto"/>
          <w:sz w:val="32"/>
          <w:szCs w:val="32"/>
          <w:highlight w:val="none"/>
        </w:rPr>
        <w:t>职责</w:t>
      </w:r>
      <w:bookmarkEnd w:id="9"/>
      <w:bookmarkEnd w:id="10"/>
      <w:bookmarkEnd w:id="11"/>
      <w:bookmarkEnd w:id="12"/>
      <w:bookmarkEnd w:id="13"/>
    </w:p>
    <w:p>
      <w:pPr>
        <w:pStyle w:val="14"/>
        <w:widowControl/>
        <w:spacing w:beforeAutospacing="0" w:afterAutospacing="0"/>
        <w:ind w:firstLine="640" w:firstLineChars="200"/>
        <w:jc w:val="both"/>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（一）贯彻执行党和国家的教育、科技创新工作的方针、政策、法律、法规；落实县委县政府和县委教育工作领导小组的决策部署、中国（海南）自由贸易试验区和中国特色自由贸易港政策措施。</w:t>
      </w:r>
    </w:p>
    <w:p>
      <w:pPr>
        <w:pStyle w:val="14"/>
        <w:widowControl/>
        <w:spacing w:beforeAutospacing="0" w:afterAutospacing="0"/>
        <w:ind w:firstLine="640" w:firstLineChars="200"/>
        <w:jc w:val="both"/>
        <w:rPr>
          <w:rFonts w:ascii="仿宋_GB2312" w:hAnsi="仿宋_GB2312" w:eastAsia="仿宋_GB2312" w:cs="仿宋_GB2312"/>
          <w:sz w:val="32"/>
          <w:szCs w:val="32"/>
          <w:highlight w:val="none"/>
        </w:rPr>
      </w:pPr>
      <w:r>
        <w:rPr>
          <w:rFonts w:ascii="仿宋_GB2312" w:hAnsi="仿宋_GB2312" w:eastAsia="仿宋_GB2312" w:cs="仿宋_GB2312"/>
          <w:sz w:val="32"/>
          <w:szCs w:val="32"/>
          <w:highlight w:val="none"/>
        </w:rPr>
        <w:t>（二）负责对全县各级各类学校贯彻落实中央、省委关于加强党的建设和思想政治工作的方针政策和县委有关决策部署情况进行检查、指导与督促；领导局机关及所属单位（学校）党组织的工作。</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三）研究拟订教育改革与发展的政策、计划、规划并组织实施。指导全县各级各类学校的教育教学改革与发展，研究提出有关教育工作的意见和建议。统筹规划和协调管理全县各级各类教育资源，指导监督全县各级各类学校及其他教育机构的设置。统筹协调全县教育信息化建设工作。 负责教育基本信息的统计、分析和发布。</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四）依法组织实施对全县各级各类学校及其他教育机构督导评估和检查验收工作。负责对各镇人民政府履行教育职责、各级各类教育机构及其他教育机构的办学情况进行督导、检查、评估。监测全县各级各类教育发展水平和质量。 负责组织全县教育重大事项的专项督导。</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（五）负责推进义务教育均衡发展， 促进教育公平。 统筹指导少数民族教育工作，协调对少数民族地区教育的扶持与援助。负责全县幼儿教育、义务教育、普通高中教育、特殊教育和校外教育的统筹管理工作，全面实施素质教育。</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六）负责全县教学教研、教学信息化建设管理等工作；统筹管理本部门教育经费及县外对本县的教育援助、教育贷款；参与拟订教育经费筹措、教育拨款、教育基建投资、教育收费的政策规定；监测全县教育经费的筹措和使用情况； 组织管理全县学生资助工作；协调开展全县教育系统内部审计工作。</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（七）指导全县各级各类学校思想政治工作、德育工作、 法制宣传教育工作、体育卫生与美育工作、劳动教育及国防教育工作。指导、协调教育系统维护稳定以及学校安全工作。</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八）主管全县教师和外国专家工作。统筹协调各级各类学校校长、教师培训和教师教育，指导教师资格制度、教师专业技术职务制度的实施。指导全县各级各类学校人事制度改革工作，推进全县教育领域人才及外国专家队伍建设。</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九）负责全县中小学的学籍管理工作，指导义务教育和学前教育的学籍管理工作。负责招生考务工作。制定实施中小学招生改革方案，制订中小学招生计划并负责组织实施。负责中小学校和高中毕业证书的验印和发放。</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（十）加强教育领域对外开放。组织和开展国内外教育交流与合作。</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（十一）承担全县语言文字的管理工作。制订全县语言文字中长期规划并组织实施，指导语言文字规范化建设，监督检查语言文字的应用情况，负责普通话推广和普通话水平测试管理工作。</w:t>
      </w:r>
    </w:p>
    <w:p>
      <w:pPr>
        <w:pStyle w:val="14"/>
        <w:widowControl/>
        <w:spacing w:beforeAutospacing="0" w:afterAutospacing="0"/>
        <w:ind w:firstLine="640" w:firstLineChars="200"/>
        <w:jc w:val="both"/>
        <w:rPr>
          <w:highlight w:val="none"/>
        </w:rPr>
      </w:pPr>
      <w:r>
        <w:rPr>
          <w:rFonts w:ascii="仿宋_GB2312" w:hAnsi="仿宋_GB2312" w:eastAsia="仿宋_GB2312" w:cs="仿宋_GB2312"/>
          <w:sz w:val="32"/>
          <w:szCs w:val="32"/>
          <w:highlight w:val="none"/>
        </w:rPr>
        <w:t>（十二）管理全县科技成果、科技奖励、科技保密、技术市场等工作；促进科技咨询、科技评估、专利服务、技术交易等社会中介组织的发展，推动科技服务体系的建设。</w:t>
      </w:r>
    </w:p>
    <w:p>
      <w:pPr>
        <w:pStyle w:val="2"/>
        <w:numPr>
          <w:ilvl w:val="0"/>
          <w:numId w:val="0"/>
        </w:numPr>
        <w:ind w:firstLine="640" w:firstLineChars="200"/>
        <w:rPr>
          <w:rFonts w:hint="default" w:eastAsia="宋体"/>
          <w:highlight w:val="none"/>
          <w:lang w:val="en-US" w:eastAsia="zh-CN"/>
        </w:rPr>
      </w:pPr>
      <w:r>
        <w:rPr>
          <w:rFonts w:ascii="仿宋_GB2312" w:hAnsi="仿宋_GB2312" w:eastAsia="仿宋_GB2312" w:cs="仿宋_GB2312"/>
          <w:sz w:val="32"/>
          <w:szCs w:val="32"/>
          <w:highlight w:val="none"/>
        </w:rPr>
        <w:t>（十三）承办县委、县政府和上级部门交办的其他任务。</w:t>
      </w:r>
    </w:p>
    <w:p>
      <w:pPr>
        <w:spacing w:line="578" w:lineRule="exact"/>
        <w:ind w:firstLine="640" w:firstLineChars="200"/>
        <w:jc w:val="both"/>
        <w:rPr>
          <w:rFonts w:hint="eastAsia" w:ascii="黑体" w:hAnsi="黑体" w:eastAsia="黑体" w:cs="黑体"/>
          <w:color w:val="auto"/>
          <w:sz w:val="32"/>
          <w:szCs w:val="32"/>
          <w:highlight w:val="none"/>
        </w:rPr>
      </w:pPr>
      <w:bookmarkStart w:id="14" w:name="_Toc24474_WPSOffice_Level2"/>
      <w:bookmarkStart w:id="15" w:name="_Toc24059_WPSOffice_Level2"/>
      <w:bookmarkStart w:id="16" w:name="_Toc17796_WPSOffice_Level2"/>
      <w:bookmarkStart w:id="17" w:name="_Toc6572_WPSOffice_Level2"/>
      <w:bookmarkStart w:id="18" w:name="_Toc4833_WPSOffice_Level2"/>
      <w:r>
        <w:rPr>
          <w:rFonts w:hint="eastAsia" w:ascii="黑体" w:hAnsi="黑体" w:eastAsia="黑体" w:cs="黑体"/>
          <w:color w:val="auto"/>
          <w:sz w:val="32"/>
          <w:szCs w:val="32"/>
          <w:highlight w:val="none"/>
        </w:rPr>
        <w:t>二、机构设置</w:t>
      </w:r>
      <w:bookmarkEnd w:id="14"/>
      <w:bookmarkEnd w:id="15"/>
      <w:bookmarkEnd w:id="16"/>
      <w:bookmarkEnd w:id="17"/>
      <w:bookmarkEnd w:id="18"/>
    </w:p>
    <w:p>
      <w:pPr>
        <w:spacing w:line="578" w:lineRule="exact"/>
        <w:ind w:firstLine="640" w:firstLineChars="200"/>
        <w:jc w:val="both"/>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纳入</w:t>
      </w:r>
      <w:r>
        <w:rPr>
          <w:rFonts w:hint="eastAsia" w:ascii="仿宋_GB2312" w:hAnsi="ˎ̥" w:eastAsia="仿宋_GB2312"/>
          <w:color w:val="auto"/>
          <w:sz w:val="32"/>
          <w:szCs w:val="32"/>
          <w:highlight w:val="none"/>
          <w:lang w:val="en-US" w:eastAsia="zh-CN"/>
        </w:rPr>
        <w:t>屯昌县教育局本级</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决算编制范围的单位共</w:t>
      </w:r>
      <w:r>
        <w:rPr>
          <w:rFonts w:hint="eastAsia" w:ascii="仿宋_GB2312" w:hAnsi="ˎ̥" w:eastAsia="仿宋_GB2312"/>
          <w:color w:val="auto"/>
          <w:sz w:val="32"/>
          <w:szCs w:val="32"/>
          <w:highlight w:val="none"/>
          <w:lang w:val="en-US" w:eastAsia="zh-CN"/>
        </w:rPr>
        <w:t>1</w:t>
      </w:r>
      <w:r>
        <w:rPr>
          <w:rFonts w:hint="eastAsia" w:ascii="仿宋_GB2312" w:hAnsi="ˎ̥" w:eastAsia="仿宋_GB2312"/>
          <w:color w:val="auto"/>
          <w:sz w:val="32"/>
          <w:szCs w:val="32"/>
          <w:highlight w:val="none"/>
        </w:rPr>
        <w:t>个，包括：</w:t>
      </w:r>
    </w:p>
    <w:p>
      <w:pPr>
        <w:spacing w:line="578" w:lineRule="exact"/>
        <w:ind w:firstLine="640" w:firstLineChars="200"/>
        <w:jc w:val="both"/>
        <w:rPr>
          <w:rFonts w:hint="eastAsia" w:ascii="方正楷体_GBK" w:hAnsi="方正楷体_GBK" w:eastAsia="方正楷体_GBK" w:cs="方正楷体_GBK"/>
          <w:color w:val="auto"/>
          <w:sz w:val="32"/>
          <w:szCs w:val="32"/>
          <w:highlight w:val="none"/>
        </w:rPr>
      </w:pPr>
      <w:bookmarkStart w:id="19" w:name="_Toc25738_WPSOffice_Level2"/>
      <w:bookmarkStart w:id="20" w:name="_Toc24421_WPSOffice_Level2"/>
      <w:r>
        <w:rPr>
          <w:rFonts w:hint="eastAsia" w:ascii="方正楷体_GBK" w:hAnsi="方正楷体_GBK" w:eastAsia="方正楷体_GBK" w:cs="方正楷体_GBK"/>
          <w:color w:val="auto"/>
          <w:sz w:val="32"/>
          <w:szCs w:val="32"/>
          <w:highlight w:val="none"/>
        </w:rPr>
        <w:t>（一）</w:t>
      </w:r>
      <w:r>
        <w:rPr>
          <w:rFonts w:hint="eastAsia" w:ascii="方正楷体_GBK" w:hAnsi="方正楷体_GBK" w:eastAsia="方正楷体_GBK" w:cs="方正楷体_GBK"/>
          <w:color w:val="auto"/>
          <w:sz w:val="32"/>
          <w:szCs w:val="32"/>
          <w:highlight w:val="none"/>
          <w:lang w:val="en-US" w:eastAsia="zh-CN"/>
        </w:rPr>
        <w:t>屯昌县教育局</w:t>
      </w:r>
      <w:r>
        <w:rPr>
          <w:rFonts w:hint="eastAsia" w:ascii="方正楷体_GBK" w:hAnsi="方正楷体_GBK" w:eastAsia="方正楷体_GBK" w:cs="方正楷体_GBK"/>
          <w:color w:val="auto"/>
          <w:sz w:val="32"/>
          <w:szCs w:val="32"/>
          <w:highlight w:val="none"/>
          <w:lang w:eastAsia="zh-CN"/>
        </w:rPr>
        <w:t>单位</w:t>
      </w:r>
      <w:r>
        <w:rPr>
          <w:rFonts w:hint="eastAsia" w:ascii="方正楷体_GBK" w:hAnsi="方正楷体_GBK" w:eastAsia="方正楷体_GBK" w:cs="方正楷体_GBK"/>
          <w:color w:val="auto"/>
          <w:sz w:val="32"/>
          <w:szCs w:val="32"/>
          <w:highlight w:val="none"/>
        </w:rPr>
        <w:t>本级</w:t>
      </w:r>
      <w:bookmarkEnd w:id="19"/>
      <w:bookmarkEnd w:id="20"/>
    </w:p>
    <w:p>
      <w:pPr>
        <w:spacing w:line="578" w:lineRule="exact"/>
        <w:ind w:firstLine="640" w:firstLineChars="200"/>
        <w:jc w:val="both"/>
        <w:rPr>
          <w:rFonts w:hint="eastAsia" w:ascii="方正楷体_GBK" w:hAnsi="方正楷体_GBK" w:eastAsia="方正楷体_GBK" w:cs="方正楷体_GBK"/>
          <w:color w:val="auto"/>
          <w:sz w:val="32"/>
          <w:szCs w:val="32"/>
          <w:highlight w:val="none"/>
          <w:lang w:eastAsia="zh-CN"/>
        </w:rPr>
      </w:pPr>
      <w:bookmarkStart w:id="21" w:name="_Toc19721_WPSOffice_Level2"/>
      <w:bookmarkStart w:id="22" w:name="_Toc4442_WPSOffice_Level2"/>
      <w:r>
        <w:rPr>
          <w:rFonts w:hint="eastAsia" w:ascii="方正楷体_GBK" w:hAnsi="方正楷体_GBK" w:eastAsia="方正楷体_GBK" w:cs="方正楷体_GBK"/>
          <w:color w:val="auto"/>
          <w:sz w:val="32"/>
          <w:szCs w:val="32"/>
          <w:highlight w:val="none"/>
        </w:rPr>
        <w:t>（二）</w:t>
      </w:r>
      <w:r>
        <w:rPr>
          <w:rFonts w:hint="eastAsia" w:ascii="方正楷体_GBK" w:hAnsi="方正楷体_GBK" w:eastAsia="方正楷体_GBK" w:cs="方正楷体_GBK"/>
          <w:color w:val="auto"/>
          <w:sz w:val="32"/>
          <w:szCs w:val="32"/>
          <w:highlight w:val="none"/>
          <w:lang w:val="en-US" w:eastAsia="zh-CN"/>
        </w:rPr>
        <w:t>屯昌县教育局</w:t>
      </w:r>
      <w:bookmarkEnd w:id="21"/>
      <w:bookmarkEnd w:id="22"/>
      <w:r>
        <w:rPr>
          <w:rFonts w:hint="eastAsia" w:ascii="方正楷体_GBK" w:hAnsi="方正楷体_GBK" w:eastAsia="方正楷体_GBK" w:cs="方正楷体_GBK"/>
          <w:color w:val="auto"/>
          <w:sz w:val="32"/>
          <w:szCs w:val="32"/>
          <w:highlight w:val="none"/>
          <w:lang w:val="en-US" w:eastAsia="zh-CN"/>
        </w:rPr>
        <w:t>内设机构</w:t>
      </w:r>
    </w:p>
    <w:p>
      <w:pPr>
        <w:spacing w:line="578" w:lineRule="exact"/>
        <w:ind w:firstLine="640" w:firstLineChars="200"/>
        <w:jc w:val="both"/>
        <w:rPr>
          <w:rFonts w:hint="default"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lang w:val="en-US" w:eastAsia="zh-CN"/>
        </w:rPr>
        <w:t xml:space="preserve"> 行政室、人事室、督导室、基教室、计财室、体卫艺室、安全室、教育综合服务中心。</w:t>
      </w:r>
    </w:p>
    <w:p>
      <w:pPr>
        <w:spacing w:line="578" w:lineRule="exact"/>
        <w:jc w:val="both"/>
        <w:rPr>
          <w:rFonts w:hint="eastAsia" w:ascii="黑体" w:hAnsi="ˎ̥" w:eastAsia="黑体"/>
          <w:color w:val="auto"/>
          <w:sz w:val="32"/>
          <w:szCs w:val="32"/>
          <w:highlight w:val="none"/>
        </w:rPr>
      </w:pPr>
      <w:bookmarkStart w:id="23" w:name="_Toc6234_WPSOffice_Level1"/>
      <w:bookmarkStart w:id="24" w:name="_Toc15521_WPSOffice_Level1"/>
      <w:bookmarkStart w:id="25" w:name="_Toc30690_WPSOffice_Level1"/>
      <w:bookmarkStart w:id="26" w:name="_Toc28253_WPSOffice_Level1"/>
      <w:bookmarkStart w:id="27" w:name="_Toc30451_WPSOffice_Level1"/>
      <w:bookmarkStart w:id="28" w:name="_Toc8164_WPSOffice_Level1"/>
      <w:bookmarkStart w:id="29" w:name="_Toc32472_WPSOffice_Level2"/>
      <w:bookmarkStart w:id="30" w:name="_Toc4029_WPSOffice_Level2"/>
      <w:bookmarkStart w:id="31" w:name="_Toc11518_WPSOffice_Level2"/>
      <w:bookmarkStart w:id="32" w:name="_Toc6211_WPSOffice_Level2"/>
      <w:bookmarkStart w:id="33" w:name="_Toc32695_WPSOffice_Level2"/>
      <w:bookmarkStart w:id="34" w:name="_Toc8867_WPSOffice_Level2"/>
    </w:p>
    <w:p>
      <w:pPr>
        <w:spacing w:line="578" w:lineRule="exact"/>
        <w:jc w:val="center"/>
        <w:rPr>
          <w:rFonts w:hint="eastAsia" w:ascii="黑体" w:hAnsi="ˎ̥" w:eastAsia="黑体"/>
          <w:color w:val="auto"/>
          <w:sz w:val="32"/>
          <w:szCs w:val="32"/>
          <w:highlight w:val="none"/>
        </w:rPr>
      </w:pPr>
      <w:r>
        <w:rPr>
          <w:rFonts w:hint="eastAsia" w:ascii="黑体" w:hAnsi="ˎ̥" w:eastAsia="黑体"/>
          <w:color w:val="auto"/>
          <w:sz w:val="32"/>
          <w:szCs w:val="32"/>
          <w:highlight w:val="none"/>
        </w:rPr>
        <w:t xml:space="preserve">第二部分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w:t>
      </w:r>
      <w:r>
        <w:rPr>
          <w:rFonts w:hint="eastAsia" w:ascii="黑体" w:hAnsi="ˎ̥" w:eastAsia="黑体"/>
          <w:color w:val="auto"/>
          <w:sz w:val="32"/>
          <w:szCs w:val="32"/>
          <w:highlight w:val="none"/>
          <w:lang w:eastAsia="zh-CN"/>
        </w:rPr>
        <w:t>单位</w:t>
      </w:r>
      <w:r>
        <w:rPr>
          <w:rFonts w:hint="eastAsia" w:ascii="黑体" w:hAnsi="ˎ̥" w:eastAsia="黑体"/>
          <w:color w:val="auto"/>
          <w:sz w:val="32"/>
          <w:szCs w:val="32"/>
          <w:highlight w:val="none"/>
        </w:rPr>
        <w:t>决算公开报表</w:t>
      </w:r>
      <w:bookmarkEnd w:id="23"/>
      <w:bookmarkEnd w:id="24"/>
      <w:bookmarkEnd w:id="25"/>
      <w:bookmarkEnd w:id="26"/>
      <w:bookmarkEnd w:id="27"/>
      <w:bookmarkEnd w:id="28"/>
    </w:p>
    <w:p>
      <w:pPr>
        <w:spacing w:line="578" w:lineRule="exact"/>
        <w:ind w:firstLine="645"/>
        <w:jc w:val="both"/>
        <w:rPr>
          <w:rFonts w:hint="eastAsia" w:ascii="黑体" w:hAnsi="黑体" w:eastAsia="黑体" w:cs="黑体"/>
          <w:color w:val="auto"/>
          <w:sz w:val="32"/>
          <w:szCs w:val="32"/>
          <w:highlight w:val="none"/>
        </w:rPr>
      </w:pPr>
    </w:p>
    <w:p>
      <w:pPr>
        <w:spacing w:line="578" w:lineRule="exact"/>
        <w:ind w:firstLine="645"/>
        <w:jc w:val="both"/>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一、收入支出决算公开表</w:t>
      </w:r>
      <w:bookmarkEnd w:id="29"/>
      <w:bookmarkEnd w:id="30"/>
      <w:bookmarkEnd w:id="31"/>
      <w:bookmarkEnd w:id="32"/>
      <w:bookmarkEnd w:id="33"/>
      <w:bookmarkEnd w:id="34"/>
    </w:p>
    <w:p>
      <w:pPr>
        <w:spacing w:line="578" w:lineRule="exact"/>
        <w:ind w:firstLine="645"/>
        <w:jc w:val="both"/>
        <w:rPr>
          <w:rFonts w:hint="eastAsia" w:ascii="黑体" w:hAnsi="黑体" w:eastAsia="黑体" w:cs="黑体"/>
          <w:color w:val="auto"/>
          <w:sz w:val="32"/>
          <w:szCs w:val="32"/>
          <w:highlight w:val="none"/>
        </w:rPr>
      </w:pPr>
      <w:bookmarkStart w:id="35" w:name="_Toc25608_WPSOffice_Level2"/>
      <w:bookmarkStart w:id="36" w:name="_Toc14349_WPSOffice_Level2"/>
      <w:bookmarkStart w:id="37" w:name="_Toc26621_WPSOffice_Level2"/>
      <w:bookmarkStart w:id="38" w:name="_Toc23139_WPSOffice_Level2"/>
      <w:bookmarkStart w:id="39" w:name="_Toc30334_WPSOffice_Level2"/>
      <w:bookmarkStart w:id="40" w:name="_Toc28622_WPSOffice_Level2"/>
      <w:r>
        <w:rPr>
          <w:rFonts w:hint="eastAsia" w:ascii="黑体" w:hAnsi="黑体" w:eastAsia="黑体" w:cs="黑体"/>
          <w:color w:val="auto"/>
          <w:sz w:val="32"/>
          <w:szCs w:val="32"/>
          <w:highlight w:val="none"/>
        </w:rPr>
        <w:t>二、收入决算公开表</w:t>
      </w:r>
      <w:bookmarkEnd w:id="35"/>
      <w:bookmarkEnd w:id="36"/>
      <w:bookmarkEnd w:id="37"/>
      <w:bookmarkEnd w:id="38"/>
      <w:bookmarkEnd w:id="39"/>
      <w:bookmarkEnd w:id="40"/>
      <w:bookmarkStart w:id="41" w:name="_Toc3262_WPSOffice_Level2"/>
      <w:bookmarkStart w:id="42" w:name="_Toc13854_WPSOffice_Level2"/>
      <w:bookmarkStart w:id="43" w:name="_Toc17858_WPSOffice_Level2"/>
      <w:bookmarkStart w:id="44" w:name="_Toc14658_WPSOffice_Level2"/>
      <w:bookmarkStart w:id="45" w:name="_Toc17626_WPSOffice_Level2"/>
      <w:bookmarkStart w:id="46" w:name="_Toc5489_WPSOffice_Level2"/>
    </w:p>
    <w:p>
      <w:pPr>
        <w:spacing w:line="578" w:lineRule="exact"/>
        <w:ind w:firstLine="645"/>
        <w:jc w:val="both"/>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三、支出决算公开表</w:t>
      </w:r>
      <w:bookmarkEnd w:id="41"/>
      <w:bookmarkEnd w:id="42"/>
      <w:bookmarkEnd w:id="43"/>
      <w:bookmarkEnd w:id="44"/>
      <w:bookmarkEnd w:id="45"/>
      <w:bookmarkEnd w:id="46"/>
      <w:bookmarkStart w:id="47" w:name="_Toc4265_WPSOffice_Level2"/>
      <w:bookmarkStart w:id="48" w:name="_Toc23493_WPSOffice_Level2"/>
      <w:bookmarkStart w:id="49" w:name="_Toc21415_WPSOffice_Level2"/>
      <w:bookmarkStart w:id="50" w:name="_Toc13701_WPSOffice_Level2"/>
      <w:bookmarkStart w:id="51" w:name="_Toc23591_WPSOffice_Level2"/>
      <w:bookmarkStart w:id="52" w:name="_Toc7988_WPSOffice_Level2"/>
    </w:p>
    <w:p>
      <w:pPr>
        <w:spacing w:line="578" w:lineRule="exact"/>
        <w:ind w:firstLine="645"/>
        <w:jc w:val="both"/>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四、财政拨款收入支出决算公开表</w:t>
      </w:r>
      <w:bookmarkEnd w:id="47"/>
      <w:bookmarkEnd w:id="48"/>
      <w:bookmarkEnd w:id="49"/>
      <w:bookmarkEnd w:id="50"/>
      <w:bookmarkEnd w:id="51"/>
      <w:bookmarkEnd w:id="52"/>
    </w:p>
    <w:p>
      <w:pPr>
        <w:spacing w:line="578" w:lineRule="exact"/>
        <w:ind w:firstLine="645"/>
        <w:jc w:val="both"/>
        <w:rPr>
          <w:rFonts w:hint="eastAsia" w:ascii="黑体" w:hAnsi="黑体" w:eastAsia="黑体" w:cs="黑体"/>
          <w:color w:val="auto"/>
          <w:sz w:val="32"/>
          <w:szCs w:val="32"/>
          <w:highlight w:val="none"/>
        </w:rPr>
      </w:pPr>
      <w:bookmarkStart w:id="53" w:name="_Toc25166_WPSOffice_Level2"/>
      <w:bookmarkStart w:id="54" w:name="_Toc23829_WPSOffice_Level2"/>
      <w:bookmarkStart w:id="55" w:name="_Toc7879_WPSOffice_Level2"/>
      <w:bookmarkStart w:id="56" w:name="_Toc22783_WPSOffice_Level2"/>
      <w:bookmarkStart w:id="57" w:name="_Toc2158_WPSOffice_Level2"/>
      <w:bookmarkStart w:id="58" w:name="_Toc13516_WPSOffice_Level2"/>
      <w:r>
        <w:rPr>
          <w:rFonts w:hint="eastAsia" w:ascii="黑体" w:hAnsi="黑体" w:eastAsia="黑体" w:cs="黑体"/>
          <w:color w:val="auto"/>
          <w:sz w:val="32"/>
          <w:szCs w:val="32"/>
          <w:highlight w:val="none"/>
        </w:rPr>
        <w:t>五、一般公共预算财政拨款收入支出决算</w:t>
      </w:r>
      <w:bookmarkEnd w:id="53"/>
      <w:bookmarkEnd w:id="54"/>
      <w:bookmarkEnd w:id="55"/>
      <w:bookmarkEnd w:id="56"/>
      <w:r>
        <w:rPr>
          <w:rFonts w:hint="eastAsia" w:ascii="黑体" w:hAnsi="黑体" w:eastAsia="黑体" w:cs="黑体"/>
          <w:color w:val="auto"/>
          <w:sz w:val="32"/>
          <w:szCs w:val="32"/>
          <w:highlight w:val="none"/>
        </w:rPr>
        <w:t>公开表</w:t>
      </w:r>
      <w:bookmarkEnd w:id="57"/>
      <w:bookmarkEnd w:id="58"/>
      <w:bookmarkStart w:id="59" w:name="_Toc2632_WPSOffice_Level2"/>
      <w:bookmarkStart w:id="60" w:name="_Toc17833_WPSOffice_Level2"/>
      <w:bookmarkStart w:id="61" w:name="_Toc17283_WPSOffice_Level2"/>
      <w:bookmarkStart w:id="62" w:name="_Toc25362_WPSOffice_Level2"/>
      <w:bookmarkStart w:id="63" w:name="_Toc5343_WPSOffice_Level2"/>
      <w:bookmarkStart w:id="64" w:name="_Toc8373_WPSOffice_Level2"/>
    </w:p>
    <w:p>
      <w:pPr>
        <w:spacing w:line="578" w:lineRule="exact"/>
        <w:ind w:firstLine="645"/>
        <w:jc w:val="both"/>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六、一般公共预算财政拨款基本支出决算</w:t>
      </w:r>
      <w:bookmarkEnd w:id="59"/>
      <w:bookmarkEnd w:id="60"/>
      <w:bookmarkEnd w:id="61"/>
      <w:bookmarkEnd w:id="62"/>
      <w:bookmarkEnd w:id="63"/>
      <w:bookmarkEnd w:id="64"/>
      <w:r>
        <w:rPr>
          <w:rFonts w:hint="eastAsia" w:ascii="黑体" w:hAnsi="黑体" w:eastAsia="黑体" w:cs="黑体"/>
          <w:color w:val="auto"/>
          <w:sz w:val="32"/>
          <w:szCs w:val="32"/>
          <w:highlight w:val="none"/>
        </w:rPr>
        <w:t>公开表</w:t>
      </w:r>
    </w:p>
    <w:p>
      <w:pPr>
        <w:spacing w:line="578" w:lineRule="exact"/>
        <w:ind w:left="1118" w:leftChars="304" w:hanging="480" w:hangingChars="150"/>
        <w:jc w:val="both"/>
        <w:rPr>
          <w:rFonts w:hint="eastAsia" w:ascii="黑体" w:hAnsi="黑体" w:eastAsia="黑体" w:cs="黑体"/>
          <w:color w:val="auto"/>
          <w:sz w:val="32"/>
          <w:szCs w:val="32"/>
          <w:highlight w:val="none"/>
        </w:rPr>
      </w:pPr>
      <w:bookmarkStart w:id="65" w:name="_Toc1533_WPSOffice_Level2"/>
      <w:bookmarkStart w:id="66" w:name="_Toc21310_WPSOffice_Level2"/>
      <w:bookmarkStart w:id="67" w:name="_Toc11799_WPSOffice_Level2"/>
      <w:bookmarkStart w:id="68" w:name="_Toc13345_WPSOffice_Level2"/>
      <w:bookmarkStart w:id="69" w:name="_Toc5594_WPSOffice_Level2"/>
      <w:bookmarkStart w:id="70" w:name="_Toc6020_WPSOffice_Level2"/>
      <w:r>
        <w:rPr>
          <w:rFonts w:hint="eastAsia" w:ascii="黑体" w:hAnsi="黑体" w:eastAsia="黑体" w:cs="黑体"/>
          <w:color w:val="auto"/>
          <w:sz w:val="32"/>
          <w:szCs w:val="32"/>
          <w:highlight w:val="none"/>
        </w:rPr>
        <w:t>七、政府性基金预算财政拨款收入支出决算</w:t>
      </w:r>
      <w:bookmarkEnd w:id="65"/>
      <w:bookmarkEnd w:id="66"/>
      <w:bookmarkEnd w:id="67"/>
      <w:bookmarkEnd w:id="68"/>
      <w:bookmarkEnd w:id="69"/>
      <w:bookmarkEnd w:id="70"/>
      <w:r>
        <w:rPr>
          <w:rFonts w:hint="eastAsia" w:ascii="黑体" w:hAnsi="黑体" w:eastAsia="黑体" w:cs="黑体"/>
          <w:color w:val="auto"/>
          <w:sz w:val="32"/>
          <w:szCs w:val="32"/>
          <w:highlight w:val="none"/>
        </w:rPr>
        <w:t>公开表</w:t>
      </w:r>
    </w:p>
    <w:p>
      <w:pPr>
        <w:spacing w:line="578" w:lineRule="exact"/>
        <w:ind w:left="1118" w:leftChars="304" w:hanging="480" w:hangingChars="150"/>
        <w:jc w:val="both"/>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八、国有资本经营预算财政拨款收入支出决算公开表</w:t>
      </w:r>
    </w:p>
    <w:p>
      <w:pPr>
        <w:spacing w:line="578" w:lineRule="exact"/>
        <w:ind w:firstLine="640"/>
        <w:jc w:val="both"/>
        <w:rPr>
          <w:rFonts w:hint="eastAsia" w:ascii="黑体" w:hAnsi="黑体" w:eastAsia="黑体" w:cs="黑体"/>
          <w:color w:val="auto"/>
          <w:sz w:val="32"/>
          <w:szCs w:val="32"/>
          <w:highlight w:val="none"/>
        </w:rPr>
      </w:pPr>
      <w:bookmarkStart w:id="71" w:name="_Toc9377_WPSOffice_Level2"/>
      <w:bookmarkStart w:id="72" w:name="_Toc29886_WPSOffice_Level2"/>
      <w:bookmarkStart w:id="73" w:name="_Toc1820_WPSOffice_Level2"/>
      <w:bookmarkStart w:id="74" w:name="_Toc19961_WPSOffice_Level2"/>
      <w:r>
        <w:rPr>
          <w:rFonts w:hint="eastAsia" w:ascii="黑体" w:hAnsi="黑体" w:eastAsia="黑体" w:cs="黑体"/>
          <w:color w:val="auto"/>
          <w:sz w:val="32"/>
          <w:szCs w:val="32"/>
          <w:highlight w:val="none"/>
        </w:rPr>
        <w:t>九、财政拨款“三公”经费支出决算</w:t>
      </w:r>
      <w:bookmarkEnd w:id="71"/>
      <w:bookmarkEnd w:id="72"/>
      <w:bookmarkEnd w:id="73"/>
      <w:bookmarkEnd w:id="74"/>
      <w:r>
        <w:rPr>
          <w:rFonts w:hint="eastAsia" w:ascii="黑体" w:hAnsi="黑体" w:eastAsia="黑体" w:cs="黑体"/>
          <w:color w:val="auto"/>
          <w:sz w:val="32"/>
          <w:szCs w:val="32"/>
          <w:highlight w:val="none"/>
        </w:rPr>
        <w:t>公开表</w:t>
      </w:r>
    </w:p>
    <w:p>
      <w:pPr>
        <w:spacing w:line="578" w:lineRule="exact"/>
        <w:ind w:firstLine="640"/>
        <w:jc w:val="both"/>
        <w:rPr>
          <w:rFonts w:hint="eastAsia" w:ascii="仿宋" w:hAnsi="仿宋" w:eastAsia="仿宋" w:cs="仿宋"/>
          <w:color w:val="auto"/>
          <w:w w:val="100"/>
          <w:sz w:val="32"/>
          <w:szCs w:val="32"/>
          <w:highlight w:val="none"/>
        </w:rPr>
      </w:pPr>
      <w:r>
        <w:rPr>
          <w:rFonts w:hint="eastAsia" w:ascii="仿宋" w:hAnsi="仿宋" w:eastAsia="仿宋" w:cs="仿宋"/>
          <w:color w:val="auto"/>
          <w:w w:val="100"/>
          <w:sz w:val="32"/>
          <w:szCs w:val="32"/>
          <w:highlight w:val="none"/>
        </w:rPr>
        <w:t xml:space="preserve">以上报表见附件1。   </w:t>
      </w:r>
    </w:p>
    <w:p>
      <w:pPr>
        <w:spacing w:line="578" w:lineRule="exact"/>
        <w:jc w:val="both"/>
        <w:rPr>
          <w:rFonts w:hint="eastAsia" w:ascii="黑体" w:hAnsi="黑体" w:eastAsia="黑体" w:cs="黑体"/>
          <w:color w:val="auto"/>
          <w:sz w:val="32"/>
          <w:szCs w:val="32"/>
          <w:highlight w:val="none"/>
        </w:rPr>
      </w:pPr>
    </w:p>
    <w:p>
      <w:pPr>
        <w:spacing w:line="578" w:lineRule="exact"/>
        <w:jc w:val="center"/>
        <w:rPr>
          <w:rFonts w:hint="eastAsia" w:ascii="黑体" w:hAnsi="ˎ̥" w:eastAsia="黑体"/>
          <w:color w:val="auto"/>
          <w:sz w:val="32"/>
          <w:szCs w:val="32"/>
          <w:highlight w:val="none"/>
        </w:rPr>
      </w:pPr>
      <w:bookmarkStart w:id="75" w:name="_Toc29683_WPSOffice_Level1"/>
      <w:bookmarkStart w:id="76" w:name="_Toc28629_WPSOffice_Level1"/>
      <w:bookmarkStart w:id="77" w:name="_Toc4402_WPSOffice_Level1"/>
      <w:bookmarkStart w:id="78" w:name="_Toc16686_WPSOffice_Level1"/>
      <w:bookmarkStart w:id="79" w:name="_Toc27590_WPSOffice_Level1"/>
      <w:bookmarkStart w:id="80" w:name="_Toc31264_WPSOffice_Level1"/>
      <w:r>
        <w:rPr>
          <w:rFonts w:hint="eastAsia" w:ascii="黑体" w:hAnsi="ˎ̥" w:eastAsia="黑体"/>
          <w:color w:val="auto"/>
          <w:sz w:val="32"/>
          <w:szCs w:val="32"/>
          <w:highlight w:val="none"/>
        </w:rPr>
        <w:t xml:space="preserve">第三部分  </w:t>
      </w:r>
      <w:r>
        <w:rPr>
          <w:rFonts w:hint="default" w:ascii="黑体" w:hAnsi="ˎ̥" w:eastAsia="黑体"/>
          <w:color w:val="auto"/>
          <w:sz w:val="32"/>
          <w:szCs w:val="32"/>
          <w:highlight w:val="none"/>
          <w:lang w:val="en-US"/>
        </w:rPr>
        <w:t>2024</w:t>
      </w:r>
      <w:r>
        <w:rPr>
          <w:rFonts w:hint="eastAsia" w:ascii="黑体" w:hAnsi="ˎ̥" w:eastAsia="黑体"/>
          <w:color w:val="auto"/>
          <w:sz w:val="32"/>
          <w:szCs w:val="32"/>
          <w:highlight w:val="none"/>
        </w:rPr>
        <w:t>年度</w:t>
      </w:r>
      <w:r>
        <w:rPr>
          <w:rFonts w:hint="eastAsia" w:ascii="黑体" w:hAnsi="ˎ̥" w:eastAsia="黑体"/>
          <w:color w:val="auto"/>
          <w:sz w:val="32"/>
          <w:szCs w:val="32"/>
          <w:highlight w:val="none"/>
          <w:lang w:eastAsia="zh-CN"/>
        </w:rPr>
        <w:t>单位</w:t>
      </w:r>
      <w:r>
        <w:rPr>
          <w:rFonts w:hint="eastAsia" w:ascii="黑体" w:hAnsi="ˎ̥" w:eastAsia="黑体"/>
          <w:color w:val="auto"/>
          <w:sz w:val="32"/>
          <w:szCs w:val="32"/>
          <w:highlight w:val="none"/>
        </w:rPr>
        <w:t>决算情况说明</w:t>
      </w:r>
      <w:bookmarkEnd w:id="75"/>
      <w:bookmarkEnd w:id="76"/>
      <w:bookmarkEnd w:id="77"/>
      <w:bookmarkEnd w:id="78"/>
      <w:bookmarkEnd w:id="79"/>
      <w:bookmarkEnd w:id="80"/>
    </w:p>
    <w:p>
      <w:pPr>
        <w:spacing w:line="578" w:lineRule="exact"/>
        <w:jc w:val="both"/>
        <w:rPr>
          <w:rFonts w:hint="eastAsia" w:ascii="黑体" w:hAnsi="ˎ̥"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ascii="仿宋_GB2312" w:hAnsi="ˎ̥" w:eastAsia="仿宋_GB2312"/>
          <w:color w:val="auto"/>
          <w:sz w:val="32"/>
          <w:szCs w:val="32"/>
          <w:highlight w:val="none"/>
        </w:rPr>
      </w:pPr>
      <w:r>
        <w:rPr>
          <w:rFonts w:hint="eastAsia" w:ascii="黑体" w:hAnsi="黑体" w:eastAsia="黑体" w:cs="黑体"/>
          <w:bCs/>
          <w:color w:val="auto"/>
          <w:sz w:val="32"/>
          <w:szCs w:val="32"/>
          <w:highlight w:val="none"/>
        </w:rPr>
        <w:t>一、收入支出总体情况说明</w:t>
      </w:r>
      <w:r>
        <w:rPr>
          <w:rFonts w:hint="eastAsia" w:ascii="黑体" w:hAnsi="黑体" w:eastAsia="黑体" w:cs="黑体"/>
          <w:bCs/>
          <w:color w:val="auto"/>
          <w:sz w:val="32"/>
          <w:szCs w:val="32"/>
          <w:highlight w:val="none"/>
        </w:rPr>
        <w:br w:type="textWrapping"/>
      </w:r>
      <w:r>
        <w:rPr>
          <w:rFonts w:hint="eastAsia" w:ascii="楷体_GB2312" w:hAnsi="ˎ̥" w:eastAsia="楷体_GB2312"/>
          <w:color w:val="auto"/>
          <w:sz w:val="32"/>
          <w:szCs w:val="32"/>
          <w:highlight w:val="none"/>
        </w:rPr>
        <w:t xml:space="preserve">    </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年度收入总计</w:t>
      </w:r>
      <w:r>
        <w:rPr>
          <w:rFonts w:hint="default" w:ascii="仿宋_GB2312" w:hAnsi="ˎ̥" w:eastAsia="仿宋_GB2312"/>
          <w:color w:val="auto"/>
          <w:sz w:val="32"/>
          <w:szCs w:val="32"/>
          <w:highlight w:val="none"/>
          <w:lang w:val="en-US"/>
        </w:rPr>
        <w:t>14,867.71</w:t>
      </w:r>
      <w:r>
        <w:rPr>
          <w:rFonts w:hint="eastAsia" w:ascii="仿宋_GB2312" w:hAnsi="ˎ̥" w:eastAsia="仿宋_GB2312"/>
          <w:color w:val="auto"/>
          <w:sz w:val="32"/>
          <w:szCs w:val="32"/>
          <w:highlight w:val="none"/>
        </w:rPr>
        <w:t>万元，支出总计</w:t>
      </w:r>
      <w:r>
        <w:rPr>
          <w:rFonts w:hint="default" w:ascii="仿宋_GB2312" w:hAnsi="ˎ̥" w:eastAsia="仿宋_GB2312"/>
          <w:color w:val="auto"/>
          <w:sz w:val="32"/>
          <w:szCs w:val="32"/>
          <w:highlight w:val="none"/>
          <w:lang w:val="en-US"/>
        </w:rPr>
        <w:t>14,867.71</w:t>
      </w:r>
      <w:r>
        <w:rPr>
          <w:rFonts w:hint="eastAsia" w:ascii="仿宋_GB2312" w:hAnsi="ˎ̥" w:eastAsia="仿宋_GB2312"/>
          <w:color w:val="auto"/>
          <w:sz w:val="32"/>
          <w:szCs w:val="32"/>
          <w:highlight w:val="none"/>
        </w:rPr>
        <w:t>万元，与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年度相比，收入、支出总计</w:t>
      </w:r>
      <w:r>
        <w:rPr>
          <w:rFonts w:hint="eastAsia" w:ascii="仿宋_GB2312" w:hAnsi="ˎ̥" w:eastAsia="仿宋_GB2312"/>
          <w:color w:val="auto"/>
          <w:sz w:val="32"/>
          <w:szCs w:val="32"/>
          <w:highlight w:val="none"/>
          <w:lang w:val="en-US" w:eastAsia="zh-CN"/>
        </w:rPr>
        <w:t>分别</w:t>
      </w:r>
      <w:r>
        <w:rPr>
          <w:rFonts w:hint="eastAsia" w:ascii="仿宋_GB2312" w:hAnsi="ˎ̥" w:eastAsia="仿宋_GB2312"/>
          <w:color w:val="auto"/>
          <w:sz w:val="32"/>
          <w:szCs w:val="32"/>
          <w:highlight w:val="none"/>
        </w:rPr>
        <w:t>减少</w:t>
      </w:r>
      <w:r>
        <w:rPr>
          <w:rFonts w:hint="default" w:ascii="仿宋_GB2312" w:hAnsi="ˎ̥" w:eastAsia="仿宋_GB2312"/>
          <w:color w:val="auto"/>
          <w:sz w:val="32"/>
          <w:szCs w:val="32"/>
          <w:highlight w:val="none"/>
          <w:lang w:val="en-US"/>
        </w:rPr>
        <w:t>433.51</w:t>
      </w:r>
      <w:r>
        <w:rPr>
          <w:rFonts w:hint="eastAsia" w:ascii="仿宋_GB2312" w:hAnsi="ˎ̥" w:eastAsia="仿宋_GB2312"/>
          <w:color w:val="auto"/>
          <w:sz w:val="32"/>
          <w:szCs w:val="32"/>
          <w:highlight w:val="none"/>
        </w:rPr>
        <w:t>万元，下降</w:t>
      </w:r>
      <w:r>
        <w:rPr>
          <w:rFonts w:hint="eastAsia" w:ascii="仿宋_GB2312" w:hAnsi="ˎ̥" w:eastAsia="仿宋_GB2312"/>
          <w:color w:val="auto"/>
          <w:sz w:val="32"/>
          <w:szCs w:val="32"/>
          <w:highlight w:val="none"/>
          <w:lang w:val="en-US" w:eastAsia="zh-CN"/>
        </w:rPr>
        <w:t>2.83</w:t>
      </w:r>
      <w:r>
        <w:rPr>
          <w:rFonts w:hint="eastAsia" w:ascii="仿宋_GB2312" w:hAnsi="ˎ̥" w:eastAsia="仿宋_GB2312"/>
          <w:color w:val="auto"/>
          <w:sz w:val="32"/>
          <w:szCs w:val="32"/>
          <w:highlight w:val="none"/>
        </w:rPr>
        <w:t>%。主要原因：一是</w:t>
      </w:r>
      <w:r>
        <w:rPr>
          <w:rFonts w:hint="eastAsia" w:ascii="仿宋_GB2312" w:hAnsi="ˎ̥" w:eastAsia="仿宋_GB2312"/>
          <w:color w:val="auto"/>
          <w:sz w:val="32"/>
          <w:szCs w:val="32"/>
          <w:highlight w:val="none"/>
          <w:lang w:val="en-US" w:eastAsia="zh-CN"/>
        </w:rPr>
        <w:t>社保减少，</w:t>
      </w:r>
      <w:r>
        <w:rPr>
          <w:rFonts w:hint="eastAsia" w:ascii="仿宋_GB2312" w:hAnsi="ˎ̥" w:eastAsia="仿宋_GB2312"/>
          <w:color w:val="auto"/>
          <w:sz w:val="32"/>
          <w:szCs w:val="32"/>
          <w:highlight w:val="none"/>
        </w:rPr>
        <w:t>二是</w:t>
      </w:r>
      <w:r>
        <w:rPr>
          <w:rFonts w:hint="eastAsia" w:ascii="仿宋_GB2312" w:hAnsi="ˎ̥" w:eastAsia="仿宋_GB2312"/>
          <w:color w:val="auto"/>
          <w:sz w:val="32"/>
          <w:szCs w:val="32"/>
          <w:highlight w:val="none"/>
          <w:lang w:val="en-US" w:eastAsia="zh-CN"/>
        </w:rPr>
        <w:t>公积金减少，三是</w:t>
      </w:r>
      <w:r>
        <w:rPr>
          <w:rFonts w:hint="eastAsia" w:ascii="仿宋_GB2312" w:hAnsi="ˎ̥" w:eastAsia="仿宋_GB2312"/>
          <w:color w:val="auto"/>
          <w:sz w:val="32"/>
          <w:szCs w:val="32"/>
          <w:highlight w:val="none"/>
        </w:rPr>
        <w:t>年初结转结余</w:t>
      </w:r>
      <w:r>
        <w:rPr>
          <w:rFonts w:hint="eastAsia" w:ascii="仿宋_GB2312" w:hAnsi="ˎ̥" w:eastAsia="仿宋_GB2312"/>
          <w:color w:val="auto"/>
          <w:sz w:val="32"/>
          <w:szCs w:val="32"/>
          <w:highlight w:val="none"/>
          <w:lang w:val="en-US" w:eastAsia="zh-CN"/>
        </w:rPr>
        <w:t>减少</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（一</w:t>
      </w:r>
      <w:r>
        <w:rPr>
          <w:rFonts w:ascii="楷体" w:hAnsi="楷体" w:eastAsia="楷体" w:cs="楷体"/>
          <w:color w:val="auto"/>
          <w:sz w:val="32"/>
          <w:szCs w:val="32"/>
          <w:highlight w:val="none"/>
        </w:rPr>
        <w:t>）</w:t>
      </w:r>
      <w:r>
        <w:rPr>
          <w:rFonts w:hint="eastAsia" w:ascii="楷体" w:hAnsi="楷体" w:eastAsia="楷体" w:cs="楷体"/>
          <w:color w:val="auto"/>
          <w:sz w:val="32"/>
          <w:szCs w:val="32"/>
          <w:highlight w:val="none"/>
        </w:rPr>
        <w:t>收入</w:t>
      </w:r>
      <w:r>
        <w:rPr>
          <w:rFonts w:ascii="楷体" w:hAnsi="楷体" w:eastAsia="楷体" w:cs="楷体"/>
          <w:color w:val="auto"/>
          <w:sz w:val="32"/>
          <w:szCs w:val="32"/>
          <w:highlight w:val="none"/>
        </w:rPr>
        <w:t>总计</w:t>
      </w:r>
      <w:r>
        <w:rPr>
          <w:rFonts w:hint="eastAsia" w:ascii="楷体" w:hAnsi="楷体" w:eastAsia="楷体" w:cs="楷体"/>
          <w:color w:val="auto"/>
          <w:sz w:val="32"/>
          <w:szCs w:val="32"/>
          <w:highlight w:val="none"/>
        </w:rPr>
        <w:t>主要</w:t>
      </w:r>
      <w:r>
        <w:rPr>
          <w:rFonts w:ascii="楷体" w:hAnsi="楷体" w:eastAsia="楷体" w:cs="楷体"/>
          <w:color w:val="auto"/>
          <w:sz w:val="32"/>
          <w:szCs w:val="32"/>
          <w:highlight w:val="none"/>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本年</w:t>
      </w:r>
      <w:r>
        <w:rPr>
          <w:rFonts w:ascii="仿宋_GB2312" w:hAnsi="ˎ̥" w:eastAsia="仿宋_GB2312"/>
          <w:color w:val="auto"/>
          <w:sz w:val="32"/>
          <w:szCs w:val="32"/>
          <w:highlight w:val="none"/>
        </w:rPr>
        <w:t>收入</w:t>
      </w:r>
      <w:r>
        <w:rPr>
          <w:rFonts w:hint="default" w:ascii="仿宋_GB2312" w:hAnsi="ˎ̥" w:eastAsia="仿宋_GB2312"/>
          <w:color w:val="auto"/>
          <w:sz w:val="32"/>
          <w:szCs w:val="32"/>
          <w:highlight w:val="none"/>
          <w:lang w:val="en-US"/>
        </w:rPr>
        <w:t>14,692.49</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使用非财政拨款结余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年初结转结余</w:t>
      </w:r>
      <w:r>
        <w:rPr>
          <w:rFonts w:hint="default" w:ascii="仿宋_GB2312" w:hAnsi="ˎ̥" w:eastAsia="仿宋_GB2312"/>
          <w:color w:val="auto"/>
          <w:sz w:val="32"/>
          <w:szCs w:val="32"/>
          <w:highlight w:val="none"/>
          <w:lang w:val="en-US"/>
        </w:rPr>
        <w:t>175.22</w:t>
      </w:r>
      <w:r>
        <w:rPr>
          <w:rFonts w:hint="eastAsia" w:ascii="仿宋_GB2312" w:hAnsi="ˎ̥" w:eastAsia="仿宋_GB2312"/>
          <w:color w:val="auto"/>
          <w:sz w:val="32"/>
          <w:szCs w:val="32"/>
          <w:highlight w:val="none"/>
        </w:rPr>
        <w:t>万元，主要是</w:t>
      </w:r>
      <w:r>
        <w:rPr>
          <w:rFonts w:hint="eastAsia" w:ascii="仿宋_GB2312" w:hAnsi="ˎ̥" w:eastAsia="仿宋_GB2312"/>
          <w:sz w:val="32"/>
          <w:szCs w:val="32"/>
          <w:highlight w:val="none"/>
          <w:lang w:val="en-US" w:eastAsia="zh-CN"/>
        </w:rPr>
        <w:t>基建经费结余结转</w:t>
      </w:r>
      <w:r>
        <w:rPr>
          <w:rFonts w:hint="eastAsia" w:ascii="仿宋_GB2312" w:hAnsi="ˎ̥" w:eastAsia="仿宋_GB2312"/>
          <w:color w:val="auto"/>
          <w:sz w:val="32"/>
          <w:szCs w:val="32"/>
          <w:highlight w:val="none"/>
        </w:rPr>
        <w:t>，较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年度决算数减少156.81万元，下降</w:t>
      </w:r>
      <w:r>
        <w:rPr>
          <w:rFonts w:hint="eastAsia" w:ascii="仿宋_GB2312" w:hAnsi="ˎ̥" w:eastAsia="仿宋_GB2312"/>
          <w:color w:val="auto"/>
          <w:sz w:val="32"/>
          <w:szCs w:val="32"/>
          <w:highlight w:val="none"/>
          <w:lang w:val="en-US" w:eastAsia="zh-CN"/>
        </w:rPr>
        <w:t>47.23</w:t>
      </w:r>
      <w:r>
        <w:rPr>
          <w:rFonts w:hint="eastAsia" w:ascii="仿宋_GB2312" w:hAnsi="ˎ̥" w:eastAsia="仿宋_GB2312"/>
          <w:color w:val="auto"/>
          <w:sz w:val="32"/>
          <w:szCs w:val="32"/>
          <w:highlight w:val="none"/>
        </w:rPr>
        <w:t>%，主要原因是</w:t>
      </w:r>
      <w:r>
        <w:rPr>
          <w:rFonts w:hint="eastAsia" w:ascii="仿宋_GB2312" w:hAnsi="ˎ̥" w:eastAsia="仿宋_GB2312"/>
          <w:sz w:val="32"/>
          <w:szCs w:val="32"/>
          <w:highlight w:val="none"/>
          <w:lang w:val="en-US" w:eastAsia="zh-CN"/>
        </w:rPr>
        <w:t>基建项目减少</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color w:val="auto"/>
          <w:sz w:val="32"/>
          <w:szCs w:val="32"/>
          <w:highlight w:val="none"/>
          <w:lang w:eastAsia="zh-CN"/>
        </w:rPr>
      </w:pPr>
      <w:r>
        <w:rPr>
          <w:rFonts w:hint="eastAsia" w:ascii="楷体" w:hAnsi="楷体" w:eastAsia="楷体" w:cs="楷体"/>
          <w:color w:val="auto"/>
          <w:sz w:val="32"/>
          <w:szCs w:val="32"/>
          <w:highlight w:val="none"/>
        </w:rPr>
        <w:t>（二</w:t>
      </w:r>
      <w:r>
        <w:rPr>
          <w:rFonts w:ascii="楷体" w:hAnsi="楷体" w:eastAsia="楷体" w:cs="楷体"/>
          <w:color w:val="auto"/>
          <w:sz w:val="32"/>
          <w:szCs w:val="32"/>
          <w:highlight w:val="none"/>
        </w:rPr>
        <w:t>）</w:t>
      </w:r>
      <w:r>
        <w:rPr>
          <w:rFonts w:hint="eastAsia" w:ascii="楷体" w:hAnsi="楷体" w:eastAsia="楷体" w:cs="楷体"/>
          <w:color w:val="auto"/>
          <w:sz w:val="32"/>
          <w:szCs w:val="32"/>
          <w:highlight w:val="none"/>
        </w:rPr>
        <w:t>支出</w:t>
      </w:r>
      <w:r>
        <w:rPr>
          <w:rFonts w:ascii="楷体" w:hAnsi="楷体" w:eastAsia="楷体" w:cs="楷体"/>
          <w:color w:val="auto"/>
          <w:sz w:val="32"/>
          <w:szCs w:val="32"/>
          <w:highlight w:val="none"/>
        </w:rPr>
        <w:t>总计</w:t>
      </w:r>
      <w:r>
        <w:rPr>
          <w:rFonts w:hint="eastAsia" w:ascii="楷体" w:hAnsi="楷体" w:eastAsia="楷体" w:cs="楷体"/>
          <w:color w:val="auto"/>
          <w:sz w:val="32"/>
          <w:szCs w:val="32"/>
          <w:highlight w:val="none"/>
        </w:rPr>
        <w:t>主要</w:t>
      </w:r>
      <w:r>
        <w:rPr>
          <w:rFonts w:ascii="楷体" w:hAnsi="楷体" w:eastAsia="楷体" w:cs="楷体"/>
          <w:color w:val="auto"/>
          <w:sz w:val="32"/>
          <w:szCs w:val="32"/>
          <w:highlight w:val="none"/>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本年支出</w:t>
      </w:r>
      <w:r>
        <w:rPr>
          <w:rFonts w:hint="default" w:ascii="仿宋_GB2312" w:hAnsi="ˎ̥" w:eastAsia="仿宋_GB2312"/>
          <w:color w:val="auto"/>
          <w:sz w:val="32"/>
          <w:szCs w:val="32"/>
          <w:highlight w:val="none"/>
          <w:lang w:val="en-US"/>
        </w:rPr>
        <w:t>14,751.11</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结余分配</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年末结转结余</w:t>
      </w:r>
      <w:r>
        <w:rPr>
          <w:rFonts w:hint="default" w:ascii="仿宋_GB2312" w:hAnsi="ˎ̥" w:eastAsia="仿宋_GB2312"/>
          <w:color w:val="auto"/>
          <w:sz w:val="32"/>
          <w:szCs w:val="32"/>
          <w:highlight w:val="none"/>
          <w:lang w:val="en-US"/>
        </w:rPr>
        <w:t>116.60</w:t>
      </w:r>
      <w:r>
        <w:rPr>
          <w:rFonts w:hint="eastAsia" w:ascii="仿宋_GB2312" w:hAnsi="ˎ̥" w:eastAsia="仿宋_GB2312"/>
          <w:color w:val="auto"/>
          <w:sz w:val="32"/>
          <w:szCs w:val="32"/>
          <w:highlight w:val="none"/>
        </w:rPr>
        <w:t>万元，主要是</w:t>
      </w:r>
      <w:r>
        <w:rPr>
          <w:rFonts w:hint="eastAsia" w:ascii="仿宋_GB2312" w:hAnsi="ˎ̥" w:eastAsia="仿宋_GB2312"/>
          <w:sz w:val="32"/>
          <w:szCs w:val="32"/>
          <w:highlight w:val="none"/>
          <w:lang w:val="en-US" w:eastAsia="zh-CN"/>
        </w:rPr>
        <w:t>基建经费结余结转</w:t>
      </w:r>
      <w:r>
        <w:rPr>
          <w:rFonts w:hint="eastAsia" w:ascii="仿宋_GB2312" w:hAnsi="ˎ̥" w:eastAsia="仿宋_GB2312"/>
          <w:color w:val="auto"/>
          <w:sz w:val="32"/>
          <w:szCs w:val="32"/>
          <w:highlight w:val="none"/>
        </w:rPr>
        <w:t>，较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年度决算数减少58.62万元，下降33.46%，主要原因是</w:t>
      </w:r>
      <w:r>
        <w:rPr>
          <w:rFonts w:hint="eastAsia" w:ascii="仿宋_GB2312" w:hAnsi="ˎ̥" w:eastAsia="仿宋_GB2312"/>
          <w:sz w:val="32"/>
          <w:szCs w:val="32"/>
          <w:highlight w:val="none"/>
          <w:lang w:val="en-US" w:eastAsia="zh-CN"/>
        </w:rPr>
        <w:t>基建项目减少</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 xml:space="preserve">   （注</w:t>
      </w:r>
      <w:r>
        <w:rPr>
          <w:rFonts w:ascii="仿宋_GB2312" w:hAnsi="ˎ̥" w:eastAsia="仿宋_GB2312"/>
          <w:color w:val="auto"/>
          <w:sz w:val="32"/>
          <w:szCs w:val="32"/>
          <w:highlight w:val="none"/>
        </w:rPr>
        <w:t>：</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年度相关决算数据可取自附件财决公开01、02</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lang w:val="en-US" w:eastAsia="zh-CN"/>
        </w:rPr>
        <w:t>03</w:t>
      </w:r>
      <w:r>
        <w:rPr>
          <w:rFonts w:hint="eastAsia" w:ascii="仿宋_GB2312" w:hAnsi="ˎ̥" w:eastAsia="仿宋_GB2312"/>
          <w:color w:val="auto"/>
          <w:sz w:val="32"/>
          <w:szCs w:val="32"/>
          <w:highlight w:val="none"/>
        </w:rPr>
        <w:t>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年度相关决算数据可取自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决算报表财决01表《收入支出决算总表》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黑体" w:hAnsi="黑体" w:eastAsia="黑体" w:cs="黑体"/>
          <w:bCs/>
          <w:color w:val="auto"/>
          <w:sz w:val="32"/>
          <w:szCs w:val="32"/>
          <w:highlight w:val="none"/>
        </w:rPr>
        <w:t>二、收入决算情况说明</w:t>
      </w:r>
      <w:r>
        <w:rPr>
          <w:rFonts w:hint="eastAsia" w:ascii="黑体" w:hAnsi="黑体" w:eastAsia="黑体" w:cs="黑体"/>
          <w:bCs/>
          <w:color w:val="auto"/>
          <w:sz w:val="32"/>
          <w:szCs w:val="32"/>
          <w:highlight w:val="none"/>
        </w:rPr>
        <w:br w:type="textWrapping"/>
      </w:r>
      <w:r>
        <w:rPr>
          <w:rFonts w:hint="eastAsia" w:ascii="仿宋_GB2312" w:hAnsi="ˎ̥" w:eastAsia="仿宋_GB2312"/>
          <w:color w:val="auto"/>
          <w:sz w:val="32"/>
          <w:szCs w:val="32"/>
          <w:highlight w:val="none"/>
        </w:rPr>
        <w:t xml:space="preserve">    本年收入</w:t>
      </w:r>
      <w:r>
        <w:rPr>
          <w:rFonts w:hint="default" w:ascii="仿宋_GB2312" w:hAnsi="ˎ̥" w:eastAsia="仿宋_GB2312"/>
          <w:color w:val="auto"/>
          <w:sz w:val="32"/>
          <w:szCs w:val="32"/>
          <w:highlight w:val="none"/>
          <w:lang w:val="en-US"/>
        </w:rPr>
        <w:t>14,692.49</w:t>
      </w:r>
      <w:r>
        <w:rPr>
          <w:rFonts w:hint="eastAsia" w:ascii="仿宋_GB2312" w:hAnsi="ˎ̥" w:eastAsia="仿宋_GB2312"/>
          <w:color w:val="auto"/>
          <w:sz w:val="32"/>
          <w:szCs w:val="32"/>
          <w:highlight w:val="none"/>
        </w:rPr>
        <w:t>万元，其中：财政拨款收入</w:t>
      </w:r>
      <w:r>
        <w:rPr>
          <w:rFonts w:hint="default" w:ascii="仿宋_GB2312" w:hAnsi="ˎ̥" w:eastAsia="仿宋_GB2312"/>
          <w:color w:val="auto"/>
          <w:sz w:val="32"/>
          <w:szCs w:val="32"/>
          <w:highlight w:val="none"/>
          <w:lang w:val="en-US"/>
        </w:rPr>
        <w:t>14,674.84</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99.88</w:t>
      </w:r>
      <w:r>
        <w:rPr>
          <w:rFonts w:hint="eastAsia" w:ascii="仿宋_GB2312" w:hAnsi="ˎ̥" w:eastAsia="仿宋_GB2312"/>
          <w:color w:val="auto"/>
          <w:sz w:val="32"/>
          <w:szCs w:val="32"/>
          <w:highlight w:val="none"/>
        </w:rPr>
        <w:t>%；上级补助收入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万元；事业收入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万元；经营收入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万元；附属单位上缴收入</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万元；其他收入</w:t>
      </w:r>
      <w:r>
        <w:rPr>
          <w:rFonts w:hint="default" w:ascii="仿宋_GB2312" w:hAnsi="ˎ̥" w:eastAsia="仿宋_GB2312"/>
          <w:color w:val="auto"/>
          <w:sz w:val="32"/>
          <w:szCs w:val="32"/>
          <w:highlight w:val="none"/>
          <w:lang w:val="en-US"/>
        </w:rPr>
        <w:t>17.65</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0.12</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 xml:space="preserve">  （注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上述各项收入数可取自财决公开02表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jc w:val="both"/>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本年支出</w:t>
      </w:r>
      <w:r>
        <w:rPr>
          <w:rFonts w:hint="default" w:ascii="仿宋_GB2312" w:hAnsi="ˎ̥" w:eastAsia="仿宋_GB2312"/>
          <w:color w:val="auto"/>
          <w:sz w:val="32"/>
          <w:szCs w:val="32"/>
          <w:highlight w:val="none"/>
          <w:lang w:val="en-US"/>
        </w:rPr>
        <w:t>14,751.11</w:t>
      </w:r>
      <w:r>
        <w:rPr>
          <w:rFonts w:hint="eastAsia" w:ascii="仿宋_GB2312" w:hAnsi="ˎ̥" w:eastAsia="仿宋_GB2312"/>
          <w:color w:val="auto"/>
          <w:sz w:val="32"/>
          <w:szCs w:val="32"/>
          <w:highlight w:val="none"/>
        </w:rPr>
        <w:t>万元，其中：基本支出</w:t>
      </w:r>
      <w:r>
        <w:rPr>
          <w:rFonts w:hint="default" w:ascii="仿宋_GB2312" w:hAnsi="ˎ̥" w:eastAsia="仿宋_GB2312"/>
          <w:color w:val="auto"/>
          <w:sz w:val="32"/>
          <w:szCs w:val="32"/>
          <w:highlight w:val="none"/>
          <w:lang w:val="en-US"/>
        </w:rPr>
        <w:t>3,009.67</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20.4</w:t>
      </w:r>
      <w:r>
        <w:rPr>
          <w:rFonts w:hint="eastAsia" w:ascii="仿宋_GB2312" w:hAnsi="ˎ̥" w:eastAsia="仿宋_GB2312"/>
          <w:color w:val="auto"/>
          <w:sz w:val="32"/>
          <w:szCs w:val="32"/>
          <w:highlight w:val="none"/>
        </w:rPr>
        <w:t>%；项目支出</w:t>
      </w:r>
      <w:r>
        <w:rPr>
          <w:rFonts w:hint="default" w:ascii="仿宋_GB2312" w:hAnsi="ˎ̥" w:eastAsia="仿宋_GB2312"/>
          <w:color w:val="auto"/>
          <w:sz w:val="32"/>
          <w:szCs w:val="32"/>
          <w:highlight w:val="none"/>
          <w:lang w:val="en-US"/>
        </w:rPr>
        <w:t>11,741.44</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79.6</w:t>
      </w:r>
      <w:r>
        <w:rPr>
          <w:rFonts w:hint="eastAsia" w:ascii="仿宋_GB2312" w:hAnsi="ˎ̥" w:eastAsia="仿宋_GB2312"/>
          <w:color w:val="auto"/>
          <w:sz w:val="32"/>
          <w:szCs w:val="32"/>
          <w:highlight w:val="none"/>
        </w:rPr>
        <w:t>%；上缴上级支出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万元；经营支出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万元；对附属单位补助支出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上述各项支出数可取自财决公开03表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jc w:val="both"/>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年度财政拨款收入</w:t>
      </w:r>
      <w:r>
        <w:rPr>
          <w:rFonts w:hint="default" w:ascii="仿宋_GB2312" w:hAnsi="ˎ̥" w:eastAsia="仿宋_GB2312"/>
          <w:color w:val="auto"/>
          <w:sz w:val="32"/>
          <w:szCs w:val="32"/>
          <w:highlight w:val="none"/>
          <w:lang w:val="en-US"/>
        </w:rPr>
        <w:t>14,674.84</w:t>
      </w:r>
      <w:r>
        <w:rPr>
          <w:rFonts w:hint="eastAsia" w:ascii="仿宋_GB2312" w:hAnsi="ˎ̥" w:eastAsia="仿宋_GB2312"/>
          <w:color w:val="auto"/>
          <w:sz w:val="32"/>
          <w:szCs w:val="32"/>
          <w:highlight w:val="none"/>
        </w:rPr>
        <w:t>万元，支出</w:t>
      </w:r>
      <w:r>
        <w:rPr>
          <w:rFonts w:hint="default" w:ascii="仿宋_GB2312" w:hAnsi="ˎ̥" w:eastAsia="仿宋_GB2312"/>
          <w:color w:val="auto"/>
          <w:sz w:val="32"/>
          <w:szCs w:val="32"/>
          <w:highlight w:val="none"/>
          <w:lang w:val="en-US"/>
        </w:rPr>
        <w:t>14,674.84</w:t>
      </w:r>
      <w:r>
        <w:rPr>
          <w:rFonts w:hint="eastAsia" w:ascii="仿宋_GB2312" w:hAnsi="ˎ̥" w:eastAsia="仿宋_GB2312"/>
          <w:color w:val="auto"/>
          <w:sz w:val="32"/>
          <w:szCs w:val="32"/>
          <w:highlight w:val="none"/>
        </w:rPr>
        <w:t>万元。与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年度相比，财政拨款收入减少251.18万元，下降</w:t>
      </w:r>
      <w:r>
        <w:rPr>
          <w:rFonts w:hint="eastAsia" w:ascii="仿宋_GB2312" w:hAnsi="ˎ̥" w:eastAsia="仿宋_GB2312"/>
          <w:color w:val="auto"/>
          <w:sz w:val="32"/>
          <w:szCs w:val="32"/>
          <w:highlight w:val="none"/>
          <w:lang w:val="en-US" w:eastAsia="zh-CN"/>
        </w:rPr>
        <w:t>1.68</w:t>
      </w:r>
      <w:r>
        <w:rPr>
          <w:rFonts w:hint="eastAsia" w:ascii="仿宋_GB2312" w:hAnsi="ˎ̥" w:eastAsia="仿宋_GB2312"/>
          <w:color w:val="auto"/>
          <w:sz w:val="32"/>
          <w:szCs w:val="32"/>
          <w:highlight w:val="none"/>
        </w:rPr>
        <w:t>%，主要原因：一是</w:t>
      </w:r>
      <w:r>
        <w:rPr>
          <w:rFonts w:hint="eastAsia" w:ascii="仿宋_GB2312" w:hAnsi="ˎ̥" w:eastAsia="仿宋_GB2312"/>
          <w:color w:val="auto"/>
          <w:sz w:val="32"/>
          <w:szCs w:val="32"/>
          <w:highlight w:val="none"/>
          <w:lang w:val="en-US" w:eastAsia="zh-CN"/>
        </w:rPr>
        <w:t>社保减少，</w:t>
      </w:r>
      <w:r>
        <w:rPr>
          <w:rFonts w:hint="eastAsia" w:ascii="仿宋_GB2312" w:hAnsi="ˎ̥" w:eastAsia="仿宋_GB2312"/>
          <w:color w:val="auto"/>
          <w:sz w:val="32"/>
          <w:szCs w:val="32"/>
          <w:highlight w:val="none"/>
        </w:rPr>
        <w:t>二是</w:t>
      </w:r>
      <w:r>
        <w:rPr>
          <w:rFonts w:hint="eastAsia" w:ascii="仿宋_GB2312" w:hAnsi="ˎ̥" w:eastAsia="仿宋_GB2312"/>
          <w:color w:val="auto"/>
          <w:sz w:val="32"/>
          <w:szCs w:val="32"/>
          <w:highlight w:val="none"/>
          <w:lang w:val="en-US" w:eastAsia="zh-CN"/>
        </w:rPr>
        <w:t>公积金减少，三是</w:t>
      </w:r>
      <w:r>
        <w:rPr>
          <w:rFonts w:hint="eastAsia" w:ascii="仿宋_GB2312" w:hAnsi="ˎ̥" w:eastAsia="仿宋_GB2312"/>
          <w:color w:val="auto"/>
          <w:sz w:val="32"/>
          <w:szCs w:val="32"/>
          <w:highlight w:val="none"/>
        </w:rPr>
        <w:t>年初结转结余</w:t>
      </w:r>
      <w:r>
        <w:rPr>
          <w:rFonts w:hint="eastAsia" w:ascii="仿宋_GB2312" w:hAnsi="ˎ̥" w:eastAsia="仿宋_GB2312"/>
          <w:color w:val="auto"/>
          <w:sz w:val="32"/>
          <w:szCs w:val="32"/>
          <w:highlight w:val="none"/>
          <w:lang w:val="en-US" w:eastAsia="zh-CN"/>
        </w:rPr>
        <w:t>减少</w:t>
      </w:r>
      <w:r>
        <w:rPr>
          <w:rFonts w:hint="eastAsia" w:ascii="仿宋_GB2312" w:hAnsi="ˎ̥" w:eastAsia="仿宋_GB2312"/>
          <w:color w:val="auto"/>
          <w:sz w:val="32"/>
          <w:szCs w:val="32"/>
          <w:highlight w:val="none"/>
        </w:rPr>
        <w:t>。支出减少451.16万元，下降</w:t>
      </w:r>
      <w:r>
        <w:rPr>
          <w:rFonts w:hint="eastAsia" w:ascii="仿宋_GB2312" w:hAnsi="ˎ̥" w:eastAsia="仿宋_GB2312"/>
          <w:color w:val="auto"/>
          <w:sz w:val="32"/>
          <w:szCs w:val="32"/>
          <w:highlight w:val="none"/>
          <w:lang w:val="en-US" w:eastAsia="zh-CN"/>
        </w:rPr>
        <w:t>2.9</w:t>
      </w:r>
      <w:r>
        <w:rPr>
          <w:rFonts w:hint="eastAsia" w:ascii="仿宋_GB2312" w:hAnsi="ˎ̥" w:eastAsia="仿宋_GB2312"/>
          <w:color w:val="auto"/>
          <w:sz w:val="32"/>
          <w:szCs w:val="32"/>
          <w:highlight w:val="none"/>
        </w:rPr>
        <w:t>%，主要原因：一是</w:t>
      </w:r>
      <w:r>
        <w:rPr>
          <w:rFonts w:hint="eastAsia" w:ascii="仿宋_GB2312" w:hAnsi="ˎ̥" w:eastAsia="仿宋_GB2312"/>
          <w:color w:val="auto"/>
          <w:sz w:val="32"/>
          <w:szCs w:val="32"/>
          <w:highlight w:val="none"/>
          <w:lang w:val="en-US" w:eastAsia="zh-CN"/>
        </w:rPr>
        <w:t>社保减少，</w:t>
      </w:r>
      <w:r>
        <w:rPr>
          <w:rFonts w:hint="eastAsia" w:ascii="仿宋_GB2312" w:hAnsi="ˎ̥" w:eastAsia="仿宋_GB2312"/>
          <w:color w:val="auto"/>
          <w:sz w:val="32"/>
          <w:szCs w:val="32"/>
          <w:highlight w:val="none"/>
        </w:rPr>
        <w:t>二是</w:t>
      </w:r>
      <w:r>
        <w:rPr>
          <w:rFonts w:hint="eastAsia" w:ascii="仿宋_GB2312" w:hAnsi="ˎ̥" w:eastAsia="仿宋_GB2312"/>
          <w:color w:val="auto"/>
          <w:sz w:val="32"/>
          <w:szCs w:val="32"/>
          <w:highlight w:val="none"/>
          <w:lang w:val="en-US" w:eastAsia="zh-CN"/>
        </w:rPr>
        <w:t>公积金减少，三是</w:t>
      </w:r>
      <w:r>
        <w:rPr>
          <w:rFonts w:hint="eastAsia" w:ascii="仿宋_GB2312" w:hAnsi="ˎ̥" w:eastAsia="仿宋_GB2312"/>
          <w:color w:val="auto"/>
          <w:sz w:val="32"/>
          <w:szCs w:val="32"/>
          <w:highlight w:val="none"/>
        </w:rPr>
        <w:t>年初结转结余</w:t>
      </w:r>
      <w:r>
        <w:rPr>
          <w:rFonts w:hint="eastAsia" w:ascii="仿宋_GB2312" w:hAnsi="ˎ̥" w:eastAsia="仿宋_GB2312"/>
          <w:color w:val="auto"/>
          <w:sz w:val="32"/>
          <w:szCs w:val="32"/>
          <w:highlight w:val="none"/>
          <w:lang w:val="en-US" w:eastAsia="zh-CN"/>
        </w:rPr>
        <w:t>减少</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财政拨款年初结转结余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财政拨款年末结转结余</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万元，较</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年度决算数</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年度决算相关数据可取自财决公开04表。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年度决算相关数据可取自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决算报表财决01-1表《财政拨款收入支出决算总表》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jc w:val="both"/>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color w:val="auto"/>
          <w:sz w:val="32"/>
          <w:szCs w:val="32"/>
          <w:highlight w:val="none"/>
        </w:rPr>
      </w:pPr>
      <w:bookmarkStart w:id="81" w:name="_Toc23005_WPSOffice_Level2"/>
      <w:bookmarkStart w:id="82" w:name="_Toc13694_WPSOffice_Level2"/>
      <w:bookmarkStart w:id="83" w:name="_Toc21737_WPSOffice_Level2"/>
      <w:bookmarkStart w:id="84" w:name="_Toc19665_WPSOffice_Level2"/>
      <w:bookmarkStart w:id="85" w:name="_Toc17398_WPSOffice_Level2"/>
      <w:bookmarkStart w:id="86" w:name="_Toc9989_WPSOffice_Level2"/>
      <w:r>
        <w:rPr>
          <w:rFonts w:hint="eastAsia" w:ascii="楷体" w:hAnsi="楷体" w:eastAsia="楷体" w:cs="楷体"/>
          <w:color w:val="auto"/>
          <w:sz w:val="32"/>
          <w:szCs w:val="32"/>
          <w:highlight w:val="none"/>
        </w:rPr>
        <w:t>（一）一般公共预算财政拨款支出决算总体情况</w:t>
      </w:r>
      <w:bookmarkEnd w:id="81"/>
      <w:bookmarkEnd w:id="82"/>
      <w:bookmarkEnd w:id="83"/>
      <w:bookmarkEnd w:id="84"/>
      <w:bookmarkEnd w:id="85"/>
      <w:bookmarkEnd w:id="8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年度一般公共预算财政拨款支出</w:t>
      </w:r>
      <w:r>
        <w:rPr>
          <w:rFonts w:hint="default" w:ascii="仿宋_GB2312" w:hAnsi="ˎ̥" w:eastAsia="仿宋_GB2312"/>
          <w:color w:val="auto"/>
          <w:sz w:val="32"/>
          <w:szCs w:val="32"/>
          <w:highlight w:val="none"/>
          <w:lang w:val="en-US"/>
        </w:rPr>
        <w:t>14,674.84</w:t>
      </w:r>
      <w:r>
        <w:rPr>
          <w:rFonts w:hint="eastAsia" w:ascii="仿宋_GB2312" w:hAnsi="ˎ̥" w:eastAsia="仿宋_GB2312"/>
          <w:color w:val="auto"/>
          <w:sz w:val="32"/>
          <w:szCs w:val="32"/>
          <w:highlight w:val="none"/>
        </w:rPr>
        <w:t>万元，占本年支出合计的</w:t>
      </w:r>
      <w:r>
        <w:rPr>
          <w:rFonts w:hint="eastAsia" w:ascii="仿宋_GB2312" w:hAnsi="ˎ̥" w:eastAsia="仿宋_GB2312"/>
          <w:color w:val="auto"/>
          <w:sz w:val="32"/>
          <w:szCs w:val="32"/>
          <w:highlight w:val="none"/>
          <w:lang w:val="en-US" w:eastAsia="zh-CN"/>
        </w:rPr>
        <w:t>99.88</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年度相比，一般公共预算财政拨款支出减少</w:t>
      </w:r>
      <w:r>
        <w:rPr>
          <w:rFonts w:hint="eastAsia" w:ascii="仿宋_GB2312" w:hAnsi="ˎ̥" w:eastAsia="仿宋_GB2312"/>
          <w:color w:val="auto"/>
          <w:sz w:val="32"/>
          <w:szCs w:val="32"/>
          <w:highlight w:val="none"/>
          <w:lang w:val="en-US" w:eastAsia="zh-CN"/>
        </w:rPr>
        <w:t>251.18</w:t>
      </w:r>
      <w:r>
        <w:rPr>
          <w:rFonts w:hint="eastAsia" w:ascii="仿宋_GB2312" w:hAnsi="ˎ̥" w:eastAsia="仿宋_GB2312"/>
          <w:color w:val="auto"/>
          <w:sz w:val="32"/>
          <w:szCs w:val="32"/>
          <w:highlight w:val="none"/>
        </w:rPr>
        <w:t>万元，下降</w:t>
      </w:r>
      <w:r>
        <w:rPr>
          <w:rFonts w:hint="eastAsia" w:ascii="仿宋_GB2312" w:hAnsi="ˎ̥" w:eastAsia="仿宋_GB2312"/>
          <w:color w:val="auto"/>
          <w:sz w:val="32"/>
          <w:szCs w:val="32"/>
          <w:highlight w:val="none"/>
          <w:lang w:val="en-US" w:eastAsia="zh-CN"/>
        </w:rPr>
        <w:t>1.68</w:t>
      </w:r>
      <w:r>
        <w:rPr>
          <w:rFonts w:hint="eastAsia" w:ascii="仿宋_GB2312" w:hAnsi="ˎ̥" w:eastAsia="仿宋_GB2312"/>
          <w:color w:val="auto"/>
          <w:sz w:val="32"/>
          <w:szCs w:val="32"/>
          <w:highlight w:val="none"/>
        </w:rPr>
        <w:t>%，主要原因是</w:t>
      </w:r>
      <w:r>
        <w:rPr>
          <w:rFonts w:hint="eastAsia" w:ascii="仿宋_GB2312" w:hAnsi="ˎ̥" w:eastAsia="仿宋_GB2312"/>
          <w:color w:val="auto"/>
          <w:sz w:val="32"/>
          <w:szCs w:val="32"/>
          <w:highlight w:val="none"/>
          <w:lang w:val="en-US" w:eastAsia="zh-CN"/>
        </w:rPr>
        <w:t>社保、公积金支出减少</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color w:val="auto"/>
          <w:sz w:val="32"/>
          <w:szCs w:val="32"/>
          <w:highlight w:val="none"/>
        </w:rPr>
      </w:pPr>
      <w:bookmarkStart w:id="87" w:name="_Toc27767_WPSOffice_Level2"/>
      <w:bookmarkStart w:id="88" w:name="_Toc19535_WPSOffice_Level2"/>
      <w:bookmarkStart w:id="89" w:name="_Toc2711_WPSOffice_Level2"/>
      <w:bookmarkStart w:id="90" w:name="_Toc19075_WPSOffice_Level2"/>
      <w:bookmarkStart w:id="91" w:name="_Toc23864_WPSOffice_Level2"/>
      <w:bookmarkStart w:id="92" w:name="_Toc18793_WPSOffice_Level2"/>
      <w:r>
        <w:rPr>
          <w:rFonts w:hint="eastAsia" w:ascii="楷体" w:hAnsi="楷体" w:eastAsia="楷体" w:cs="楷体"/>
          <w:color w:val="auto"/>
          <w:sz w:val="32"/>
          <w:szCs w:val="32"/>
          <w:highlight w:val="none"/>
        </w:rPr>
        <w:t>（二）一般公共预算财政拨款支出决算结构情况</w:t>
      </w:r>
      <w:bookmarkEnd w:id="87"/>
      <w:bookmarkEnd w:id="88"/>
      <w:bookmarkEnd w:id="89"/>
      <w:bookmarkEnd w:id="90"/>
      <w:bookmarkEnd w:id="91"/>
      <w:bookmarkEnd w:id="9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年度一般公共预算财政拨款支出</w:t>
      </w:r>
      <w:r>
        <w:rPr>
          <w:rFonts w:hint="default" w:ascii="仿宋_GB2312" w:hAnsi="ˎ̥" w:eastAsia="仿宋_GB2312"/>
          <w:color w:val="auto"/>
          <w:sz w:val="32"/>
          <w:szCs w:val="32"/>
          <w:highlight w:val="none"/>
          <w:lang w:val="en-US"/>
        </w:rPr>
        <w:t>14,674.84</w:t>
      </w:r>
      <w:r>
        <w:rPr>
          <w:rFonts w:hint="eastAsia" w:ascii="仿宋_GB2312" w:hAnsi="ˎ̥" w:eastAsia="仿宋_GB2312"/>
          <w:color w:val="auto"/>
          <w:sz w:val="32"/>
          <w:szCs w:val="32"/>
          <w:highlight w:val="none"/>
        </w:rPr>
        <w:t>万元，主要用于以下方面：</w:t>
      </w:r>
      <w:r>
        <w:rPr>
          <w:rFonts w:hint="eastAsia" w:ascii="仿宋_GB2312" w:hAnsi="ˎ̥" w:eastAsia="仿宋_GB2312"/>
          <w:b/>
          <w:color w:val="auto"/>
          <w:sz w:val="32"/>
          <w:szCs w:val="32"/>
          <w:highlight w:val="none"/>
        </w:rPr>
        <w:t>一般公共服务（类）</w:t>
      </w:r>
      <w:r>
        <w:rPr>
          <w:rFonts w:hint="eastAsia" w:ascii="仿宋_GB2312" w:hAnsi="ˎ̥" w:eastAsia="仿宋_GB2312"/>
          <w:color w:val="auto"/>
          <w:sz w:val="32"/>
          <w:szCs w:val="32"/>
          <w:highlight w:val="none"/>
        </w:rPr>
        <w:t>支出</w:t>
      </w:r>
      <w:r>
        <w:rPr>
          <w:rFonts w:hint="default" w:ascii="仿宋_GB2312" w:hAnsi="ˎ̥" w:eastAsia="仿宋_GB2312"/>
          <w:color w:val="auto"/>
          <w:sz w:val="32"/>
          <w:szCs w:val="32"/>
          <w:highlight w:val="none"/>
          <w:lang w:val="en-US"/>
        </w:rPr>
        <w:t>2.32</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0.02</w:t>
      </w:r>
      <w:r>
        <w:rPr>
          <w:rFonts w:hint="eastAsia" w:ascii="仿宋_GB2312" w:hAnsi="ˎ̥" w:eastAsia="仿宋_GB2312"/>
          <w:color w:val="auto"/>
          <w:sz w:val="32"/>
          <w:szCs w:val="32"/>
          <w:highlight w:val="none"/>
        </w:rPr>
        <w:t>%；</w:t>
      </w:r>
      <w:r>
        <w:rPr>
          <w:rFonts w:hint="eastAsia" w:ascii="仿宋_GB2312" w:hAnsi="ˎ̥" w:eastAsia="仿宋_GB2312" w:cs="仿宋_GB2312"/>
          <w:b/>
          <w:kern w:val="0"/>
          <w:sz w:val="32"/>
          <w:szCs w:val="32"/>
          <w:highlight w:val="none"/>
          <w:shd w:val="clear" w:fill="FFFFFF"/>
        </w:rPr>
        <w:t>教育支出（类）</w:t>
      </w:r>
      <w:r>
        <w:rPr>
          <w:rFonts w:hint="eastAsia" w:ascii="仿宋_GB2312" w:hAnsi="ˎ̥" w:eastAsia="仿宋_GB2312" w:cs="仿宋_GB2312"/>
          <w:kern w:val="0"/>
          <w:sz w:val="32"/>
          <w:szCs w:val="32"/>
          <w:highlight w:val="none"/>
          <w:shd w:val="clear" w:fill="FFFFFF"/>
        </w:rPr>
        <w:t>支出13,938.43万元，占9</w:t>
      </w:r>
      <w:r>
        <w:rPr>
          <w:rFonts w:hint="eastAsia" w:ascii="仿宋_GB2312" w:hAnsi="ˎ̥" w:eastAsia="仿宋_GB2312" w:cs="仿宋_GB2312"/>
          <w:kern w:val="0"/>
          <w:sz w:val="32"/>
          <w:szCs w:val="32"/>
          <w:highlight w:val="none"/>
          <w:shd w:val="clear" w:fill="FFFFFF"/>
          <w:lang w:val="en-US" w:eastAsia="zh-CN"/>
        </w:rPr>
        <w:t>4.98</w:t>
      </w:r>
      <w:r>
        <w:rPr>
          <w:rFonts w:hint="eastAsia" w:ascii="仿宋_GB2312" w:hAnsi="ˎ̥" w:eastAsia="仿宋_GB2312" w:cs="仿宋_GB2312"/>
          <w:kern w:val="0"/>
          <w:sz w:val="32"/>
          <w:szCs w:val="32"/>
          <w:highlight w:val="none"/>
          <w:shd w:val="clear" w:fill="FFFFFF"/>
        </w:rPr>
        <w:t>%；</w:t>
      </w:r>
      <w:r>
        <w:rPr>
          <w:rFonts w:hint="eastAsia" w:ascii="仿宋_GB2312" w:hAnsi="ˎ̥" w:eastAsia="仿宋_GB2312"/>
          <w:b/>
          <w:color w:val="auto"/>
          <w:sz w:val="32"/>
          <w:szCs w:val="32"/>
          <w:highlight w:val="none"/>
        </w:rPr>
        <w:t>社会保障和就业（类）</w:t>
      </w:r>
      <w:r>
        <w:rPr>
          <w:rFonts w:hint="eastAsia" w:ascii="仿宋_GB2312" w:hAnsi="ˎ̥" w:eastAsia="仿宋_GB2312"/>
          <w:color w:val="auto"/>
          <w:sz w:val="32"/>
          <w:szCs w:val="32"/>
          <w:highlight w:val="none"/>
        </w:rPr>
        <w:t>支出</w:t>
      </w:r>
      <w:r>
        <w:rPr>
          <w:rFonts w:hint="default" w:ascii="仿宋_GB2312" w:hAnsi="ˎ̥" w:eastAsia="仿宋_GB2312"/>
          <w:color w:val="auto"/>
          <w:sz w:val="32"/>
          <w:szCs w:val="32"/>
          <w:highlight w:val="none"/>
          <w:lang w:val="en-US"/>
        </w:rPr>
        <w:t>272.20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1.86</w:t>
      </w:r>
      <w:r>
        <w:rPr>
          <w:rFonts w:hint="eastAsia" w:ascii="仿宋_GB2312" w:hAnsi="ˎ̥" w:eastAsia="仿宋_GB2312"/>
          <w:color w:val="auto"/>
          <w:sz w:val="32"/>
          <w:szCs w:val="32"/>
          <w:highlight w:val="none"/>
        </w:rPr>
        <w:t>%；</w:t>
      </w:r>
      <w:r>
        <w:rPr>
          <w:rFonts w:hint="eastAsia" w:ascii="仿宋_GB2312" w:hAnsi="ˎ̥" w:eastAsia="仿宋_GB2312" w:cs="仿宋_GB2312"/>
          <w:b/>
          <w:kern w:val="0"/>
          <w:sz w:val="32"/>
          <w:szCs w:val="32"/>
          <w:highlight w:val="none"/>
          <w:shd w:val="clear" w:fill="FFFFFF"/>
        </w:rPr>
        <w:t>卫生健康支出（类）</w:t>
      </w:r>
      <w:r>
        <w:rPr>
          <w:rFonts w:hint="eastAsia" w:ascii="仿宋_GB2312" w:hAnsi="ˎ̥" w:eastAsia="仿宋_GB2312" w:cs="仿宋_GB2312"/>
          <w:kern w:val="0"/>
          <w:sz w:val="32"/>
          <w:szCs w:val="32"/>
          <w:highlight w:val="none"/>
          <w:shd w:val="clear" w:fill="FFFFFF"/>
        </w:rPr>
        <w:t>支出217.61万元，占</w:t>
      </w:r>
      <w:r>
        <w:rPr>
          <w:rFonts w:hint="eastAsia" w:ascii="仿宋_GB2312" w:hAnsi="ˎ̥" w:eastAsia="仿宋_GB2312" w:cs="仿宋_GB2312"/>
          <w:kern w:val="0"/>
          <w:sz w:val="32"/>
          <w:szCs w:val="32"/>
          <w:highlight w:val="none"/>
          <w:shd w:val="clear" w:fill="FFFFFF"/>
          <w:lang w:val="en-US" w:eastAsia="zh-CN"/>
        </w:rPr>
        <w:t>1.14</w:t>
      </w:r>
      <w:r>
        <w:rPr>
          <w:rFonts w:hint="eastAsia" w:ascii="仿宋_GB2312" w:hAnsi="ˎ̥" w:eastAsia="仿宋_GB2312" w:cs="仿宋_GB2312"/>
          <w:kern w:val="0"/>
          <w:sz w:val="32"/>
          <w:szCs w:val="32"/>
          <w:highlight w:val="none"/>
          <w:shd w:val="clear" w:fill="FFFFFF"/>
        </w:rPr>
        <w:t>%；</w:t>
      </w:r>
      <w:r>
        <w:rPr>
          <w:rFonts w:hint="eastAsia" w:ascii="仿宋_GB2312" w:hAnsi="ˎ̥" w:eastAsia="仿宋_GB2312"/>
          <w:b/>
          <w:bCs/>
          <w:color w:val="auto"/>
          <w:sz w:val="32"/>
          <w:szCs w:val="32"/>
          <w:highlight w:val="none"/>
        </w:rPr>
        <w:t>住房保障（类）</w:t>
      </w:r>
      <w:r>
        <w:rPr>
          <w:rFonts w:hint="eastAsia" w:ascii="仿宋_GB2312" w:hAnsi="ˎ̥" w:eastAsia="仿宋_GB2312"/>
          <w:color w:val="auto"/>
          <w:sz w:val="32"/>
          <w:szCs w:val="32"/>
          <w:highlight w:val="none"/>
        </w:rPr>
        <w:t>支出</w:t>
      </w:r>
      <w:r>
        <w:rPr>
          <w:rFonts w:hint="default" w:ascii="仿宋_GB2312" w:hAnsi="ˎ̥" w:eastAsia="仿宋_GB2312"/>
          <w:color w:val="auto"/>
          <w:sz w:val="32"/>
          <w:szCs w:val="32"/>
          <w:highlight w:val="none"/>
          <w:lang w:val="en-US"/>
        </w:rPr>
        <w:t>244.28</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1.66</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单位实际支出涉及的支出功能分类类级科目填列</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color w:val="auto"/>
          <w:sz w:val="32"/>
          <w:szCs w:val="32"/>
          <w:highlight w:val="none"/>
        </w:rPr>
      </w:pPr>
      <w:bookmarkStart w:id="93" w:name="_Toc25136_WPSOffice_Level2"/>
      <w:bookmarkStart w:id="94" w:name="_Toc15415_WPSOffice_Level2"/>
      <w:bookmarkStart w:id="95" w:name="_Toc29364_WPSOffice_Level2"/>
      <w:bookmarkStart w:id="96" w:name="_Toc21701_WPSOffice_Level2"/>
      <w:bookmarkStart w:id="97" w:name="_Toc9502_WPSOffice_Level2"/>
      <w:bookmarkStart w:id="98" w:name="_Toc22318_WPSOffice_Level2"/>
      <w:r>
        <w:rPr>
          <w:rFonts w:hint="eastAsia" w:ascii="楷体" w:hAnsi="楷体" w:eastAsia="楷体" w:cs="楷体"/>
          <w:color w:val="auto"/>
          <w:sz w:val="32"/>
          <w:szCs w:val="32"/>
          <w:highlight w:val="none"/>
        </w:rPr>
        <w:t>（三）一般公共预算财政拨款支出决算具体情况</w:t>
      </w:r>
      <w:bookmarkEnd w:id="93"/>
      <w:bookmarkEnd w:id="94"/>
      <w:bookmarkEnd w:id="95"/>
      <w:bookmarkEnd w:id="96"/>
      <w:bookmarkEnd w:id="97"/>
      <w:bookmarkEnd w:id="9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年度一般公共预算财政拨款支出年初预算为</w:t>
      </w:r>
      <w:r>
        <w:rPr>
          <w:rFonts w:hint="default" w:ascii="仿宋_GB2312" w:hAnsi="ˎ̥" w:eastAsia="仿宋_GB2312"/>
          <w:color w:val="auto"/>
          <w:sz w:val="32"/>
          <w:szCs w:val="32"/>
          <w:highlight w:val="none"/>
          <w:lang w:val="en-US"/>
        </w:rPr>
        <w:t>24464.27</w:t>
      </w:r>
      <w:r>
        <w:rPr>
          <w:rFonts w:hint="eastAsia" w:ascii="仿宋_GB2312" w:hAnsi="ˎ̥" w:eastAsia="仿宋_GB2312"/>
          <w:color w:val="auto"/>
          <w:sz w:val="32"/>
          <w:szCs w:val="32"/>
          <w:highlight w:val="none"/>
        </w:rPr>
        <w:t>万元，支出决算为</w:t>
      </w:r>
      <w:r>
        <w:rPr>
          <w:rFonts w:hint="default" w:ascii="仿宋_GB2312" w:hAnsi="ˎ̥" w:eastAsia="仿宋_GB2312"/>
          <w:color w:val="auto"/>
          <w:sz w:val="32"/>
          <w:szCs w:val="32"/>
          <w:highlight w:val="none"/>
          <w:lang w:val="en-US"/>
        </w:rPr>
        <w:t>14,674.84</w:t>
      </w:r>
      <w:r>
        <w:rPr>
          <w:rFonts w:hint="eastAsia" w:ascii="仿宋_GB2312" w:hAnsi="ˎ̥" w:eastAsia="仿宋_GB2312"/>
          <w:color w:val="auto"/>
          <w:sz w:val="32"/>
          <w:szCs w:val="32"/>
          <w:highlight w:val="none"/>
        </w:rPr>
        <w:t>万元，完成年初预算的</w:t>
      </w:r>
      <w:r>
        <w:rPr>
          <w:rFonts w:hint="eastAsia" w:ascii="仿宋_GB2312" w:hAnsi="ˎ̥" w:eastAsia="仿宋_GB2312"/>
          <w:color w:val="auto"/>
          <w:sz w:val="32"/>
          <w:szCs w:val="32"/>
          <w:highlight w:val="none"/>
          <w:lang w:val="en-US" w:eastAsia="zh-CN"/>
        </w:rPr>
        <w:t>99.98</w:t>
      </w:r>
      <w:r>
        <w:rPr>
          <w:rFonts w:hint="eastAsia" w:ascii="仿宋_GB2312" w:hAnsi="ˎ̥" w:eastAsia="仿宋_GB2312"/>
          <w:color w:val="auto"/>
          <w:sz w:val="32"/>
          <w:szCs w:val="32"/>
          <w:highlight w:val="none"/>
        </w:rPr>
        <w:t>%。其中：</w:t>
      </w:r>
    </w:p>
    <w:p>
      <w:pPr>
        <w:spacing w:line="578" w:lineRule="exact"/>
        <w:ind w:firstLine="640" w:firstLineChars="200"/>
        <w:rPr>
          <w:rFonts w:hint="eastAsia" w:ascii="仿宋_GB2312" w:hAnsi="ˎ̥" w:eastAsia="仿宋_GB2312"/>
          <w:b/>
          <w:sz w:val="32"/>
          <w:szCs w:val="32"/>
          <w:highlight w:val="none"/>
        </w:rPr>
      </w:pPr>
      <w:r>
        <w:rPr>
          <w:rFonts w:hint="eastAsia" w:ascii="仿宋_GB2312" w:hAnsi="ˎ̥" w:eastAsia="仿宋_GB2312"/>
          <w:sz w:val="32"/>
          <w:szCs w:val="32"/>
          <w:highlight w:val="none"/>
        </w:rPr>
        <w:t>1.</w:t>
      </w:r>
      <w:r>
        <w:rPr>
          <w:rFonts w:hint="eastAsia" w:ascii="仿宋_GB2312" w:hAnsi="ˎ̥" w:eastAsia="仿宋_GB2312" w:cs="仿宋_GB2312"/>
          <w:b/>
          <w:kern w:val="0"/>
          <w:sz w:val="32"/>
          <w:szCs w:val="32"/>
          <w:highlight w:val="none"/>
          <w:shd w:val="clear" w:fill="FFFFFF"/>
        </w:rPr>
        <w:t>一般公共服务（类）其他共产党事务支出（款）</w:t>
      </w:r>
      <w:r>
        <w:rPr>
          <w:rFonts w:hint="eastAsia" w:ascii="仿宋_GB2312" w:hAnsi="ˎ̥" w:eastAsia="仿宋_GB2312"/>
          <w:b/>
          <w:sz w:val="32"/>
          <w:szCs w:val="32"/>
          <w:highlight w:val="none"/>
        </w:rPr>
        <w:t>。</w:t>
      </w:r>
    </w:p>
    <w:p>
      <w:pPr>
        <w:spacing w:line="578" w:lineRule="exact"/>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黑体" w:eastAsia="仿宋_GB2312" w:cs="仿宋_GB2312"/>
          <w:sz w:val="32"/>
          <w:szCs w:val="32"/>
          <w:highlight w:val="none"/>
          <w:lang w:val="en-US" w:eastAsia="zh-CN"/>
        </w:rPr>
        <w:t>18.71</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2.32</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12.4</w:t>
      </w:r>
      <w:r>
        <w:rPr>
          <w:rFonts w:hint="eastAsia" w:ascii="仿宋_GB2312" w:hAnsi="ˎ̥" w:eastAsia="仿宋_GB2312"/>
          <w:sz w:val="32"/>
          <w:szCs w:val="32"/>
          <w:highlight w:val="none"/>
        </w:rPr>
        <w:t>%。决算数小于预算数的主要原因</w:t>
      </w:r>
      <w:r>
        <w:rPr>
          <w:rFonts w:hint="eastAsia" w:ascii="仿宋_GB2312" w:hAnsi="ˎ̥" w:eastAsia="仿宋_GB2312"/>
          <w:sz w:val="32"/>
          <w:szCs w:val="32"/>
          <w:highlight w:val="none"/>
          <w:lang w:eastAsia="zh-CN"/>
        </w:rPr>
        <w:t>是</w:t>
      </w:r>
      <w:r>
        <w:rPr>
          <w:rFonts w:hint="eastAsia" w:ascii="仿宋_GB2312" w:hAnsi="ˎ̥" w:eastAsia="仿宋_GB2312"/>
          <w:sz w:val="32"/>
          <w:szCs w:val="32"/>
          <w:highlight w:val="none"/>
          <w:lang w:val="en-US" w:eastAsia="zh-CN"/>
        </w:rPr>
        <w:t>22.32万元为教育局党建经费支出，其余16.39万元已全部调整到各学校，由学校自行支出党建经费</w:t>
      </w:r>
      <w:r>
        <w:rPr>
          <w:rFonts w:hint="eastAsia" w:ascii="仿宋_GB2312" w:hAnsi="ˎ̥" w:eastAsia="仿宋_GB2312"/>
          <w:sz w:val="32"/>
          <w:szCs w:val="32"/>
          <w:highlight w:val="none"/>
        </w:rPr>
        <w:t>。</w:t>
      </w:r>
    </w:p>
    <w:p>
      <w:pPr>
        <w:spacing w:line="578" w:lineRule="exact"/>
        <w:rPr>
          <w:rFonts w:hint="eastAsia" w:ascii="仿宋_GB2312" w:hAnsi="ˎ̥" w:eastAsia="仿宋_GB2312"/>
          <w:b/>
          <w:sz w:val="32"/>
          <w:szCs w:val="32"/>
          <w:highlight w:val="none"/>
        </w:rPr>
      </w:pPr>
      <w:r>
        <w:rPr>
          <w:rFonts w:hint="eastAsia" w:ascii="仿宋_GB2312" w:hAnsi="ˎ̥" w:eastAsia="仿宋_GB2312"/>
          <w:sz w:val="32"/>
          <w:szCs w:val="32"/>
          <w:highlight w:val="none"/>
        </w:rPr>
        <w:t xml:space="preserve">    2.</w:t>
      </w:r>
      <w:r>
        <w:rPr>
          <w:rFonts w:hint="eastAsia" w:ascii="仿宋_GB2312" w:hAnsi="ˎ̥" w:eastAsia="仿宋_GB2312" w:cs="仿宋_GB2312"/>
          <w:b/>
          <w:kern w:val="0"/>
          <w:sz w:val="32"/>
          <w:szCs w:val="32"/>
          <w:highlight w:val="none"/>
          <w:shd w:val="clear" w:fill="FFFFFF"/>
        </w:rPr>
        <w:t>教育支出（类）教育管理事务（款）</w:t>
      </w:r>
    </w:p>
    <w:p>
      <w:pPr>
        <w:spacing w:line="578" w:lineRule="exact"/>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黑体" w:eastAsia="仿宋_GB2312"/>
          <w:sz w:val="32"/>
          <w:szCs w:val="32"/>
          <w:highlight w:val="none"/>
        </w:rPr>
        <w:t>4029.46</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2,491.79</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61.84</w:t>
      </w:r>
      <w:r>
        <w:rPr>
          <w:rFonts w:hint="eastAsia" w:ascii="仿宋_GB2312" w:hAnsi="ˎ̥" w:eastAsia="仿宋_GB2312"/>
          <w:sz w:val="32"/>
          <w:szCs w:val="32"/>
          <w:highlight w:val="none"/>
        </w:rPr>
        <w:t>%。决算数小于预算数的主要原因</w:t>
      </w:r>
      <w:r>
        <w:rPr>
          <w:rFonts w:hint="eastAsia" w:ascii="仿宋_GB2312" w:hAnsi="ˎ̥" w:eastAsia="仿宋_GB2312"/>
          <w:sz w:val="32"/>
          <w:szCs w:val="32"/>
          <w:highlight w:val="none"/>
          <w:lang w:eastAsia="zh-CN"/>
        </w:rPr>
        <w:t>是</w:t>
      </w:r>
      <w:r>
        <w:rPr>
          <w:rFonts w:hint="eastAsia" w:ascii="仿宋_GB2312" w:hAnsi="ˎ̥" w:eastAsia="仿宋_GB2312"/>
          <w:sz w:val="32"/>
          <w:szCs w:val="32"/>
          <w:highlight w:val="none"/>
          <w:lang w:val="en-US" w:eastAsia="zh-CN"/>
        </w:rPr>
        <w:t>财政库款不足，教育支出无法完成</w:t>
      </w:r>
      <w:r>
        <w:rPr>
          <w:rFonts w:hint="eastAsia" w:ascii="仿宋_GB2312" w:hAnsi="ˎ̥" w:eastAsia="仿宋_GB2312"/>
          <w:sz w:val="32"/>
          <w:szCs w:val="32"/>
          <w:highlight w:val="none"/>
        </w:rPr>
        <w:t>。</w:t>
      </w:r>
    </w:p>
    <w:p>
      <w:pPr>
        <w:keepNext w:val="0"/>
        <w:keepLines w:val="0"/>
        <w:widowControl/>
        <w:suppressLineNumbers w:val="0"/>
        <w:autoSpaceDE w:val="0"/>
        <w:autoSpaceDN/>
        <w:spacing w:line="590" w:lineRule="exact"/>
        <w:ind w:left="0" w:firstLine="643" w:firstLineChars="200"/>
        <w:jc w:val="both"/>
        <w:rPr>
          <w:rFonts w:hint="eastAsia" w:ascii="仿宋_GB2312" w:hAnsi="ˎ̥" w:eastAsia="仿宋_GB2312" w:cs="仿宋_GB2312"/>
          <w:b/>
          <w:kern w:val="0"/>
          <w:sz w:val="32"/>
          <w:szCs w:val="32"/>
          <w:highlight w:val="none"/>
          <w:shd w:val="clear" w:fill="FFFFFF"/>
        </w:rPr>
      </w:pPr>
      <w:r>
        <w:rPr>
          <w:rFonts w:hint="eastAsia" w:ascii="仿宋_GB2312" w:hAnsi="ˎ̥" w:eastAsia="仿宋_GB2312" w:cs="仿宋_GB2312"/>
          <w:b/>
          <w:kern w:val="0"/>
          <w:sz w:val="32"/>
          <w:szCs w:val="32"/>
          <w:highlight w:val="none"/>
          <w:shd w:val="clear" w:fill="FFFFFF"/>
          <w:lang w:val="en-US" w:eastAsia="zh-CN"/>
        </w:rPr>
        <w:t>3.</w:t>
      </w:r>
      <w:r>
        <w:rPr>
          <w:rFonts w:hint="eastAsia" w:ascii="仿宋_GB2312" w:hAnsi="ˎ̥" w:eastAsia="仿宋_GB2312" w:cs="仿宋_GB2312"/>
          <w:b/>
          <w:kern w:val="0"/>
          <w:sz w:val="32"/>
          <w:szCs w:val="32"/>
          <w:highlight w:val="none"/>
          <w:shd w:val="clear" w:fill="FFFFFF"/>
        </w:rPr>
        <w:t>教育支出（类）普通教育（款）</w:t>
      </w:r>
    </w:p>
    <w:p>
      <w:pPr>
        <w:spacing w:line="578" w:lineRule="exact"/>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黑体" w:eastAsia="仿宋_GB2312" w:cs="仿宋_GB2312"/>
          <w:sz w:val="32"/>
          <w:szCs w:val="32"/>
          <w:highlight w:val="none"/>
        </w:rPr>
        <w:t>18657.37</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10,345.11</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55.45</w:t>
      </w:r>
      <w:r>
        <w:rPr>
          <w:rFonts w:hint="eastAsia" w:ascii="仿宋_GB2312" w:hAnsi="ˎ̥" w:eastAsia="仿宋_GB2312"/>
          <w:sz w:val="32"/>
          <w:szCs w:val="32"/>
          <w:highlight w:val="none"/>
        </w:rPr>
        <w:t>%。决算数小于预算数的主要原因</w:t>
      </w:r>
      <w:r>
        <w:rPr>
          <w:rFonts w:hint="eastAsia" w:ascii="仿宋_GB2312" w:hAnsi="ˎ̥" w:eastAsia="仿宋_GB2312"/>
          <w:sz w:val="32"/>
          <w:szCs w:val="32"/>
          <w:highlight w:val="none"/>
          <w:lang w:eastAsia="zh-CN"/>
        </w:rPr>
        <w:t>是</w:t>
      </w:r>
      <w:r>
        <w:rPr>
          <w:rFonts w:hint="eastAsia" w:ascii="仿宋_GB2312" w:hAnsi="ˎ̥" w:eastAsia="仿宋_GB2312"/>
          <w:sz w:val="32"/>
          <w:szCs w:val="32"/>
          <w:highlight w:val="none"/>
          <w:lang w:val="en-US" w:eastAsia="zh-CN"/>
        </w:rPr>
        <w:t>财政库款不足，教育支出无法完成</w:t>
      </w:r>
      <w:r>
        <w:rPr>
          <w:rFonts w:hint="eastAsia" w:ascii="仿宋_GB2312" w:hAnsi="ˎ̥" w:eastAsia="仿宋_GB2312"/>
          <w:sz w:val="32"/>
          <w:szCs w:val="32"/>
          <w:highlight w:val="none"/>
        </w:rPr>
        <w:t>。</w:t>
      </w:r>
    </w:p>
    <w:p>
      <w:pPr>
        <w:spacing w:line="578" w:lineRule="exact"/>
        <w:ind w:firstLine="643" w:firstLineChars="200"/>
        <w:rPr>
          <w:rFonts w:hint="default" w:ascii="仿宋_GB2312" w:hAnsi="ˎ̥" w:eastAsia="仿宋_GB2312"/>
          <w:sz w:val="32"/>
          <w:szCs w:val="32"/>
          <w:highlight w:val="none"/>
          <w:lang w:val="en-US" w:eastAsia="zh-CN"/>
        </w:rPr>
      </w:pPr>
      <w:r>
        <w:rPr>
          <w:rFonts w:hint="eastAsia" w:ascii="仿宋_GB2312" w:hAnsi="ˎ̥" w:eastAsia="仿宋_GB2312" w:cs="仿宋_GB2312"/>
          <w:b/>
          <w:kern w:val="0"/>
          <w:sz w:val="32"/>
          <w:szCs w:val="32"/>
          <w:highlight w:val="none"/>
          <w:shd w:val="clear" w:fill="FFFFFF"/>
          <w:lang w:val="en-US" w:eastAsia="zh-CN"/>
        </w:rPr>
        <w:t>4</w:t>
      </w:r>
      <w:r>
        <w:rPr>
          <w:rFonts w:hint="eastAsia" w:ascii="仿宋_GB2312" w:hAnsi="ˎ̥" w:eastAsia="仿宋_GB2312" w:cs="仿宋_GB2312"/>
          <w:b/>
          <w:kern w:val="0"/>
          <w:sz w:val="32"/>
          <w:szCs w:val="32"/>
          <w:highlight w:val="none"/>
          <w:shd w:val="clear" w:fill="FFFFFF"/>
        </w:rPr>
        <w:t>.教育支出（类）特殊教育（款）</w:t>
      </w:r>
    </w:p>
    <w:p>
      <w:pPr>
        <w:spacing w:line="578" w:lineRule="exact"/>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黑体" w:eastAsia="仿宋_GB2312"/>
          <w:sz w:val="32"/>
          <w:szCs w:val="32"/>
          <w:highlight w:val="none"/>
        </w:rPr>
        <w:t>115.76</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33.21</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28.69</w:t>
      </w:r>
      <w:r>
        <w:rPr>
          <w:rFonts w:hint="eastAsia" w:ascii="仿宋_GB2312" w:hAnsi="ˎ̥" w:eastAsia="仿宋_GB2312"/>
          <w:sz w:val="32"/>
          <w:szCs w:val="32"/>
          <w:highlight w:val="none"/>
        </w:rPr>
        <w:t>%。决算数小于预算数的主要原因</w:t>
      </w:r>
      <w:r>
        <w:rPr>
          <w:rFonts w:hint="eastAsia" w:ascii="仿宋_GB2312" w:hAnsi="ˎ̥" w:eastAsia="仿宋_GB2312"/>
          <w:sz w:val="32"/>
          <w:szCs w:val="32"/>
          <w:highlight w:val="none"/>
          <w:lang w:eastAsia="zh-CN"/>
        </w:rPr>
        <w:t>是</w:t>
      </w:r>
      <w:r>
        <w:rPr>
          <w:rFonts w:hint="eastAsia" w:ascii="仿宋_GB2312" w:hAnsi="ˎ̥" w:eastAsia="仿宋_GB2312"/>
          <w:sz w:val="32"/>
          <w:szCs w:val="32"/>
          <w:highlight w:val="none"/>
          <w:lang w:val="en-US" w:eastAsia="zh-CN"/>
        </w:rPr>
        <w:t>财政库款不足，教育支出无法完成</w:t>
      </w:r>
      <w:r>
        <w:rPr>
          <w:rFonts w:hint="eastAsia" w:ascii="仿宋_GB2312" w:hAnsi="ˎ̥" w:eastAsia="仿宋_GB2312"/>
          <w:sz w:val="32"/>
          <w:szCs w:val="32"/>
          <w:highlight w:val="none"/>
        </w:rPr>
        <w:t>。</w:t>
      </w:r>
    </w:p>
    <w:p>
      <w:pPr>
        <w:spacing w:line="578" w:lineRule="exact"/>
        <w:ind w:firstLine="643" w:firstLineChars="200"/>
        <w:rPr>
          <w:rFonts w:hint="eastAsia" w:ascii="仿宋_GB2312" w:hAnsi="ˎ̥" w:eastAsia="仿宋_GB2312"/>
          <w:sz w:val="32"/>
          <w:szCs w:val="32"/>
          <w:highlight w:val="none"/>
        </w:rPr>
      </w:pPr>
      <w:r>
        <w:rPr>
          <w:rFonts w:hint="eastAsia" w:ascii="仿宋_GB2312" w:hAnsi="ˎ̥" w:eastAsia="仿宋_GB2312" w:cs="仿宋_GB2312"/>
          <w:b/>
          <w:kern w:val="0"/>
          <w:sz w:val="32"/>
          <w:szCs w:val="32"/>
          <w:highlight w:val="none"/>
          <w:shd w:val="clear" w:fill="FFFFFF"/>
          <w:lang w:val="en-US" w:eastAsia="zh-CN"/>
        </w:rPr>
        <w:t>5.</w:t>
      </w:r>
      <w:r>
        <w:rPr>
          <w:rFonts w:hint="eastAsia" w:ascii="仿宋_GB2312" w:hAnsi="ˎ̥" w:eastAsia="仿宋_GB2312" w:cs="仿宋_GB2312"/>
          <w:b/>
          <w:kern w:val="0"/>
          <w:sz w:val="32"/>
          <w:szCs w:val="32"/>
          <w:highlight w:val="none"/>
          <w:shd w:val="clear" w:fill="FFFFFF"/>
        </w:rPr>
        <w:t>教育支出（类）其他教育支出（款）</w:t>
      </w:r>
    </w:p>
    <w:p>
      <w:pPr>
        <w:spacing w:line="578" w:lineRule="exact"/>
        <w:ind w:firstLine="640" w:firstLineChars="200"/>
        <w:rPr>
          <w:rFonts w:hint="eastAsia" w:ascii="仿宋_GB2312" w:hAnsi="ˎ̥" w:eastAsia="仿宋_GB2312"/>
          <w:sz w:val="32"/>
          <w:szCs w:val="32"/>
          <w:highlight w:val="none"/>
        </w:rPr>
      </w:pPr>
      <w:r>
        <w:rPr>
          <w:rFonts w:hint="eastAsia" w:ascii="仿宋_GB2312" w:hAnsi="宋体" w:eastAsia="仿宋_GB2312" w:cs="仿宋_GB2312"/>
          <w:kern w:val="0"/>
          <w:sz w:val="32"/>
          <w:szCs w:val="32"/>
          <w:highlight w:val="none"/>
          <w:lang w:val="en-US" w:eastAsia="zh-CN"/>
        </w:rPr>
        <w:t>年初</w:t>
      </w:r>
      <w:r>
        <w:rPr>
          <w:rFonts w:hint="eastAsia" w:ascii="仿宋_GB2312" w:hAnsi="宋体" w:eastAsia="仿宋_GB2312" w:cs="仿宋_GB2312"/>
          <w:kern w:val="0"/>
          <w:sz w:val="32"/>
          <w:szCs w:val="32"/>
          <w:highlight w:val="none"/>
        </w:rPr>
        <w:t>预算数为</w:t>
      </w:r>
      <w:r>
        <w:rPr>
          <w:rFonts w:hint="eastAsia" w:ascii="仿宋_GB2312" w:hAnsi="宋体" w:eastAsia="仿宋_GB2312" w:cs="仿宋_GB2312"/>
          <w:kern w:val="0"/>
          <w:sz w:val="32"/>
          <w:szCs w:val="32"/>
          <w:highlight w:val="none"/>
          <w:lang w:val="en-US" w:eastAsia="zh-CN"/>
        </w:rPr>
        <w:t>94</w:t>
      </w:r>
      <w:r>
        <w:rPr>
          <w:rFonts w:hint="eastAsia" w:ascii="仿宋_GB2312" w:hAnsi="宋体" w:eastAsia="仿宋_GB2312" w:cs="仿宋_GB2312"/>
          <w:kern w:val="0"/>
          <w:sz w:val="32"/>
          <w:szCs w:val="32"/>
          <w:highlight w:val="none"/>
        </w:rPr>
        <w:t>万元，</w:t>
      </w:r>
      <w:r>
        <w:rPr>
          <w:rFonts w:hint="eastAsia" w:ascii="仿宋_GB2312" w:hAnsi="ˎ̥" w:eastAsia="仿宋_GB2312" w:cs="仿宋_GB2312"/>
          <w:kern w:val="0"/>
          <w:sz w:val="32"/>
          <w:szCs w:val="32"/>
          <w:highlight w:val="none"/>
          <w:shd w:val="clear" w:fill="FFFFFF"/>
        </w:rPr>
        <w:t>支出决算为1,085.96万元，完成年初预算的</w:t>
      </w:r>
      <w:r>
        <w:rPr>
          <w:rFonts w:hint="eastAsia" w:ascii="仿宋_GB2312" w:hAnsi="ˎ̥" w:eastAsia="仿宋_GB2312" w:cs="仿宋_GB2312"/>
          <w:kern w:val="0"/>
          <w:sz w:val="32"/>
          <w:szCs w:val="32"/>
          <w:highlight w:val="none"/>
          <w:shd w:val="clear" w:fill="FFFFFF"/>
          <w:lang w:val="en-US" w:eastAsia="zh-CN"/>
        </w:rPr>
        <w:t>1155.3</w:t>
      </w:r>
      <w:r>
        <w:rPr>
          <w:rFonts w:hint="eastAsia" w:ascii="仿宋_GB2312" w:hAnsi="ˎ̥" w:eastAsia="仿宋_GB2312" w:cs="仿宋_GB2312"/>
          <w:kern w:val="0"/>
          <w:sz w:val="32"/>
          <w:szCs w:val="32"/>
          <w:highlight w:val="none"/>
          <w:shd w:val="clear" w:fill="FFFFFF"/>
        </w:rPr>
        <w:t>%。决算数</w:t>
      </w:r>
      <w:r>
        <w:rPr>
          <w:rFonts w:hint="eastAsia" w:ascii="仿宋_GB2312" w:hAnsi="ˎ̥" w:eastAsia="仿宋_GB2312" w:cs="仿宋_GB2312"/>
          <w:kern w:val="0"/>
          <w:sz w:val="32"/>
          <w:szCs w:val="32"/>
          <w:highlight w:val="none"/>
          <w:shd w:val="clear" w:fill="FFFFFF"/>
          <w:lang w:val="en-US" w:eastAsia="zh-CN"/>
        </w:rPr>
        <w:t>大</w:t>
      </w:r>
      <w:r>
        <w:rPr>
          <w:rFonts w:hint="eastAsia" w:ascii="仿宋_GB2312" w:hAnsi="ˎ̥" w:eastAsia="仿宋_GB2312" w:cs="仿宋_GB2312"/>
          <w:kern w:val="0"/>
          <w:sz w:val="32"/>
          <w:szCs w:val="32"/>
          <w:highlight w:val="none"/>
          <w:shd w:val="clear" w:fill="FFFFFF"/>
        </w:rPr>
        <w:t>于</w:t>
      </w:r>
      <w:r>
        <w:rPr>
          <w:rFonts w:hint="eastAsia" w:ascii="仿宋_GB2312" w:hAnsi="ˎ̥" w:eastAsia="仿宋_GB2312"/>
          <w:sz w:val="32"/>
          <w:szCs w:val="32"/>
          <w:highlight w:val="none"/>
        </w:rPr>
        <w:t>预算数的主要原因</w:t>
      </w:r>
      <w:r>
        <w:rPr>
          <w:rFonts w:hint="eastAsia" w:ascii="仿宋_GB2312" w:hAnsi="ˎ̥" w:eastAsia="仿宋_GB2312"/>
          <w:sz w:val="32"/>
          <w:szCs w:val="32"/>
          <w:highlight w:val="none"/>
          <w:lang w:val="en-US" w:eastAsia="zh-CN"/>
        </w:rPr>
        <w:t>是年中追加预算</w:t>
      </w:r>
      <w:r>
        <w:rPr>
          <w:rFonts w:hint="eastAsia" w:ascii="仿宋_GB2312" w:hAnsi="ˎ̥" w:eastAsia="仿宋_GB2312"/>
          <w:sz w:val="32"/>
          <w:szCs w:val="32"/>
          <w:highlight w:val="none"/>
        </w:rPr>
        <w:t>。</w:t>
      </w:r>
    </w:p>
    <w:p>
      <w:pPr>
        <w:spacing w:line="578" w:lineRule="exact"/>
        <w:ind w:firstLine="643" w:firstLineChars="200"/>
        <w:rPr>
          <w:rFonts w:hint="eastAsia" w:ascii="仿宋_GB2312" w:hAnsi="ˎ̥" w:eastAsia="仿宋_GB2312"/>
          <w:sz w:val="32"/>
          <w:szCs w:val="32"/>
          <w:highlight w:val="none"/>
        </w:rPr>
      </w:pPr>
      <w:r>
        <w:rPr>
          <w:rFonts w:hint="eastAsia" w:ascii="仿宋_GB2312" w:hAnsi="ˎ̥" w:eastAsia="仿宋_GB2312" w:cs="仿宋_GB2312"/>
          <w:b/>
          <w:kern w:val="0"/>
          <w:sz w:val="32"/>
          <w:szCs w:val="32"/>
          <w:highlight w:val="none"/>
          <w:shd w:val="clear" w:fill="FFFFFF"/>
          <w:lang w:val="en-US" w:eastAsia="zh-CN"/>
        </w:rPr>
        <w:t>6.</w:t>
      </w:r>
      <w:r>
        <w:rPr>
          <w:rFonts w:hint="eastAsia" w:ascii="仿宋_GB2312" w:hAnsi="ˎ̥" w:eastAsia="仿宋_GB2312" w:cs="仿宋_GB2312"/>
          <w:b/>
          <w:kern w:val="0"/>
          <w:sz w:val="32"/>
          <w:szCs w:val="32"/>
          <w:highlight w:val="none"/>
          <w:shd w:val="clear" w:fill="FFFFFF"/>
        </w:rPr>
        <w:t>社会保障和就业支出（类）行政事业单位养老支出（款）</w:t>
      </w:r>
    </w:p>
    <w:p>
      <w:pPr>
        <w:spacing w:line="578" w:lineRule="exact"/>
        <w:ind w:firstLine="640" w:firstLineChars="200"/>
        <w:rPr>
          <w:rFonts w:hint="eastAsia" w:ascii="仿宋_GB2312" w:hAnsi="ˎ̥" w:eastAsia="仿宋_GB2312"/>
          <w:sz w:val="32"/>
          <w:szCs w:val="32"/>
          <w:highlight w:val="none"/>
        </w:rPr>
      </w:pPr>
      <w:r>
        <w:rPr>
          <w:rFonts w:hint="eastAsia" w:ascii="仿宋_GB2312" w:hAnsi="ˎ̥" w:eastAsia="仿宋_GB2312"/>
          <w:sz w:val="32"/>
          <w:szCs w:val="32"/>
          <w:highlight w:val="none"/>
        </w:rPr>
        <w:t>年初预算为</w:t>
      </w:r>
      <w:r>
        <w:rPr>
          <w:rFonts w:hint="eastAsia" w:ascii="仿宋_GB2312" w:hAnsi="黑体" w:eastAsia="仿宋_GB2312" w:cs="仿宋_GB2312"/>
          <w:sz w:val="32"/>
          <w:szCs w:val="32"/>
          <w:highlight w:val="none"/>
        </w:rPr>
        <w:t>674.25</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272.20</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40.37</w:t>
      </w:r>
      <w:r>
        <w:rPr>
          <w:rFonts w:hint="eastAsia" w:ascii="仿宋_GB2312" w:hAnsi="ˎ̥" w:eastAsia="仿宋_GB2312"/>
          <w:sz w:val="32"/>
          <w:szCs w:val="32"/>
          <w:highlight w:val="none"/>
        </w:rPr>
        <w:t>%。决算数小于预算数的主要原因</w:t>
      </w:r>
      <w:r>
        <w:rPr>
          <w:rFonts w:hint="eastAsia" w:ascii="仿宋_GB2312" w:hAnsi="ˎ̥" w:eastAsia="仿宋_GB2312"/>
          <w:sz w:val="32"/>
          <w:szCs w:val="32"/>
          <w:highlight w:val="none"/>
          <w:lang w:eastAsia="zh-CN"/>
        </w:rPr>
        <w:t>是</w:t>
      </w:r>
      <w:r>
        <w:rPr>
          <w:rFonts w:hint="eastAsia" w:ascii="仿宋_GB2312" w:hAnsi="ˎ̥" w:eastAsia="仿宋_GB2312" w:cs="仿宋_GB2312"/>
          <w:kern w:val="0"/>
          <w:sz w:val="32"/>
          <w:szCs w:val="32"/>
          <w:highlight w:val="none"/>
          <w:shd w:val="clear" w:fill="FFFFFF"/>
        </w:rPr>
        <w:t>因人员减少，养老支出也减少</w:t>
      </w:r>
      <w:r>
        <w:rPr>
          <w:rFonts w:hint="eastAsia" w:ascii="仿宋_GB2312" w:hAnsi="ˎ̥" w:eastAsia="仿宋_GB2312"/>
          <w:sz w:val="32"/>
          <w:szCs w:val="32"/>
          <w:highlight w:val="none"/>
        </w:rPr>
        <w:t>。</w:t>
      </w:r>
    </w:p>
    <w:p>
      <w:pPr>
        <w:spacing w:line="578" w:lineRule="exact"/>
        <w:ind w:firstLine="643" w:firstLineChars="200"/>
        <w:rPr>
          <w:rFonts w:hint="eastAsia" w:ascii="仿宋_GB2312" w:hAnsi="ˎ̥" w:eastAsia="仿宋_GB2312"/>
          <w:sz w:val="32"/>
          <w:szCs w:val="32"/>
          <w:highlight w:val="none"/>
        </w:rPr>
      </w:pPr>
      <w:r>
        <w:rPr>
          <w:rFonts w:hint="eastAsia" w:ascii="仿宋_GB2312" w:hAnsi="ˎ̥" w:eastAsia="仿宋_GB2312" w:cs="仿宋_GB2312"/>
          <w:b/>
          <w:kern w:val="0"/>
          <w:sz w:val="32"/>
          <w:szCs w:val="32"/>
          <w:highlight w:val="none"/>
          <w:shd w:val="clear" w:fill="FFFFFF"/>
          <w:lang w:val="en-US" w:eastAsia="zh-CN"/>
        </w:rPr>
        <w:t>7.</w:t>
      </w:r>
      <w:r>
        <w:rPr>
          <w:rFonts w:hint="eastAsia" w:ascii="仿宋_GB2312" w:hAnsi="ˎ̥" w:eastAsia="仿宋_GB2312" w:cs="仿宋_GB2312"/>
          <w:b/>
          <w:kern w:val="0"/>
          <w:sz w:val="32"/>
          <w:szCs w:val="32"/>
          <w:highlight w:val="none"/>
          <w:shd w:val="clear" w:fill="FFFFFF"/>
        </w:rPr>
        <w:t>卫生健康支出（类）行政事业单位医疗（款）</w:t>
      </w:r>
    </w:p>
    <w:p>
      <w:pPr>
        <w:spacing w:line="578" w:lineRule="exact"/>
        <w:ind w:firstLine="640" w:firstLineChars="200"/>
        <w:rPr>
          <w:rFonts w:hint="eastAsia" w:ascii="仿宋_GB2312" w:hAnsi="ˎ̥" w:eastAsia="仿宋_GB2312" w:cs="仿宋_GB2312"/>
          <w:kern w:val="0"/>
          <w:sz w:val="32"/>
          <w:szCs w:val="32"/>
          <w:highlight w:val="none"/>
          <w:shd w:val="clear" w:fill="FFFFFF"/>
        </w:rPr>
      </w:pPr>
      <w:r>
        <w:rPr>
          <w:rFonts w:hint="eastAsia" w:ascii="仿宋_GB2312" w:hAnsi="ˎ̥" w:eastAsia="仿宋_GB2312"/>
          <w:sz w:val="32"/>
          <w:szCs w:val="32"/>
          <w:highlight w:val="none"/>
        </w:rPr>
        <w:t>年初预算为</w:t>
      </w:r>
      <w:r>
        <w:rPr>
          <w:rFonts w:hint="eastAsia" w:ascii="仿宋_GB2312" w:hAnsi="黑体" w:eastAsia="仿宋_GB2312"/>
          <w:sz w:val="32"/>
          <w:szCs w:val="32"/>
          <w:highlight w:val="none"/>
        </w:rPr>
        <w:t>447.46</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217.61</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48.63</w:t>
      </w:r>
      <w:r>
        <w:rPr>
          <w:rFonts w:hint="eastAsia" w:ascii="仿宋_GB2312" w:hAnsi="ˎ̥" w:eastAsia="仿宋_GB2312"/>
          <w:sz w:val="32"/>
          <w:szCs w:val="32"/>
          <w:highlight w:val="none"/>
        </w:rPr>
        <w:t>%。决算数小于预算数的主要原因</w:t>
      </w:r>
      <w:r>
        <w:rPr>
          <w:rFonts w:hint="eastAsia" w:ascii="仿宋_GB2312" w:hAnsi="ˎ̥" w:eastAsia="仿宋_GB2312"/>
          <w:sz w:val="32"/>
          <w:szCs w:val="32"/>
          <w:highlight w:val="none"/>
          <w:lang w:eastAsia="zh-CN"/>
        </w:rPr>
        <w:t>是</w:t>
      </w:r>
      <w:r>
        <w:rPr>
          <w:rFonts w:hint="eastAsia" w:ascii="仿宋_GB2312" w:hAnsi="ˎ̥" w:eastAsia="仿宋_GB2312" w:cs="仿宋_GB2312"/>
          <w:kern w:val="0"/>
          <w:sz w:val="32"/>
          <w:szCs w:val="32"/>
          <w:highlight w:val="none"/>
          <w:shd w:val="clear" w:fill="FFFFFF"/>
        </w:rPr>
        <w:t>人员减少，医疗保险也减少。</w:t>
      </w:r>
    </w:p>
    <w:p>
      <w:pPr>
        <w:spacing w:line="578" w:lineRule="exact"/>
        <w:ind w:firstLine="643" w:firstLineChars="200"/>
        <w:rPr>
          <w:rFonts w:hint="eastAsia" w:ascii="仿宋_GB2312" w:hAnsi="ˎ̥" w:eastAsia="仿宋_GB2312" w:cs="仿宋_GB2312"/>
          <w:kern w:val="0"/>
          <w:sz w:val="32"/>
          <w:szCs w:val="32"/>
          <w:highlight w:val="none"/>
          <w:shd w:val="clear" w:fill="FFFFFF"/>
        </w:rPr>
      </w:pPr>
      <w:r>
        <w:rPr>
          <w:rFonts w:hint="eastAsia" w:ascii="仿宋_GB2312" w:hAnsi="ˎ̥" w:eastAsia="仿宋_GB2312" w:cs="仿宋_GB2312"/>
          <w:b/>
          <w:kern w:val="0"/>
          <w:sz w:val="32"/>
          <w:szCs w:val="32"/>
          <w:highlight w:val="none"/>
          <w:shd w:val="clear" w:fill="FFFFFF"/>
          <w:lang w:val="en-US" w:eastAsia="zh-CN"/>
        </w:rPr>
        <w:t>8.</w:t>
      </w:r>
      <w:r>
        <w:rPr>
          <w:rFonts w:hint="eastAsia" w:ascii="仿宋_GB2312" w:hAnsi="ˎ̥" w:eastAsia="仿宋_GB2312" w:cs="仿宋_GB2312"/>
          <w:b/>
          <w:kern w:val="0"/>
          <w:sz w:val="32"/>
          <w:szCs w:val="32"/>
          <w:highlight w:val="none"/>
          <w:shd w:val="clear" w:fill="FFFFFF"/>
        </w:rPr>
        <w:t>住房保障支出（类）住房改革支出（款）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s="仿宋_GB2312"/>
          <w:kern w:val="0"/>
          <w:sz w:val="32"/>
          <w:szCs w:val="32"/>
          <w:highlight w:val="none"/>
          <w:shd w:val="clear" w:fill="FFFFFF"/>
        </w:rPr>
      </w:pPr>
      <w:r>
        <w:rPr>
          <w:rFonts w:hint="eastAsia" w:ascii="仿宋_GB2312" w:hAnsi="ˎ̥" w:eastAsia="仿宋_GB2312"/>
          <w:sz w:val="32"/>
          <w:szCs w:val="32"/>
          <w:highlight w:val="none"/>
        </w:rPr>
        <w:t>年初预算为</w:t>
      </w:r>
      <w:r>
        <w:rPr>
          <w:rFonts w:hint="eastAsia" w:ascii="仿宋_GB2312" w:hAnsi="黑体" w:eastAsia="仿宋_GB2312" w:cs="仿宋_GB2312"/>
          <w:sz w:val="32"/>
          <w:szCs w:val="32"/>
          <w:highlight w:val="none"/>
        </w:rPr>
        <w:t>425.31</w:t>
      </w:r>
      <w:r>
        <w:rPr>
          <w:rFonts w:hint="eastAsia" w:ascii="仿宋_GB2312" w:hAnsi="ˎ̥" w:eastAsia="仿宋_GB2312"/>
          <w:sz w:val="32"/>
          <w:szCs w:val="32"/>
          <w:highlight w:val="none"/>
        </w:rPr>
        <w:t>万元，支出决算为</w:t>
      </w:r>
      <w:r>
        <w:rPr>
          <w:rFonts w:hint="eastAsia" w:ascii="仿宋_GB2312" w:hAnsi="ˎ̥" w:eastAsia="仿宋_GB2312"/>
          <w:sz w:val="32"/>
          <w:szCs w:val="32"/>
          <w:highlight w:val="none"/>
          <w:lang w:val="en-US" w:eastAsia="zh-CN"/>
        </w:rPr>
        <w:t>244.28</w:t>
      </w:r>
      <w:r>
        <w:rPr>
          <w:rFonts w:hint="eastAsia" w:ascii="仿宋_GB2312" w:hAnsi="ˎ̥" w:eastAsia="仿宋_GB2312"/>
          <w:sz w:val="32"/>
          <w:szCs w:val="32"/>
          <w:highlight w:val="none"/>
        </w:rPr>
        <w:t>万元，完成年初预算的</w:t>
      </w:r>
      <w:r>
        <w:rPr>
          <w:rFonts w:hint="eastAsia" w:ascii="仿宋_GB2312" w:hAnsi="ˎ̥" w:eastAsia="仿宋_GB2312"/>
          <w:sz w:val="32"/>
          <w:szCs w:val="32"/>
          <w:highlight w:val="none"/>
          <w:lang w:val="en-US" w:eastAsia="zh-CN"/>
        </w:rPr>
        <w:t>57.44</w:t>
      </w:r>
      <w:r>
        <w:rPr>
          <w:rFonts w:hint="eastAsia" w:ascii="仿宋_GB2312" w:hAnsi="ˎ̥" w:eastAsia="仿宋_GB2312"/>
          <w:sz w:val="32"/>
          <w:szCs w:val="32"/>
          <w:highlight w:val="none"/>
        </w:rPr>
        <w:t>%。决算数小于预算数的主要原因</w:t>
      </w:r>
      <w:r>
        <w:rPr>
          <w:rFonts w:hint="eastAsia" w:ascii="仿宋_GB2312" w:hAnsi="ˎ̥" w:eastAsia="仿宋_GB2312"/>
          <w:sz w:val="32"/>
          <w:szCs w:val="32"/>
          <w:highlight w:val="none"/>
          <w:lang w:eastAsia="zh-CN"/>
        </w:rPr>
        <w:t>是</w:t>
      </w:r>
      <w:r>
        <w:rPr>
          <w:rFonts w:hint="eastAsia" w:ascii="仿宋_GB2312" w:hAnsi="ˎ̥" w:eastAsia="仿宋_GB2312" w:cs="仿宋_GB2312"/>
          <w:kern w:val="0"/>
          <w:sz w:val="32"/>
          <w:szCs w:val="32"/>
          <w:highlight w:val="none"/>
          <w:shd w:val="clear" w:fill="FFFFFF"/>
        </w:rPr>
        <w:t>人员减少，</w:t>
      </w:r>
      <w:r>
        <w:rPr>
          <w:rFonts w:hint="eastAsia" w:ascii="仿宋_GB2312" w:hAnsi="ˎ̥" w:eastAsia="仿宋_GB2312" w:cs="仿宋_GB2312"/>
          <w:kern w:val="0"/>
          <w:sz w:val="32"/>
          <w:szCs w:val="32"/>
          <w:highlight w:val="none"/>
          <w:shd w:val="clear" w:fill="FFFFFF"/>
          <w:lang w:val="en-US" w:eastAsia="zh-CN"/>
        </w:rPr>
        <w:t>住房公积金</w:t>
      </w:r>
      <w:r>
        <w:rPr>
          <w:rFonts w:hint="eastAsia" w:ascii="仿宋_GB2312" w:hAnsi="ˎ̥" w:eastAsia="仿宋_GB2312" w:cs="仿宋_GB2312"/>
          <w:kern w:val="0"/>
          <w:sz w:val="32"/>
          <w:szCs w:val="32"/>
          <w:highlight w:val="none"/>
          <w:shd w:val="clear" w:fill="FFFFFF"/>
        </w:rPr>
        <w:t>也减少。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本部分支出决算数可取自财决公开05表，年初预算数可取自各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单位年初预算大本，根据实际支出涉及的支出功能分类项级科目填列</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jc w:val="both"/>
        <w:textAlignment w:val="auto"/>
        <w:rPr>
          <w:rFonts w:hint="eastAsia" w:ascii="黑体" w:hAnsi="黑体" w:eastAsia="黑体" w:cs="黑体"/>
          <w:color w:val="auto"/>
          <w:sz w:val="32"/>
          <w:szCs w:val="32"/>
          <w:highlight w:val="none"/>
        </w:rPr>
      </w:pPr>
      <w:r>
        <w:rPr>
          <w:rFonts w:hint="eastAsia" w:ascii="黑体" w:hAnsi="黑体" w:eastAsia="黑体" w:cs="黑体"/>
          <w:bCs/>
          <w:color w:val="auto"/>
          <w:sz w:val="32"/>
          <w:szCs w:val="32"/>
          <w:highlight w:val="none"/>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年度财政拨款基本支出</w:t>
      </w:r>
      <w:r>
        <w:rPr>
          <w:rFonts w:hint="eastAsia" w:ascii="仿宋_GB2312" w:hAnsi="ˎ̥" w:eastAsia="仿宋_GB2312"/>
          <w:color w:val="auto"/>
          <w:sz w:val="32"/>
          <w:szCs w:val="32"/>
          <w:highlight w:val="none"/>
          <w:lang w:val="en-US"/>
        </w:rPr>
        <w:t>3,009.67</w:t>
      </w:r>
      <w:r>
        <w:rPr>
          <w:rFonts w:hint="eastAsia" w:ascii="仿宋_GB2312" w:hAnsi="ˎ̥" w:eastAsia="仿宋_GB2312"/>
          <w:color w:val="auto"/>
          <w:sz w:val="32"/>
          <w:szCs w:val="32"/>
          <w:highlight w:val="none"/>
        </w:rPr>
        <w:t>万元，其中：人员经费</w:t>
      </w:r>
      <w:r>
        <w:rPr>
          <w:rFonts w:ascii="仿宋_GB2312" w:hAnsi="ˎ̥" w:eastAsia="仿宋_GB2312"/>
          <w:color w:val="auto"/>
          <w:sz w:val="32"/>
          <w:szCs w:val="32"/>
          <w:highlight w:val="none"/>
          <w:lang w:val="en-US"/>
        </w:rPr>
        <w:t>2,961.99</w:t>
      </w:r>
      <w:r>
        <w:rPr>
          <w:rFonts w:hint="eastAsia" w:ascii="仿宋_GB2312" w:hAnsi="ˎ̥" w:eastAsia="仿宋_GB2312"/>
          <w:color w:val="auto"/>
          <w:sz w:val="32"/>
          <w:szCs w:val="32"/>
          <w:highlight w:val="none"/>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highlight w:val="none"/>
          <w:lang w:val="en-US"/>
        </w:rPr>
        <w:t>47.55</w:t>
      </w:r>
      <w:r>
        <w:rPr>
          <w:rFonts w:hint="eastAsia" w:ascii="仿宋_GB2312" w:hAnsi="ˎ̥" w:eastAsia="仿宋_GB2312"/>
          <w:color w:val="auto"/>
          <w:sz w:val="32"/>
          <w:szCs w:val="32"/>
          <w:highlight w:val="none"/>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highlight w:val="none"/>
          <w:lang w:val="en-US" w:eastAsia="zh-CN"/>
        </w:rPr>
        <w:t>购</w:t>
      </w:r>
      <w:r>
        <w:rPr>
          <w:rFonts w:hint="eastAsia" w:ascii="仿宋_GB2312" w:hAnsi="ˎ̥" w:eastAsia="仿宋_GB2312"/>
          <w:color w:val="auto"/>
          <w:sz w:val="32"/>
          <w:szCs w:val="32"/>
          <w:highlight w:val="none"/>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w:t>
      </w:r>
      <w:r>
        <w:rPr>
          <w:rFonts w:hint="eastAsia" w:ascii="仿宋_GB2312" w:hAnsi="ˎ̥" w:eastAsia="仿宋_GB2312"/>
          <w:color w:val="auto"/>
          <w:sz w:val="32"/>
          <w:szCs w:val="32"/>
          <w:highlight w:val="none"/>
          <w:lang w:val="en-US" w:eastAsia="zh-CN"/>
        </w:rPr>
        <w:t>数据</w:t>
      </w:r>
      <w:r>
        <w:rPr>
          <w:rFonts w:hint="eastAsia" w:ascii="仿宋_GB2312" w:hAnsi="ˎ̥" w:eastAsia="仿宋_GB2312"/>
          <w:color w:val="auto"/>
          <w:sz w:val="32"/>
          <w:szCs w:val="32"/>
          <w:highlight w:val="none"/>
        </w:rPr>
        <w:t>可取自财决公开06表，各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jc w:val="both"/>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年度政府性基金预算财政拨款支出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年度政府性基金预算财政拨款支出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单位实际支出涉及的支出功能分类类级科目填列</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lang w:eastAsia="zh-CN"/>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年度政府性基金预算财政拨款支出年初预算为</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万元，支出决算为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单位实际支出涉及的支出功能分类项级科目填列，本部分</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w:t>
      </w:r>
      <w:r>
        <w:rPr>
          <w:rFonts w:hint="eastAsia" w:ascii="仿宋_GB2312" w:hAnsi="ˎ̥" w:eastAsia="仿宋_GB2312"/>
          <w:color w:val="auto"/>
          <w:sz w:val="32"/>
          <w:szCs w:val="32"/>
          <w:highlight w:val="none"/>
          <w:lang w:val="en-US" w:eastAsia="zh-CN"/>
        </w:rPr>
        <w:t>度</w:t>
      </w:r>
      <w:r>
        <w:rPr>
          <w:rFonts w:hint="eastAsia" w:ascii="仿宋_GB2312" w:hAnsi="ˎ̥" w:eastAsia="仿宋_GB2312"/>
          <w:color w:val="auto"/>
          <w:sz w:val="32"/>
          <w:szCs w:val="32"/>
          <w:highlight w:val="none"/>
        </w:rPr>
        <w:t>决算相关数据取自财决公开07表；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w:t>
      </w:r>
      <w:r>
        <w:rPr>
          <w:rFonts w:hint="eastAsia" w:ascii="仿宋_GB2312" w:hAnsi="ˎ̥" w:eastAsia="仿宋_GB2312"/>
          <w:color w:val="auto"/>
          <w:sz w:val="32"/>
          <w:szCs w:val="32"/>
          <w:highlight w:val="none"/>
          <w:lang w:val="en-US" w:eastAsia="zh-CN"/>
        </w:rPr>
        <w:t>度</w:t>
      </w:r>
      <w:r>
        <w:rPr>
          <w:rFonts w:hint="eastAsia" w:ascii="仿宋_GB2312" w:hAnsi="ˎ̥" w:eastAsia="仿宋_GB2312"/>
          <w:color w:val="auto"/>
          <w:sz w:val="32"/>
          <w:szCs w:val="32"/>
          <w:highlight w:val="none"/>
        </w:rPr>
        <w:t>决算相关数据取自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lang w:val="en-US" w:eastAsia="zh-CN"/>
        </w:rPr>
        <w:t>年度单位决算报表</w:t>
      </w:r>
      <w:r>
        <w:rPr>
          <w:rFonts w:hint="eastAsia" w:ascii="仿宋_GB2312" w:hAnsi="ˎ̥" w:eastAsia="仿宋_GB2312"/>
          <w:color w:val="auto"/>
          <w:sz w:val="32"/>
          <w:szCs w:val="32"/>
          <w:highlight w:val="none"/>
        </w:rPr>
        <w:t>财决09表《政府性基金预算财政拨款收入支出决算表》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jc w:val="both"/>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年度国有资本经营预算财政拨款支出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年度国有资本经营预算财政拨款支出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单位实际支出涉及的支出功能分类类级科目填列</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color w:val="auto"/>
          <w:sz w:val="32"/>
          <w:szCs w:val="32"/>
          <w:highlight w:val="none"/>
        </w:rPr>
      </w:pPr>
      <w:r>
        <w:rPr>
          <w:rFonts w:hint="eastAsia" w:ascii="楷体" w:hAnsi="楷体" w:eastAsia="楷体" w:cs="楷体"/>
          <w:color w:val="auto"/>
          <w:sz w:val="32"/>
          <w:szCs w:val="32"/>
          <w:highlight w:val="none"/>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lang w:eastAsia="zh-CN"/>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年度国有资本经营预算财政拨款支出年初预算为</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万元，支出决算为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根据各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单位实际支出涉及的支出功能分类项级科目填列，本部分</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w:t>
      </w:r>
      <w:r>
        <w:rPr>
          <w:rFonts w:hint="eastAsia" w:ascii="仿宋_GB2312" w:hAnsi="ˎ̥" w:eastAsia="仿宋_GB2312"/>
          <w:color w:val="auto"/>
          <w:sz w:val="32"/>
          <w:szCs w:val="32"/>
          <w:highlight w:val="none"/>
          <w:lang w:val="en-US" w:eastAsia="zh-CN"/>
        </w:rPr>
        <w:t>度</w:t>
      </w:r>
      <w:r>
        <w:rPr>
          <w:rFonts w:hint="eastAsia" w:ascii="仿宋_GB2312" w:hAnsi="ˎ̥" w:eastAsia="仿宋_GB2312"/>
          <w:color w:val="auto"/>
          <w:sz w:val="32"/>
          <w:szCs w:val="32"/>
          <w:highlight w:val="none"/>
        </w:rPr>
        <w:t>决算相关数据取自财决公开08表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jc w:val="both"/>
        <w:textAlignment w:val="auto"/>
        <w:rPr>
          <w:rFonts w:hint="eastAsia" w:ascii="仿宋_GB2312" w:hAnsi="ˎ̥" w:eastAsia="楷体_GB2312"/>
          <w:color w:val="auto"/>
          <w:sz w:val="32"/>
          <w:szCs w:val="32"/>
          <w:highlight w:val="none"/>
        </w:rPr>
      </w:pPr>
      <w:r>
        <w:rPr>
          <w:rFonts w:hint="eastAsia" w:ascii="黑体" w:hAnsi="黑体" w:eastAsia="黑体" w:cs="黑体"/>
          <w:bCs/>
          <w:color w:val="auto"/>
          <w:sz w:val="32"/>
          <w:szCs w:val="32"/>
          <w:highlight w:val="none"/>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 xml:space="preserve">    </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年度财政拨款“三公”经费支出预算为</w:t>
      </w:r>
      <w:r>
        <w:rPr>
          <w:rFonts w:hint="default" w:ascii="仿宋_GB2312" w:hAnsi="ˎ̥" w:eastAsia="仿宋_GB2312"/>
          <w:color w:val="auto"/>
          <w:sz w:val="32"/>
          <w:szCs w:val="32"/>
          <w:highlight w:val="none"/>
          <w:lang w:val="en-US"/>
        </w:rPr>
        <w:t>2.80</w:t>
      </w:r>
      <w:r>
        <w:rPr>
          <w:rFonts w:hint="eastAsia" w:ascii="仿宋_GB2312" w:hAnsi="ˎ̥" w:eastAsia="仿宋_GB2312"/>
          <w:color w:val="auto"/>
          <w:sz w:val="32"/>
          <w:szCs w:val="32"/>
          <w:highlight w:val="none"/>
        </w:rPr>
        <w:t>万元，支出决算为</w:t>
      </w:r>
      <w:r>
        <w:rPr>
          <w:rFonts w:hint="default" w:ascii="仿宋_GB2312" w:hAnsi="ˎ̥" w:eastAsia="仿宋_GB2312"/>
          <w:color w:val="auto"/>
          <w:sz w:val="32"/>
          <w:szCs w:val="32"/>
          <w:highlight w:val="none"/>
          <w:lang w:val="en-US"/>
        </w:rPr>
        <w:t>2.79</w:t>
      </w:r>
      <w:r>
        <w:rPr>
          <w:rFonts w:hint="eastAsia" w:ascii="仿宋_GB2312" w:hAnsi="ˎ̥" w:eastAsia="仿宋_GB2312"/>
          <w:color w:val="auto"/>
          <w:sz w:val="32"/>
          <w:szCs w:val="32"/>
          <w:highlight w:val="none"/>
        </w:rPr>
        <w:t>万元，完成预算的</w:t>
      </w:r>
      <w:r>
        <w:rPr>
          <w:rFonts w:hint="eastAsia" w:ascii="仿宋_GB2312" w:hAnsi="ˎ̥" w:eastAsia="仿宋_GB2312"/>
          <w:color w:val="auto"/>
          <w:sz w:val="32"/>
          <w:szCs w:val="32"/>
          <w:highlight w:val="none"/>
          <w:lang w:val="en-US" w:eastAsia="zh-CN"/>
        </w:rPr>
        <w:t>99.64</w:t>
      </w:r>
      <w:r>
        <w:rPr>
          <w:rFonts w:hint="eastAsia" w:ascii="仿宋_GB2312" w:hAnsi="ˎ̥" w:eastAsia="仿宋_GB2312"/>
          <w:color w:val="auto"/>
          <w:sz w:val="32"/>
          <w:szCs w:val="32"/>
          <w:highlight w:val="none"/>
        </w:rPr>
        <w:t>%，</w:t>
      </w:r>
      <w:r>
        <w:rPr>
          <w:rFonts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相比，</w:t>
      </w:r>
      <w:r>
        <w:rPr>
          <w:rFonts w:hint="eastAsia" w:ascii="仿宋_GB2312" w:hAnsi="ˎ̥" w:eastAsia="仿宋_GB2312"/>
          <w:color w:val="auto"/>
          <w:sz w:val="32"/>
          <w:szCs w:val="32"/>
          <w:highlight w:val="none"/>
        </w:rPr>
        <w:t>“三公”经费支出增加</w:t>
      </w:r>
      <w:r>
        <w:rPr>
          <w:rFonts w:hint="eastAsia" w:ascii="仿宋_GB2312" w:hAnsi="ˎ̥" w:eastAsia="仿宋_GB2312"/>
          <w:color w:val="auto"/>
          <w:sz w:val="32"/>
          <w:szCs w:val="32"/>
          <w:highlight w:val="none"/>
          <w:lang w:val="en-US" w:eastAsia="zh-CN"/>
        </w:rPr>
        <w:t>1.52</w:t>
      </w:r>
      <w:r>
        <w:rPr>
          <w:rFonts w:hint="eastAsia" w:ascii="仿宋_GB2312" w:hAnsi="ˎ̥" w:eastAsia="仿宋_GB2312"/>
          <w:color w:val="auto"/>
          <w:sz w:val="32"/>
          <w:szCs w:val="32"/>
          <w:highlight w:val="none"/>
        </w:rPr>
        <w:t>万元</w:t>
      </w:r>
      <w:r>
        <w:rPr>
          <w:rFonts w:ascii="仿宋_GB2312" w:hAnsi="ˎ̥" w:eastAsia="仿宋_GB2312"/>
          <w:color w:val="auto"/>
          <w:sz w:val="32"/>
          <w:szCs w:val="32"/>
          <w:highlight w:val="none"/>
        </w:rPr>
        <w:t>，增长</w:t>
      </w:r>
      <w:r>
        <w:rPr>
          <w:rFonts w:hint="eastAsia" w:ascii="仿宋_GB2312" w:hAnsi="ˎ̥" w:eastAsia="仿宋_GB2312"/>
          <w:color w:val="auto"/>
          <w:sz w:val="32"/>
          <w:szCs w:val="32"/>
          <w:highlight w:val="none"/>
          <w:lang w:val="en-US" w:eastAsia="zh-CN"/>
        </w:rPr>
        <w:t>118.75</w:t>
      </w:r>
      <w:r>
        <w:rPr>
          <w:rFonts w:hint="eastAsia" w:ascii="仿宋_GB2312" w:hAnsi="ˎ̥" w:eastAsia="仿宋_GB2312"/>
          <w:color w:val="auto"/>
          <w:sz w:val="32"/>
          <w:szCs w:val="32"/>
          <w:highlight w:val="none"/>
        </w:rPr>
        <w:t>%，</w:t>
      </w:r>
      <w:r>
        <w:rPr>
          <w:rFonts w:ascii="仿宋_GB2312" w:hAnsi="ˎ̥" w:eastAsia="仿宋_GB2312"/>
          <w:color w:val="auto"/>
          <w:sz w:val="32"/>
          <w:szCs w:val="32"/>
          <w:highlight w:val="none"/>
        </w:rPr>
        <w:t>主要原因是</w:t>
      </w:r>
      <w:r>
        <w:rPr>
          <w:rFonts w:hint="eastAsia" w:ascii="仿宋_GB2312" w:hAnsi="ˎ̥" w:eastAsia="仿宋_GB2312"/>
          <w:sz w:val="32"/>
          <w:szCs w:val="32"/>
          <w:highlight w:val="none"/>
          <w:lang w:val="en-US" w:eastAsia="zh-CN"/>
        </w:rPr>
        <w:t>公务用车支出较大和公务接待增加</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eastAsia" w:ascii="楷体" w:hAnsi="楷体" w:eastAsia="楷体" w:cs="楷体"/>
          <w:color w:val="auto"/>
          <w:sz w:val="32"/>
          <w:szCs w:val="32"/>
          <w:highlight w:val="none"/>
        </w:rPr>
      </w:pPr>
      <w:r>
        <w:rPr>
          <w:rFonts w:hint="eastAsia" w:ascii="楷体" w:hAnsi="楷体" w:eastAsia="楷体" w:cs="楷体"/>
          <w:b/>
          <w:bCs/>
          <w:color w:val="auto"/>
          <w:sz w:val="32"/>
          <w:szCs w:val="32"/>
          <w:highlight w:val="none"/>
        </w:rPr>
        <w:t xml:space="preserve">   </w:t>
      </w:r>
      <w:r>
        <w:rPr>
          <w:rFonts w:hint="eastAsia" w:ascii="楷体" w:hAnsi="楷体" w:eastAsia="楷体" w:cs="楷体"/>
          <w:color w:val="auto"/>
          <w:sz w:val="32"/>
          <w:szCs w:val="32"/>
          <w:highlight w:val="none"/>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年度财政拨款“三公”经费支出决算中，因公出国（境）费支出决算</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万元；公务用车购置及运行维护费支出决算</w:t>
      </w:r>
      <w:r>
        <w:rPr>
          <w:rFonts w:hint="default" w:ascii="仿宋_GB2312" w:hAnsi="ˎ̥" w:eastAsia="仿宋_GB2312"/>
          <w:color w:val="auto"/>
          <w:sz w:val="32"/>
          <w:szCs w:val="32"/>
          <w:highlight w:val="none"/>
          <w:lang w:val="en-US"/>
        </w:rPr>
        <w:t>2.00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71.43</w:t>
      </w:r>
      <w:r>
        <w:rPr>
          <w:rFonts w:hint="eastAsia" w:ascii="仿宋_GB2312" w:hAnsi="ˎ̥" w:eastAsia="仿宋_GB2312"/>
          <w:color w:val="auto"/>
          <w:sz w:val="32"/>
          <w:szCs w:val="32"/>
          <w:highlight w:val="none"/>
        </w:rPr>
        <w:t>%；公务接待费支出决算</w:t>
      </w:r>
      <w:r>
        <w:rPr>
          <w:rFonts w:hint="default" w:ascii="仿宋_GB2312" w:hAnsi="ˎ̥" w:eastAsia="仿宋_GB2312"/>
          <w:color w:val="auto"/>
          <w:sz w:val="32"/>
          <w:szCs w:val="32"/>
          <w:highlight w:val="none"/>
          <w:lang w:val="en-US"/>
        </w:rPr>
        <w:t>0.80</w:t>
      </w:r>
      <w:r>
        <w:rPr>
          <w:rFonts w:hint="eastAsia" w:ascii="仿宋_GB2312" w:hAnsi="ˎ̥" w:eastAsia="仿宋_GB2312"/>
          <w:color w:val="auto"/>
          <w:sz w:val="32"/>
          <w:szCs w:val="32"/>
          <w:highlight w:val="none"/>
        </w:rPr>
        <w:t>万元，占</w:t>
      </w:r>
      <w:r>
        <w:rPr>
          <w:rFonts w:hint="eastAsia" w:ascii="仿宋_GB2312" w:hAnsi="ˎ̥" w:eastAsia="仿宋_GB2312"/>
          <w:color w:val="auto"/>
          <w:sz w:val="32"/>
          <w:szCs w:val="32"/>
          <w:highlight w:val="none"/>
          <w:lang w:val="en-US" w:eastAsia="zh-CN"/>
        </w:rPr>
        <w:t>28.57</w:t>
      </w:r>
      <w:r>
        <w:rPr>
          <w:rFonts w:hint="eastAsia" w:ascii="仿宋_GB2312" w:hAnsi="ˎ̥" w:eastAsia="仿宋_GB2312"/>
          <w:color w:val="auto"/>
          <w:sz w:val="32"/>
          <w:szCs w:val="32"/>
          <w:highlight w:val="none"/>
        </w:rPr>
        <w:t>%。具体情况如下：</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both"/>
        <w:textAlignment w:val="auto"/>
        <w:rPr>
          <w:rFonts w:hint="eastAsia" w:ascii="仿宋_GB2312" w:hAnsi="ˎ̥" w:eastAsia="仿宋_GB2312"/>
          <w:color w:val="auto"/>
          <w:sz w:val="32"/>
          <w:szCs w:val="32"/>
          <w:highlight w:val="none"/>
          <w:lang w:eastAsia="zh-CN"/>
        </w:rPr>
      </w:pPr>
      <w:r>
        <w:rPr>
          <w:rFonts w:hint="eastAsia" w:ascii="仿宋_GB2312" w:hAnsi="ˎ̥" w:eastAsia="仿宋_GB2312"/>
          <w:b/>
          <w:color w:val="auto"/>
          <w:sz w:val="32"/>
          <w:szCs w:val="32"/>
          <w:highlight w:val="none"/>
        </w:rPr>
        <w:t>1.因公出国（境）费</w:t>
      </w:r>
      <w:r>
        <w:rPr>
          <w:rFonts w:hint="eastAsia" w:ascii="仿宋_GB2312" w:hAnsi="ˎ̥" w:eastAsia="仿宋_GB2312"/>
          <w:color w:val="auto"/>
          <w:sz w:val="32"/>
          <w:szCs w:val="32"/>
          <w:highlight w:val="none"/>
        </w:rPr>
        <w:t>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万元。全年安排因公出国（境）团组</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个，因公出国（境）</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人次</w:t>
      </w:r>
      <w:r>
        <w:rPr>
          <w:rFonts w:hint="eastAsia" w:ascii="仿宋_GB2312" w:hAnsi="ˎ̥"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因公出国（境）费支出决算</w:t>
      </w:r>
      <w:r>
        <w:rPr>
          <w:rFonts w:hint="eastAsia" w:ascii="仿宋_GB2312" w:hAnsi="ˎ̥" w:eastAsia="仿宋_GB2312"/>
          <w:color w:val="auto"/>
          <w:sz w:val="32"/>
          <w:szCs w:val="32"/>
          <w:highlight w:val="none"/>
          <w:lang w:val="en-US" w:eastAsia="zh-CN"/>
        </w:rPr>
        <w:t>数</w:t>
      </w:r>
      <w:r>
        <w:rPr>
          <w:rFonts w:hint="eastAsia" w:ascii="仿宋_GB2312" w:hAnsi="ˎ̥" w:eastAsia="仿宋_GB2312"/>
          <w:color w:val="auto"/>
          <w:sz w:val="32"/>
          <w:szCs w:val="32"/>
          <w:highlight w:val="none"/>
        </w:rPr>
        <w:t>比预算数</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 xml:space="preserve">    2.公务用车购置及运行维护费</w:t>
      </w:r>
      <w:r>
        <w:rPr>
          <w:rFonts w:hint="eastAsia" w:ascii="仿宋_GB2312" w:hAnsi="ˎ̥" w:eastAsia="仿宋_GB2312"/>
          <w:b w:val="0"/>
          <w:bCs/>
          <w:color w:val="auto"/>
          <w:sz w:val="32"/>
          <w:szCs w:val="32"/>
          <w:highlight w:val="none"/>
        </w:rPr>
        <w:t>支出</w:t>
      </w:r>
      <w:r>
        <w:rPr>
          <w:rFonts w:hint="default" w:ascii="仿宋_GB2312" w:hAnsi="ˎ̥" w:eastAsia="仿宋_GB2312"/>
          <w:color w:val="auto"/>
          <w:sz w:val="32"/>
          <w:szCs w:val="32"/>
          <w:highlight w:val="none"/>
          <w:lang w:val="en-US"/>
        </w:rPr>
        <w:t>2.00</w:t>
      </w:r>
      <w:r>
        <w:rPr>
          <w:rFonts w:hint="eastAsia" w:ascii="仿宋_GB2312" w:hAnsi="ˎ̥" w:eastAsia="仿宋_GB2312"/>
          <w:color w:val="auto"/>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公务用车购置</w:t>
      </w:r>
      <w:r>
        <w:rPr>
          <w:rFonts w:hint="eastAsia" w:ascii="仿宋_GB2312" w:hAnsi="ˎ̥" w:eastAsia="仿宋_GB2312"/>
          <w:b w:val="0"/>
          <w:bCs/>
          <w:color w:val="auto"/>
          <w:sz w:val="32"/>
          <w:szCs w:val="32"/>
          <w:highlight w:val="none"/>
        </w:rPr>
        <w:t>支出</w:t>
      </w:r>
      <w:r>
        <w:rPr>
          <w:rFonts w:hint="default" w:ascii="仿宋_GB2312" w:hAnsi="ˎ̥" w:eastAsia="仿宋_GB2312"/>
          <w:color w:val="auto"/>
          <w:sz w:val="32"/>
          <w:szCs w:val="32"/>
          <w:highlight w:val="none"/>
          <w:lang w:val="en-US"/>
        </w:rPr>
        <w:t>0.00</w:t>
      </w:r>
      <w:r>
        <w:rPr>
          <w:rFonts w:hint="eastAsia" w:ascii="仿宋_GB2312" w:hAnsi="ˎ̥" w:eastAsia="仿宋_GB2312"/>
          <w:color w:val="auto"/>
          <w:sz w:val="32"/>
          <w:szCs w:val="32"/>
          <w:highlight w:val="none"/>
        </w:rPr>
        <w:t>万元，年末公务用车保有量</w:t>
      </w:r>
      <w:r>
        <w:rPr>
          <w:rFonts w:hint="eastAsia" w:ascii="仿宋_GB2312" w:hAnsi="ˎ̥" w:eastAsia="仿宋_GB2312"/>
          <w:color w:val="auto"/>
          <w:sz w:val="32"/>
          <w:szCs w:val="32"/>
          <w:highlight w:val="none"/>
          <w:lang w:val="en-US" w:eastAsia="zh-CN"/>
        </w:rPr>
        <w:t>1</w:t>
      </w:r>
      <w:r>
        <w:rPr>
          <w:rFonts w:hint="eastAsia" w:ascii="仿宋_GB2312" w:hAnsi="ˎ̥" w:eastAsia="仿宋_GB2312"/>
          <w:color w:val="auto"/>
          <w:sz w:val="32"/>
          <w:szCs w:val="32"/>
          <w:highlight w:val="none"/>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公务用车运行维护费</w:t>
      </w:r>
      <w:r>
        <w:rPr>
          <w:rFonts w:hint="eastAsia" w:ascii="仿宋_GB2312" w:hAnsi="ˎ̥" w:eastAsia="仿宋_GB2312"/>
          <w:color w:val="auto"/>
          <w:sz w:val="32"/>
          <w:szCs w:val="32"/>
          <w:highlight w:val="none"/>
        </w:rPr>
        <w:t>支出</w:t>
      </w:r>
      <w:r>
        <w:rPr>
          <w:rFonts w:hint="default" w:ascii="仿宋_GB2312" w:hAnsi="ˎ̥" w:eastAsia="仿宋_GB2312"/>
          <w:color w:val="auto"/>
          <w:sz w:val="32"/>
          <w:szCs w:val="32"/>
          <w:highlight w:val="none"/>
          <w:lang w:val="en-US"/>
        </w:rPr>
        <w:t>2.00</w:t>
      </w:r>
      <w:r>
        <w:rPr>
          <w:rFonts w:hint="eastAsia" w:ascii="仿宋_GB2312" w:hAnsi="ˎ̥" w:eastAsia="仿宋_GB2312"/>
          <w:color w:val="auto"/>
          <w:sz w:val="32"/>
          <w:szCs w:val="32"/>
          <w:highlight w:val="none"/>
        </w:rPr>
        <w:t>万元，主要用于</w:t>
      </w:r>
      <w:r>
        <w:rPr>
          <w:rFonts w:hint="eastAsia" w:ascii="仿宋_GB2312" w:hAnsi="ˎ̥" w:eastAsia="仿宋_GB2312" w:cs="仿宋_GB2312"/>
          <w:kern w:val="0"/>
          <w:sz w:val="32"/>
          <w:szCs w:val="32"/>
          <w:highlight w:val="none"/>
          <w:shd w:val="clear" w:fill="FFFFFF"/>
        </w:rPr>
        <w:t>维护公务用车及日常工作加油</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bCs/>
          <w:color w:val="auto"/>
          <w:sz w:val="32"/>
          <w:szCs w:val="32"/>
          <w:highlight w:val="none"/>
        </w:rPr>
      </w:pPr>
      <w:r>
        <w:rPr>
          <w:rFonts w:hint="eastAsia" w:ascii="仿宋_GB2312" w:hAnsi="ˎ̥" w:eastAsia="仿宋_GB2312"/>
          <w:bCs/>
          <w:color w:val="auto"/>
          <w:sz w:val="32"/>
          <w:szCs w:val="32"/>
          <w:highlight w:val="none"/>
        </w:rPr>
        <w:t>公务用车购置及运行维护费支出决算数</w:t>
      </w:r>
      <w:r>
        <w:rPr>
          <w:rFonts w:hint="eastAsia" w:ascii="仿宋_GB2312" w:hAnsi="ˎ̥" w:eastAsia="仿宋_GB2312"/>
          <w:color w:val="auto"/>
          <w:sz w:val="32"/>
          <w:szCs w:val="32"/>
          <w:highlight w:val="none"/>
        </w:rPr>
        <w:t>比预算数</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完成预算的100</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相比，</w:t>
      </w:r>
      <w:r>
        <w:rPr>
          <w:rFonts w:hint="eastAsia" w:ascii="仿宋_GB2312" w:hAnsi="ˎ̥" w:eastAsia="仿宋_GB2312"/>
          <w:bCs/>
          <w:color w:val="auto"/>
          <w:sz w:val="32"/>
          <w:szCs w:val="32"/>
          <w:highlight w:val="none"/>
        </w:rPr>
        <w:t>公务用车购置及运行维护费</w:t>
      </w:r>
      <w:r>
        <w:rPr>
          <w:rFonts w:hint="eastAsia" w:ascii="仿宋_GB2312" w:hAnsi="ˎ̥" w:eastAsia="仿宋_GB2312"/>
          <w:color w:val="auto"/>
          <w:sz w:val="32"/>
          <w:szCs w:val="32"/>
          <w:highlight w:val="none"/>
        </w:rPr>
        <w:t>支出增加</w:t>
      </w:r>
      <w:r>
        <w:rPr>
          <w:rFonts w:hint="eastAsia" w:ascii="仿宋_GB2312" w:hAnsi="ˎ̥" w:eastAsia="仿宋_GB2312"/>
          <w:color w:val="auto"/>
          <w:sz w:val="32"/>
          <w:szCs w:val="32"/>
          <w:highlight w:val="none"/>
          <w:lang w:val="en-US" w:eastAsia="zh-CN"/>
        </w:rPr>
        <w:t>1.08</w:t>
      </w:r>
      <w:r>
        <w:rPr>
          <w:rFonts w:hint="eastAsia" w:ascii="仿宋_GB2312" w:hAnsi="ˎ̥" w:eastAsia="仿宋_GB2312"/>
          <w:color w:val="auto"/>
          <w:sz w:val="32"/>
          <w:szCs w:val="32"/>
          <w:highlight w:val="none"/>
        </w:rPr>
        <w:t>万元</w:t>
      </w:r>
      <w:r>
        <w:rPr>
          <w:rFonts w:ascii="仿宋_GB2312" w:hAnsi="ˎ̥" w:eastAsia="仿宋_GB2312"/>
          <w:color w:val="auto"/>
          <w:sz w:val="32"/>
          <w:szCs w:val="32"/>
          <w:highlight w:val="none"/>
        </w:rPr>
        <w:t>，增长</w:t>
      </w:r>
      <w:r>
        <w:rPr>
          <w:rFonts w:hint="eastAsia" w:ascii="仿宋_GB2312" w:hAnsi="ˎ̥" w:eastAsia="仿宋_GB2312"/>
          <w:color w:val="auto"/>
          <w:sz w:val="32"/>
          <w:szCs w:val="32"/>
          <w:highlight w:val="none"/>
          <w:lang w:val="en-US" w:eastAsia="zh-CN"/>
        </w:rPr>
        <w:t>117.39</w:t>
      </w:r>
      <w:r>
        <w:rPr>
          <w:rFonts w:hint="eastAsia" w:ascii="仿宋_GB2312" w:hAnsi="ˎ̥" w:eastAsia="仿宋_GB2312"/>
          <w:color w:val="auto"/>
          <w:sz w:val="32"/>
          <w:szCs w:val="32"/>
          <w:highlight w:val="none"/>
        </w:rPr>
        <w:t>%，主要原因是</w:t>
      </w:r>
      <w:r>
        <w:rPr>
          <w:rFonts w:hint="eastAsia" w:ascii="仿宋_GB2312" w:hAnsi="ˎ̥" w:eastAsia="仿宋_GB2312"/>
          <w:sz w:val="32"/>
          <w:szCs w:val="32"/>
          <w:highlight w:val="none"/>
          <w:lang w:val="en-US" w:eastAsia="zh-CN"/>
        </w:rPr>
        <w:t>因财政库款不足无法报销差旅费，公事开公车的次数就相应增加，因此加油费用以及日常维护费用也相应增加</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 xml:space="preserve">    3.公务接待费</w:t>
      </w:r>
      <w:r>
        <w:rPr>
          <w:rFonts w:hint="eastAsia" w:ascii="仿宋_GB2312" w:hAnsi="ˎ̥" w:eastAsia="仿宋_GB2312"/>
          <w:b w:val="0"/>
          <w:bCs/>
          <w:color w:val="auto"/>
          <w:sz w:val="32"/>
          <w:szCs w:val="32"/>
          <w:highlight w:val="none"/>
        </w:rPr>
        <w:t>支出</w:t>
      </w:r>
      <w:r>
        <w:rPr>
          <w:rFonts w:hint="default" w:ascii="仿宋_GB2312" w:hAnsi="ˎ̥" w:eastAsia="仿宋_GB2312"/>
          <w:color w:val="auto"/>
          <w:sz w:val="32"/>
          <w:szCs w:val="32"/>
          <w:highlight w:val="none"/>
          <w:lang w:val="en-US"/>
        </w:rPr>
        <w:t>0.80</w:t>
      </w:r>
      <w:r>
        <w:rPr>
          <w:rFonts w:hint="eastAsia" w:ascii="仿宋_GB2312" w:hAnsi="ˎ̥" w:eastAsia="仿宋_GB2312"/>
          <w:color w:val="auto"/>
          <w:sz w:val="32"/>
          <w:szCs w:val="32"/>
          <w:highlight w:val="none"/>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b/>
          <w:color w:val="auto"/>
          <w:sz w:val="32"/>
          <w:szCs w:val="32"/>
          <w:highlight w:val="none"/>
        </w:rPr>
        <w:t>国内接待费</w:t>
      </w:r>
      <w:r>
        <w:rPr>
          <w:rFonts w:hint="eastAsia" w:ascii="仿宋_GB2312" w:hAnsi="ˎ̥" w:eastAsia="仿宋_GB2312"/>
          <w:color w:val="auto"/>
          <w:sz w:val="32"/>
          <w:szCs w:val="32"/>
          <w:highlight w:val="none"/>
        </w:rPr>
        <w:t>支出</w:t>
      </w:r>
      <w:r>
        <w:rPr>
          <w:rFonts w:hint="eastAsia" w:ascii="仿宋_GB2312" w:hAnsi="ˎ̥" w:eastAsia="仿宋_GB2312"/>
          <w:color w:val="auto"/>
          <w:sz w:val="32"/>
          <w:szCs w:val="32"/>
          <w:highlight w:val="none"/>
          <w:lang w:val="en-US" w:eastAsia="zh-CN"/>
        </w:rPr>
        <w:t>0.8</w:t>
      </w:r>
      <w:r>
        <w:rPr>
          <w:rFonts w:hint="eastAsia" w:ascii="仿宋_GB2312" w:hAnsi="ˎ̥" w:eastAsia="仿宋_GB2312"/>
          <w:color w:val="auto"/>
          <w:sz w:val="32"/>
          <w:szCs w:val="32"/>
          <w:highlight w:val="none"/>
        </w:rPr>
        <w:t>万元，国内</w:t>
      </w:r>
      <w:r>
        <w:rPr>
          <w:rFonts w:hint="eastAsia" w:ascii="仿宋_GB2312" w:hAnsi="ˎ̥" w:eastAsia="仿宋_GB2312"/>
          <w:color w:val="auto"/>
          <w:sz w:val="32"/>
          <w:szCs w:val="32"/>
          <w:highlight w:val="none"/>
          <w:lang w:val="en-US" w:eastAsia="zh-CN"/>
        </w:rPr>
        <w:t>公务接待</w:t>
      </w:r>
      <w:r>
        <w:rPr>
          <w:rFonts w:hint="default" w:ascii="仿宋_GB2312" w:hAnsi="ˎ̥" w:eastAsia="仿宋_GB2312"/>
          <w:color w:val="auto"/>
          <w:sz w:val="32"/>
          <w:szCs w:val="32"/>
          <w:highlight w:val="none"/>
          <w:lang w:val="en-US" w:eastAsia="zh-CN"/>
        </w:rPr>
        <w:t>12</w:t>
      </w:r>
      <w:r>
        <w:rPr>
          <w:rFonts w:hint="eastAsia" w:ascii="仿宋_GB2312" w:hAnsi="ˎ̥" w:eastAsia="仿宋_GB2312"/>
          <w:color w:val="auto"/>
          <w:sz w:val="32"/>
          <w:szCs w:val="32"/>
          <w:highlight w:val="none"/>
          <w:lang w:val="en-US" w:eastAsia="zh-CN"/>
        </w:rPr>
        <w:t>批次，接待</w:t>
      </w:r>
      <w:r>
        <w:rPr>
          <w:rFonts w:hint="default" w:ascii="仿宋_GB2312" w:hAnsi="ˎ̥" w:eastAsia="仿宋_GB2312"/>
          <w:color w:val="auto"/>
          <w:sz w:val="32"/>
          <w:szCs w:val="32"/>
          <w:highlight w:val="none"/>
          <w:lang w:val="en-US" w:eastAsia="zh-CN"/>
        </w:rPr>
        <w:t>80</w:t>
      </w:r>
      <w:r>
        <w:rPr>
          <w:rFonts w:hint="eastAsia" w:ascii="仿宋_GB2312" w:hAnsi="ˎ̥" w:eastAsia="仿宋_GB2312"/>
          <w:color w:val="auto"/>
          <w:sz w:val="32"/>
          <w:szCs w:val="32"/>
          <w:highlight w:val="none"/>
          <w:lang w:val="en-US" w:eastAsia="zh-CN"/>
        </w:rPr>
        <w:t>人次；主要用于省教育厅和其他单位来我县工</w:t>
      </w:r>
      <w:r>
        <w:rPr>
          <w:rFonts w:hint="eastAsia" w:ascii="仿宋_GB2312" w:hAnsi="ˎ̥" w:eastAsia="仿宋_GB2312" w:cs="仿宋_GB2312"/>
          <w:kern w:val="0"/>
          <w:sz w:val="32"/>
          <w:szCs w:val="32"/>
          <w:highlight w:val="none"/>
          <w:shd w:val="clear" w:fill="FFFFFF"/>
        </w:rPr>
        <w:t>作检查和调研</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b/>
          <w:bCs/>
          <w:color w:val="auto"/>
          <w:sz w:val="32"/>
          <w:szCs w:val="32"/>
          <w:highlight w:val="none"/>
        </w:rPr>
        <w:t>国（境）外接待费</w:t>
      </w:r>
      <w:r>
        <w:rPr>
          <w:rFonts w:hint="eastAsia" w:ascii="仿宋_GB2312" w:hAnsi="ˎ̥" w:eastAsia="仿宋_GB2312"/>
          <w:color w:val="auto"/>
          <w:sz w:val="32"/>
          <w:szCs w:val="32"/>
          <w:highlight w:val="none"/>
        </w:rPr>
        <w:t>支出</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万元，国（境）外公务接待</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批次，接待</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公务接待费支出决算数</w:t>
      </w:r>
      <w:r>
        <w:rPr>
          <w:rFonts w:hint="eastAsia" w:ascii="仿宋_GB2312" w:hAnsi="ˎ̥" w:eastAsia="仿宋_GB2312"/>
          <w:color w:val="auto"/>
          <w:sz w:val="32"/>
          <w:szCs w:val="32"/>
          <w:highlight w:val="none"/>
          <w:lang w:val="en-US" w:eastAsia="zh-CN"/>
        </w:rPr>
        <w:t>和</w:t>
      </w:r>
      <w:r>
        <w:rPr>
          <w:rFonts w:hint="eastAsia" w:ascii="仿宋_GB2312" w:hAnsi="ˎ̥" w:eastAsia="仿宋_GB2312"/>
          <w:color w:val="auto"/>
          <w:sz w:val="32"/>
          <w:szCs w:val="32"/>
          <w:highlight w:val="none"/>
        </w:rPr>
        <w:t>预算数</w:t>
      </w:r>
      <w:r>
        <w:rPr>
          <w:rFonts w:hint="eastAsia" w:ascii="仿宋_GB2312" w:hAnsi="ˎ̥" w:eastAsia="仿宋_GB2312"/>
          <w:color w:val="auto"/>
          <w:sz w:val="32"/>
          <w:szCs w:val="32"/>
          <w:highlight w:val="none"/>
          <w:lang w:val="en-US" w:eastAsia="zh-CN"/>
        </w:rPr>
        <w:t>持平</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val="en-US" w:eastAsia="zh-CN"/>
        </w:rPr>
        <w:t>完成预算的100</w:t>
      </w:r>
      <w:r>
        <w:rPr>
          <w:rFonts w:hint="eastAsia" w:ascii="仿宋_GB2312" w:hAnsi="ˎ̥" w:eastAsia="仿宋_GB2312"/>
          <w:color w:val="auto"/>
          <w:sz w:val="32"/>
          <w:szCs w:val="32"/>
          <w:highlight w:val="none"/>
        </w:rPr>
        <w:t>%。与</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ascii="仿宋_GB2312" w:hAnsi="ˎ̥" w:eastAsia="仿宋_GB2312"/>
          <w:color w:val="auto"/>
          <w:sz w:val="32"/>
          <w:szCs w:val="32"/>
          <w:highlight w:val="none"/>
        </w:rPr>
        <w:t>相比，</w:t>
      </w:r>
      <w:r>
        <w:rPr>
          <w:rFonts w:hint="eastAsia" w:ascii="仿宋_GB2312" w:hAnsi="ˎ̥" w:eastAsia="仿宋_GB2312"/>
          <w:bCs/>
          <w:color w:val="auto"/>
          <w:sz w:val="32"/>
          <w:szCs w:val="32"/>
          <w:highlight w:val="none"/>
        </w:rPr>
        <w:t>公务接待费</w:t>
      </w:r>
      <w:r>
        <w:rPr>
          <w:rFonts w:hint="eastAsia" w:ascii="仿宋_GB2312" w:hAnsi="ˎ̥" w:eastAsia="仿宋_GB2312"/>
          <w:color w:val="auto"/>
          <w:sz w:val="32"/>
          <w:szCs w:val="32"/>
          <w:highlight w:val="none"/>
        </w:rPr>
        <w:t>支出增加</w:t>
      </w:r>
      <w:r>
        <w:rPr>
          <w:rFonts w:hint="eastAsia" w:ascii="仿宋_GB2312" w:hAnsi="ˎ̥" w:eastAsia="仿宋_GB2312"/>
          <w:color w:val="auto"/>
          <w:sz w:val="32"/>
          <w:szCs w:val="32"/>
          <w:highlight w:val="none"/>
          <w:lang w:val="en-US" w:eastAsia="zh-CN"/>
        </w:rPr>
        <w:t>1.44</w:t>
      </w:r>
      <w:r>
        <w:rPr>
          <w:rFonts w:hint="eastAsia" w:ascii="仿宋_GB2312" w:hAnsi="ˎ̥" w:eastAsia="仿宋_GB2312"/>
          <w:color w:val="auto"/>
          <w:sz w:val="32"/>
          <w:szCs w:val="32"/>
          <w:highlight w:val="none"/>
        </w:rPr>
        <w:t>万元</w:t>
      </w:r>
      <w:r>
        <w:rPr>
          <w:rFonts w:ascii="仿宋_GB2312" w:hAnsi="ˎ̥" w:eastAsia="仿宋_GB2312"/>
          <w:color w:val="auto"/>
          <w:sz w:val="32"/>
          <w:szCs w:val="32"/>
          <w:highlight w:val="none"/>
        </w:rPr>
        <w:t>，增长</w:t>
      </w:r>
      <w:r>
        <w:rPr>
          <w:rFonts w:hint="eastAsia" w:ascii="仿宋_GB2312" w:hAnsi="ˎ̥" w:eastAsia="仿宋_GB2312"/>
          <w:color w:val="auto"/>
          <w:sz w:val="32"/>
          <w:szCs w:val="32"/>
          <w:highlight w:val="none"/>
          <w:lang w:val="en-US" w:eastAsia="zh-CN"/>
        </w:rPr>
        <w:t>122.22</w:t>
      </w:r>
      <w:r>
        <w:rPr>
          <w:rFonts w:hint="eastAsia" w:ascii="仿宋_GB2312" w:hAnsi="ˎ̥" w:eastAsia="仿宋_GB2312"/>
          <w:color w:val="auto"/>
          <w:sz w:val="32"/>
          <w:szCs w:val="32"/>
          <w:highlight w:val="none"/>
        </w:rPr>
        <w:t>%，主要原因是</w:t>
      </w:r>
      <w:r>
        <w:rPr>
          <w:rFonts w:hint="eastAsia" w:ascii="仿宋_GB2312" w:hAnsi="ˎ̥" w:eastAsia="仿宋_GB2312" w:cs="仿宋_GB2312"/>
          <w:kern w:val="0"/>
          <w:sz w:val="32"/>
          <w:szCs w:val="32"/>
          <w:highlight w:val="none"/>
          <w:shd w:val="clear" w:fill="FFFFFF"/>
        </w:rPr>
        <w:t>检查和调研</w:t>
      </w:r>
      <w:r>
        <w:rPr>
          <w:rFonts w:hint="eastAsia" w:ascii="仿宋_GB2312" w:hAnsi="ˎ̥" w:eastAsia="仿宋_GB2312" w:cs="仿宋_GB2312"/>
          <w:kern w:val="0"/>
          <w:sz w:val="32"/>
          <w:szCs w:val="32"/>
          <w:highlight w:val="none"/>
          <w:shd w:val="clear" w:fill="FFFFFF"/>
          <w:lang w:val="en-US" w:eastAsia="zh-CN"/>
        </w:rPr>
        <w:t>次数增加</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年度“三公”经费预算数、决算数可取自财决公开09表，出国团组数、出国人次，公务用车购置数、公务用车保有量，接待团组数、接待人次可取自</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决算报表F03表《机构运行信息表》，</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年度相关</w:t>
      </w:r>
      <w:r>
        <w:rPr>
          <w:rFonts w:ascii="仿宋_GB2312" w:hAnsi="ˎ̥" w:eastAsia="仿宋_GB2312"/>
          <w:color w:val="auto"/>
          <w:sz w:val="32"/>
          <w:szCs w:val="32"/>
          <w:highlight w:val="none"/>
        </w:rPr>
        <w:t>数据</w:t>
      </w:r>
      <w:r>
        <w:rPr>
          <w:rFonts w:hint="eastAsia" w:ascii="仿宋_GB2312" w:hAnsi="ˎ̥" w:eastAsia="仿宋_GB2312"/>
          <w:color w:val="auto"/>
          <w:sz w:val="32"/>
          <w:szCs w:val="32"/>
          <w:highlight w:val="none"/>
        </w:rPr>
        <w:t>可取自</w:t>
      </w:r>
      <w:r>
        <w:rPr>
          <w:rFonts w:hint="default" w:ascii="仿宋_GB2312" w:hAnsi="ˎ̥" w:eastAsia="仿宋_GB2312"/>
          <w:color w:val="auto"/>
          <w:sz w:val="32"/>
          <w:szCs w:val="32"/>
          <w:highlight w:val="none"/>
          <w:lang w:val="en-US"/>
        </w:rPr>
        <w:t>2023</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eastAsia="zh-CN"/>
        </w:rPr>
        <w:t>单位</w:t>
      </w:r>
      <w:r>
        <w:rPr>
          <w:rFonts w:ascii="仿宋_GB2312" w:hAnsi="ˎ̥" w:eastAsia="仿宋_GB2312"/>
          <w:color w:val="auto"/>
          <w:sz w:val="32"/>
          <w:szCs w:val="32"/>
          <w:highlight w:val="none"/>
        </w:rPr>
        <w:t>决算报表</w:t>
      </w:r>
      <w:r>
        <w:rPr>
          <w:rFonts w:hint="eastAsia" w:ascii="仿宋_GB2312" w:hAnsi="ˎ̥" w:eastAsia="仿宋_GB2312"/>
          <w:color w:val="auto"/>
          <w:sz w:val="32"/>
          <w:szCs w:val="32"/>
          <w:highlight w:val="none"/>
        </w:rPr>
        <w:t>F03表《机构</w:t>
      </w:r>
      <w:r>
        <w:rPr>
          <w:rFonts w:ascii="仿宋_GB2312" w:hAnsi="ˎ̥" w:eastAsia="仿宋_GB2312"/>
          <w:color w:val="auto"/>
          <w:sz w:val="32"/>
          <w:szCs w:val="32"/>
          <w:highlight w:val="none"/>
        </w:rPr>
        <w:t>运行信息表》</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根据预算管理要求，我</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组织对</w:t>
      </w:r>
      <w:r>
        <w:rPr>
          <w:rFonts w:hint="default" w:ascii="仿宋_GB2312" w:eastAsia="仿宋_GB2312"/>
          <w:color w:val="auto"/>
          <w:sz w:val="32"/>
          <w:szCs w:val="32"/>
          <w:highlight w:val="none"/>
          <w:lang w:val="en-US"/>
        </w:rPr>
        <w:t>2024</w:t>
      </w:r>
      <w:r>
        <w:rPr>
          <w:rFonts w:hint="eastAsia" w:ascii="仿宋_GB2312" w:eastAsia="仿宋_GB2312"/>
          <w:color w:val="auto"/>
          <w:sz w:val="32"/>
          <w:szCs w:val="32"/>
          <w:highlight w:val="none"/>
        </w:rPr>
        <w:t>年度一般公共预算项目支出全面开展绩效自评</w:t>
      </w:r>
      <w:r>
        <w:rPr>
          <w:rFonts w:hint="default" w:ascii="仿宋_GB2312" w:eastAsia="仿宋_GB2312"/>
          <w:color w:val="auto"/>
          <w:sz w:val="32"/>
          <w:szCs w:val="32"/>
          <w:highlight w:val="none"/>
          <w:lang w:val="en-US"/>
        </w:rPr>
        <w:t>,</w:t>
      </w:r>
      <w:r>
        <w:rPr>
          <w:rFonts w:hint="eastAsia" w:ascii="仿宋_GB2312" w:eastAsia="仿宋_GB2312"/>
          <w:color w:val="auto"/>
          <w:sz w:val="32"/>
          <w:szCs w:val="32"/>
          <w:highlight w:val="none"/>
          <w:lang w:val="en-US" w:eastAsia="zh-CN"/>
        </w:rPr>
        <w:t>共涉及资金</w:t>
      </w:r>
      <w:r>
        <w:rPr>
          <w:rFonts w:hint="default" w:ascii="仿宋_GB2312" w:eastAsia="仿宋_GB2312"/>
          <w:color w:val="auto"/>
          <w:sz w:val="32"/>
          <w:szCs w:val="32"/>
          <w:highlight w:val="none"/>
          <w:lang w:eastAsia="zh-CN"/>
        </w:rPr>
        <w:t>17828.98</w:t>
      </w:r>
      <w:r>
        <w:rPr>
          <w:rFonts w:hint="eastAsia" w:ascii="仿宋_GB2312" w:eastAsia="仿宋_GB2312"/>
          <w:color w:val="auto"/>
          <w:sz w:val="32"/>
          <w:szCs w:val="32"/>
          <w:highlight w:val="none"/>
          <w:lang w:val="en-US" w:eastAsia="zh-CN"/>
        </w:rPr>
        <w:t>万元，占一般公共预算项目支出总额的</w:t>
      </w:r>
      <w:r>
        <w:rPr>
          <w:rFonts w:hint="default" w:ascii="仿宋_GB2312" w:eastAsia="仿宋_GB2312"/>
          <w:color w:val="auto"/>
          <w:sz w:val="32"/>
          <w:szCs w:val="32"/>
          <w:highlight w:val="none"/>
          <w:lang w:eastAsia="zh-CN"/>
        </w:rPr>
        <w:t>100</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bidi="ar"/>
        </w:rPr>
        <w:t>组织对</w:t>
      </w:r>
      <w:r>
        <w:rPr>
          <w:rFonts w:hint="default" w:ascii="仿宋_GB2312" w:eastAsia="仿宋_GB2312"/>
          <w:color w:val="auto"/>
          <w:sz w:val="32"/>
          <w:szCs w:val="32"/>
          <w:highlight w:val="none"/>
          <w:lang w:val="en-US" w:bidi="ar"/>
        </w:rPr>
        <w:t>2024</w:t>
      </w:r>
      <w:r>
        <w:rPr>
          <w:rFonts w:hint="eastAsia" w:ascii="仿宋_GB2312" w:eastAsia="仿宋_GB2312"/>
          <w:color w:val="auto"/>
          <w:sz w:val="32"/>
          <w:szCs w:val="32"/>
          <w:highlight w:val="none"/>
          <w:lang w:bidi="ar"/>
        </w:rPr>
        <w:t>年度</w:t>
      </w:r>
      <w:r>
        <w:rPr>
          <w:rFonts w:hint="default" w:ascii="仿宋_GB2312" w:eastAsia="仿宋_GB2312"/>
          <w:color w:val="auto"/>
          <w:sz w:val="32"/>
          <w:szCs w:val="32"/>
          <w:highlight w:val="none"/>
          <w:lang w:bidi="ar"/>
        </w:rPr>
        <w:t>0</w:t>
      </w:r>
      <w:r>
        <w:rPr>
          <w:rFonts w:hint="eastAsia" w:ascii="仿宋_GB2312" w:eastAsia="仿宋_GB2312"/>
          <w:color w:val="auto"/>
          <w:sz w:val="32"/>
          <w:szCs w:val="32"/>
          <w:highlight w:val="none"/>
          <w:lang w:bidi="ar"/>
        </w:rPr>
        <w:t>个政府性基金预算项目开展绩效自评，共涉及资金</w:t>
      </w:r>
      <w:r>
        <w:rPr>
          <w:rFonts w:hint="default" w:ascii="仿宋_GB2312" w:eastAsia="仿宋_GB2312"/>
          <w:color w:val="auto"/>
          <w:sz w:val="32"/>
          <w:szCs w:val="32"/>
          <w:highlight w:val="none"/>
          <w:lang w:bidi="ar"/>
        </w:rPr>
        <w:t>0</w:t>
      </w:r>
      <w:r>
        <w:rPr>
          <w:rFonts w:hint="eastAsia" w:ascii="仿宋_GB2312" w:eastAsia="仿宋_GB2312"/>
          <w:color w:val="auto"/>
          <w:sz w:val="32"/>
          <w:szCs w:val="32"/>
          <w:highlight w:val="none"/>
          <w:lang w:bidi="ar"/>
        </w:rPr>
        <w:t>万元，占政府性基金预算项目支出总额的</w:t>
      </w:r>
      <w:r>
        <w:rPr>
          <w:rFonts w:hint="default" w:ascii="仿宋_GB2312" w:eastAsia="仿宋_GB2312"/>
          <w:color w:val="auto"/>
          <w:sz w:val="32"/>
          <w:szCs w:val="32"/>
          <w:highlight w:val="none"/>
          <w:lang w:bidi="ar"/>
        </w:rPr>
        <w:t>0</w:t>
      </w:r>
      <w:r>
        <w:rPr>
          <w:rFonts w:hint="eastAsia" w:ascii="仿宋_GB2312" w:eastAsia="仿宋_GB2312"/>
          <w:color w:val="auto"/>
          <w:sz w:val="32"/>
          <w:szCs w:val="32"/>
          <w:highlight w:val="none"/>
          <w:lang w:bidi="ar"/>
        </w:rPr>
        <w:t>%。组织对</w:t>
      </w:r>
      <w:r>
        <w:rPr>
          <w:rFonts w:hint="default" w:ascii="仿宋_GB2312" w:eastAsia="仿宋_GB2312"/>
          <w:color w:val="auto"/>
          <w:sz w:val="32"/>
          <w:szCs w:val="32"/>
          <w:highlight w:val="none"/>
          <w:lang w:val="en-US" w:bidi="ar"/>
        </w:rPr>
        <w:t>2024</w:t>
      </w:r>
      <w:r>
        <w:rPr>
          <w:rFonts w:hint="eastAsia" w:ascii="仿宋_GB2312" w:eastAsia="仿宋_GB2312"/>
          <w:color w:val="auto"/>
          <w:sz w:val="32"/>
          <w:szCs w:val="32"/>
          <w:highlight w:val="none"/>
          <w:lang w:bidi="ar"/>
        </w:rPr>
        <w:t>年度</w:t>
      </w:r>
      <w:r>
        <w:rPr>
          <w:rFonts w:hint="default" w:ascii="仿宋_GB2312" w:eastAsia="仿宋_GB2312"/>
          <w:color w:val="auto"/>
          <w:sz w:val="32"/>
          <w:szCs w:val="32"/>
          <w:highlight w:val="none"/>
          <w:lang w:bidi="ar"/>
        </w:rPr>
        <w:t>0</w:t>
      </w:r>
      <w:r>
        <w:rPr>
          <w:rFonts w:hint="eastAsia" w:ascii="仿宋_GB2312" w:eastAsia="仿宋_GB2312"/>
          <w:color w:val="auto"/>
          <w:sz w:val="32"/>
          <w:szCs w:val="32"/>
          <w:highlight w:val="none"/>
          <w:lang w:bidi="ar"/>
        </w:rPr>
        <w:t xml:space="preserve">个国有资本经营预算项目开展绩效自评，共涉及资金 </w:t>
      </w:r>
      <w:r>
        <w:rPr>
          <w:rFonts w:hint="default" w:ascii="仿宋_GB2312" w:eastAsia="仿宋_GB2312"/>
          <w:color w:val="auto"/>
          <w:sz w:val="32"/>
          <w:szCs w:val="32"/>
          <w:highlight w:val="none"/>
          <w:lang w:bidi="ar"/>
        </w:rPr>
        <w:t>0</w:t>
      </w:r>
      <w:r>
        <w:rPr>
          <w:rFonts w:hint="eastAsia" w:ascii="仿宋_GB2312" w:eastAsia="仿宋_GB2312"/>
          <w:color w:val="auto"/>
          <w:sz w:val="32"/>
          <w:szCs w:val="32"/>
          <w:highlight w:val="none"/>
          <w:lang w:bidi="ar"/>
        </w:rPr>
        <w:t>万元，占国有资本经营预算项目支出总额的</w:t>
      </w:r>
      <w:r>
        <w:rPr>
          <w:rFonts w:hint="default" w:ascii="仿宋_GB2312" w:eastAsia="仿宋_GB2312"/>
          <w:color w:val="auto"/>
          <w:sz w:val="32"/>
          <w:szCs w:val="32"/>
          <w:highlight w:val="none"/>
          <w:lang w:bidi="ar"/>
        </w:rPr>
        <w:t>0</w:t>
      </w:r>
      <w:r>
        <w:rPr>
          <w:rFonts w:hint="eastAsia" w:ascii="仿宋_GB2312" w:eastAsia="仿宋_GB2312"/>
          <w:color w:val="auto"/>
          <w:sz w:val="32"/>
          <w:szCs w:val="32"/>
          <w:highlight w:val="none"/>
          <w:lang w:bidi="ar"/>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default" w:ascii="仿宋_GB2312" w:eastAsia="仿宋_GB2312"/>
          <w:color w:val="auto"/>
          <w:sz w:val="32"/>
          <w:szCs w:val="32"/>
          <w:highlight w:val="none"/>
        </w:rPr>
      </w:pPr>
      <w:r>
        <w:rPr>
          <w:rFonts w:hint="eastAsia" w:ascii="仿宋_GB2312" w:eastAsia="仿宋_GB2312"/>
          <w:color w:val="auto"/>
          <w:sz w:val="32"/>
          <w:szCs w:val="32"/>
          <w:highlight w:val="none"/>
        </w:rPr>
        <w:t>共组织对“</w:t>
      </w:r>
      <w:r>
        <w:rPr>
          <w:rFonts w:hint="default" w:ascii="仿宋_GB2312" w:eastAsia="仿宋_GB2312"/>
          <w:color w:val="auto"/>
          <w:sz w:val="32"/>
          <w:szCs w:val="32"/>
          <w:highlight w:val="none"/>
        </w:rPr>
        <w:t>义务教育薄弱环节改善与能力提升补助资金</w:t>
      </w:r>
      <w:r>
        <w:rPr>
          <w:rFonts w:hint="eastAsia" w:ascii="仿宋_GB2312" w:eastAsia="仿宋_GB2312"/>
          <w:color w:val="auto"/>
          <w:sz w:val="32"/>
          <w:szCs w:val="32"/>
          <w:highlight w:val="none"/>
        </w:rPr>
        <w:t>”等</w:t>
      </w:r>
      <w:r>
        <w:rPr>
          <w:rFonts w:hint="default" w:ascii="仿宋_GB2312" w:eastAsia="仿宋_GB2312"/>
          <w:color w:val="auto"/>
          <w:sz w:val="32"/>
          <w:szCs w:val="32"/>
          <w:highlight w:val="none"/>
        </w:rPr>
        <w:t>53</w:t>
      </w:r>
      <w:r>
        <w:rPr>
          <w:rFonts w:hint="eastAsia" w:ascii="仿宋_GB2312" w:eastAsia="仿宋_GB2312"/>
          <w:color w:val="auto"/>
          <w:sz w:val="32"/>
          <w:szCs w:val="32"/>
          <w:highlight w:val="none"/>
        </w:rPr>
        <w:t>个项目开展了</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评价，</w:t>
      </w:r>
      <w:r>
        <w:rPr>
          <w:rFonts w:hint="eastAsia" w:ascii="仿宋_GB2312" w:eastAsia="仿宋_GB2312"/>
          <w:color w:val="auto"/>
          <w:sz w:val="32"/>
          <w:szCs w:val="32"/>
          <w:highlight w:val="none"/>
          <w:lang w:bidi="ar"/>
        </w:rPr>
        <w:t>涉及一般公共预算支出</w:t>
      </w:r>
      <w:r>
        <w:rPr>
          <w:rFonts w:hint="default" w:ascii="仿宋_GB2312" w:eastAsia="仿宋_GB2312"/>
          <w:color w:val="auto"/>
          <w:sz w:val="32"/>
          <w:szCs w:val="32"/>
          <w:highlight w:val="none"/>
          <w:lang w:bidi="ar"/>
        </w:rPr>
        <w:t>17828.98</w:t>
      </w:r>
      <w:r>
        <w:rPr>
          <w:rFonts w:hint="eastAsia" w:ascii="仿宋_GB2312" w:eastAsia="仿宋_GB2312"/>
          <w:color w:val="auto"/>
          <w:sz w:val="32"/>
          <w:szCs w:val="32"/>
          <w:highlight w:val="none"/>
          <w:lang w:bidi="ar"/>
        </w:rPr>
        <w:t>万元，政府性基金预算支出</w:t>
      </w:r>
      <w:r>
        <w:rPr>
          <w:rFonts w:hint="default" w:ascii="仿宋_GB2312" w:eastAsia="仿宋_GB2312"/>
          <w:color w:val="auto"/>
          <w:sz w:val="32"/>
          <w:szCs w:val="32"/>
          <w:highlight w:val="none"/>
          <w:lang w:bidi="ar"/>
        </w:rPr>
        <w:t>0</w:t>
      </w:r>
      <w:r>
        <w:rPr>
          <w:rFonts w:hint="eastAsia" w:ascii="仿宋_GB2312" w:eastAsia="仿宋_GB2312"/>
          <w:color w:val="auto"/>
          <w:sz w:val="32"/>
          <w:szCs w:val="32"/>
          <w:highlight w:val="none"/>
          <w:lang w:bidi="ar"/>
        </w:rPr>
        <w:t>万元，国有资本经营预算支出</w:t>
      </w:r>
      <w:r>
        <w:rPr>
          <w:rFonts w:hint="default" w:ascii="仿宋_GB2312" w:eastAsia="仿宋_GB2312"/>
          <w:color w:val="auto"/>
          <w:sz w:val="32"/>
          <w:szCs w:val="32"/>
          <w:highlight w:val="none"/>
          <w:lang w:bidi="ar"/>
        </w:rPr>
        <w:t>0</w:t>
      </w:r>
      <w:r>
        <w:rPr>
          <w:rFonts w:hint="eastAsia" w:ascii="仿宋_GB2312" w:eastAsia="仿宋_GB2312"/>
          <w:color w:val="auto"/>
          <w:sz w:val="32"/>
          <w:szCs w:val="32"/>
          <w:highlight w:val="none"/>
          <w:lang w:bidi="ar"/>
        </w:rPr>
        <w:t>万元。</w:t>
      </w:r>
      <w:r>
        <w:rPr>
          <w:rFonts w:hint="eastAsia" w:ascii="仿宋_GB2312" w:eastAsia="仿宋_GB2312"/>
          <w:color w:val="auto"/>
          <w:sz w:val="32"/>
          <w:szCs w:val="32"/>
          <w:highlight w:val="none"/>
        </w:rPr>
        <w:t>从评价情况来看，</w:t>
      </w:r>
      <w:r>
        <w:rPr>
          <w:rFonts w:hint="default" w:ascii="仿宋_GB2312" w:eastAsia="仿宋_GB2312"/>
          <w:color w:val="auto"/>
          <w:sz w:val="32"/>
          <w:szCs w:val="32"/>
          <w:highlight w:val="none"/>
        </w:rPr>
        <w:t>对单位的所有项目进行了全覆盖评价。</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（二）</w:t>
      </w:r>
      <w:r>
        <w:rPr>
          <w:rFonts w:hint="eastAsia" w:ascii="楷体" w:hAnsi="楷体" w:eastAsia="楷体" w:cs="楷体"/>
          <w:bCs/>
          <w:color w:val="auto"/>
          <w:sz w:val="32"/>
          <w:szCs w:val="32"/>
          <w:highlight w:val="none"/>
          <w:lang w:eastAsia="zh-CN"/>
        </w:rPr>
        <w:t>单位</w:t>
      </w:r>
      <w:r>
        <w:rPr>
          <w:rFonts w:hint="eastAsia" w:ascii="楷体" w:hAnsi="楷体" w:eastAsia="楷体" w:cs="楷体"/>
          <w:bCs/>
          <w:color w:val="auto"/>
          <w:sz w:val="32"/>
          <w:szCs w:val="32"/>
          <w:highlight w:val="none"/>
        </w:rPr>
        <w:t>决算中项目绩效自评结果（预算</w:t>
      </w:r>
      <w:r>
        <w:rPr>
          <w:rFonts w:hint="eastAsia" w:ascii="楷体" w:hAnsi="楷体" w:eastAsia="楷体" w:cs="楷体"/>
          <w:bCs/>
          <w:color w:val="auto"/>
          <w:sz w:val="32"/>
          <w:szCs w:val="32"/>
          <w:highlight w:val="none"/>
          <w:lang w:eastAsia="zh-CN"/>
        </w:rPr>
        <w:t>单位</w:t>
      </w:r>
      <w:r>
        <w:rPr>
          <w:rFonts w:hint="eastAsia" w:ascii="楷体" w:hAnsi="楷体" w:eastAsia="楷体" w:cs="楷体"/>
          <w:bCs/>
          <w:color w:val="auto"/>
          <w:sz w:val="32"/>
          <w:szCs w:val="32"/>
          <w:highlight w:val="none"/>
        </w:rPr>
        <w:t>、单位可根据实际情况反映重点项目绩效自评结果）</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我</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在</w:t>
      </w:r>
      <w:r>
        <w:rPr>
          <w:rFonts w:hint="eastAsia" w:ascii="仿宋_GB2312" w:eastAsia="仿宋_GB2312"/>
          <w:color w:val="auto"/>
          <w:sz w:val="32"/>
          <w:szCs w:val="32"/>
          <w:highlight w:val="none"/>
          <w:lang w:eastAsia="zh-CN"/>
        </w:rPr>
        <w:t>单位</w:t>
      </w:r>
      <w:r>
        <w:rPr>
          <w:rFonts w:hint="eastAsia" w:ascii="仿宋_GB2312" w:eastAsia="仿宋_GB2312"/>
          <w:color w:val="auto"/>
          <w:sz w:val="32"/>
          <w:szCs w:val="32"/>
          <w:highlight w:val="none"/>
        </w:rPr>
        <w:t>决算中反映“</w:t>
      </w:r>
      <w:r>
        <w:rPr>
          <w:rFonts w:hint="default" w:ascii="仿宋_GB2312" w:eastAsia="仿宋_GB2312"/>
          <w:color w:val="auto"/>
          <w:sz w:val="32"/>
          <w:szCs w:val="32"/>
          <w:highlight w:val="none"/>
        </w:rPr>
        <w:t>义务教育薄弱环节改善与能力提升补助资金</w:t>
      </w:r>
      <w:r>
        <w:rPr>
          <w:rFonts w:hint="eastAsia" w:ascii="仿宋_GB2312" w:eastAsia="仿宋_GB2312"/>
          <w:color w:val="auto"/>
          <w:sz w:val="32"/>
          <w:szCs w:val="32"/>
          <w:highlight w:val="none"/>
        </w:rPr>
        <w:t>”等</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个项目绩效自评结果（包括项目绩效自评表和项目绩效自评报告）。</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w:t>
      </w:r>
      <w:r>
        <w:rPr>
          <w:rFonts w:hint="default" w:ascii="仿宋_GB2312" w:eastAsia="仿宋_GB2312"/>
          <w:color w:val="auto"/>
          <w:sz w:val="32"/>
          <w:szCs w:val="32"/>
          <w:highlight w:val="none"/>
        </w:rPr>
        <w:t>义务教育薄弱环节改善与能力提升补助资金</w:t>
      </w:r>
      <w:r>
        <w:rPr>
          <w:rFonts w:hint="eastAsia" w:ascii="仿宋_GB2312" w:eastAsia="仿宋_GB2312"/>
          <w:color w:val="auto"/>
          <w:sz w:val="32"/>
          <w:szCs w:val="32"/>
          <w:highlight w:val="none"/>
        </w:rPr>
        <w:t>”项目绩效自评表：</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可作为附件附后</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hint="default" w:ascii="仿宋_GB2312" w:eastAsia="仿宋_GB2312"/>
          <w:color w:val="auto"/>
          <w:sz w:val="32"/>
          <w:szCs w:val="32"/>
          <w:highlight w:val="none"/>
        </w:rPr>
        <w:t>义务教育薄弱环节改善与能力提升补助资金</w:t>
      </w:r>
      <w:r>
        <w:rPr>
          <w:rFonts w:hint="eastAsia" w:ascii="仿宋_GB2312" w:eastAsia="仿宋_GB2312"/>
          <w:color w:val="auto"/>
          <w:sz w:val="32"/>
          <w:szCs w:val="32"/>
          <w:highlight w:val="none"/>
        </w:rPr>
        <w:t>”项目绩效自评报告：根据年初设定的绩效目标，项目绩效自评得分为</w:t>
      </w:r>
      <w:r>
        <w:rPr>
          <w:rFonts w:hint="eastAsia" w:ascii="仿宋_GB2312" w:eastAsia="仿宋_GB2312"/>
          <w:color w:val="auto"/>
          <w:sz w:val="32"/>
          <w:szCs w:val="32"/>
          <w:highlight w:val="none"/>
          <w:lang w:val="en-US" w:eastAsia="zh-CN"/>
        </w:rPr>
        <w:t>97</w:t>
      </w:r>
      <w:r>
        <w:rPr>
          <w:rFonts w:hint="eastAsia" w:ascii="仿宋_GB2312" w:eastAsia="仿宋_GB2312"/>
          <w:color w:val="auto"/>
          <w:sz w:val="32"/>
          <w:szCs w:val="32"/>
          <w:highlight w:val="none"/>
        </w:rPr>
        <w:t>分。全年预算数为</w:t>
      </w:r>
      <w:r>
        <w:rPr>
          <w:rFonts w:hint="eastAsia" w:ascii="仿宋_GB2312" w:eastAsia="仿宋_GB2312"/>
          <w:color w:val="auto"/>
          <w:sz w:val="32"/>
          <w:szCs w:val="32"/>
          <w:highlight w:val="none"/>
          <w:lang w:val="en-US" w:eastAsia="zh-CN"/>
        </w:rPr>
        <w:t>2344</w:t>
      </w:r>
      <w:r>
        <w:rPr>
          <w:rFonts w:hint="eastAsia" w:ascii="仿宋_GB2312" w:eastAsia="仿宋_GB2312"/>
          <w:color w:val="auto"/>
          <w:sz w:val="32"/>
          <w:szCs w:val="32"/>
          <w:highlight w:val="none"/>
        </w:rPr>
        <w:t>万元，执行数为</w:t>
      </w:r>
      <w:r>
        <w:rPr>
          <w:rFonts w:hint="eastAsia" w:ascii="仿宋_GB2312" w:eastAsia="仿宋_GB2312"/>
          <w:color w:val="auto"/>
          <w:sz w:val="32"/>
          <w:szCs w:val="32"/>
          <w:highlight w:val="none"/>
          <w:lang w:val="en-US" w:eastAsia="zh-CN"/>
        </w:rPr>
        <w:t>1452.79</w:t>
      </w:r>
      <w:r>
        <w:rPr>
          <w:rFonts w:hint="eastAsia" w:ascii="仿宋_GB2312" w:eastAsia="仿宋_GB2312"/>
          <w:color w:val="auto"/>
          <w:sz w:val="32"/>
          <w:szCs w:val="32"/>
          <w:highlight w:val="none"/>
        </w:rPr>
        <w:t>万元，完成预算的</w:t>
      </w:r>
      <w:r>
        <w:rPr>
          <w:rFonts w:hint="eastAsia" w:ascii="仿宋_GB2312" w:eastAsia="仿宋_GB2312"/>
          <w:color w:val="auto"/>
          <w:sz w:val="32"/>
          <w:szCs w:val="32"/>
          <w:highlight w:val="none"/>
          <w:lang w:val="en-US" w:eastAsia="zh-CN"/>
        </w:rPr>
        <w:t>75.08</w:t>
      </w:r>
      <w:r>
        <w:rPr>
          <w:rFonts w:hint="eastAsia" w:ascii="仿宋_GB2312" w:eastAsia="仿宋_GB2312"/>
          <w:color w:val="auto"/>
          <w:sz w:val="32"/>
          <w:szCs w:val="32"/>
          <w:highlight w:val="none"/>
        </w:rPr>
        <w:t>%。项目绩效目标完成情况：一是新建改扩建工程验收合格率</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；二是办学条件得到改善</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。发现的主要问题及原因：</w:t>
      </w:r>
      <w:r>
        <w:rPr>
          <w:rFonts w:hint="eastAsia" w:ascii="仿宋_GB2312" w:eastAsia="仿宋_GB2312"/>
          <w:color w:val="auto"/>
          <w:sz w:val="32"/>
          <w:szCs w:val="32"/>
          <w:highlight w:val="none"/>
          <w:lang w:val="en-US" w:eastAsia="zh-CN"/>
        </w:rPr>
        <w:t>预算执行缓慢</w:t>
      </w:r>
      <w:r>
        <w:rPr>
          <w:rFonts w:hint="eastAsia" w:ascii="仿宋_GB2312" w:eastAsia="仿宋_GB2312"/>
          <w:color w:val="auto"/>
          <w:sz w:val="32"/>
          <w:szCs w:val="32"/>
          <w:highlight w:val="none"/>
        </w:rPr>
        <w:t>。下一步改进措施：</w:t>
      </w:r>
      <w:r>
        <w:rPr>
          <w:rFonts w:hint="eastAsia" w:ascii="仿宋_GB2312" w:eastAsia="仿宋_GB2312"/>
          <w:color w:val="auto"/>
          <w:sz w:val="32"/>
          <w:szCs w:val="32"/>
          <w:highlight w:val="none"/>
          <w:lang w:val="en-US" w:eastAsia="zh-CN"/>
        </w:rPr>
        <w:t>预算执行</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（三）</w:t>
      </w:r>
      <w:r>
        <w:rPr>
          <w:rFonts w:hint="eastAsia" w:ascii="楷体" w:hAnsi="楷体" w:eastAsia="楷体" w:cs="楷体"/>
          <w:bCs/>
          <w:color w:val="auto"/>
          <w:sz w:val="32"/>
          <w:szCs w:val="32"/>
          <w:highlight w:val="none"/>
          <w:lang w:eastAsia="zh-CN"/>
        </w:rPr>
        <w:t>单位</w:t>
      </w:r>
      <w:r>
        <w:rPr>
          <w:rFonts w:hint="eastAsia" w:ascii="楷体" w:hAnsi="楷体" w:eastAsia="楷体" w:cs="楷体"/>
          <w:bCs/>
          <w:color w:val="auto"/>
          <w:sz w:val="32"/>
          <w:szCs w:val="32"/>
          <w:highlight w:val="none"/>
        </w:rPr>
        <w:t>评价结果（预算</w:t>
      </w:r>
      <w:r>
        <w:rPr>
          <w:rFonts w:hint="eastAsia" w:ascii="楷体" w:hAnsi="楷体" w:eastAsia="楷体" w:cs="楷体"/>
          <w:bCs/>
          <w:color w:val="auto"/>
          <w:sz w:val="32"/>
          <w:szCs w:val="32"/>
          <w:highlight w:val="none"/>
          <w:lang w:eastAsia="zh-CN"/>
        </w:rPr>
        <w:t>单位</w:t>
      </w:r>
      <w:r>
        <w:rPr>
          <w:rFonts w:hint="eastAsia" w:ascii="楷体" w:hAnsi="楷体" w:eastAsia="楷体" w:cs="楷体"/>
          <w:bCs/>
          <w:color w:val="auto"/>
          <w:sz w:val="32"/>
          <w:szCs w:val="32"/>
          <w:highlight w:val="none"/>
        </w:rPr>
        <w:t>填写，</w:t>
      </w:r>
      <w:r>
        <w:rPr>
          <w:rFonts w:hint="eastAsia" w:ascii="楷体" w:hAnsi="楷体" w:eastAsia="楷体" w:cs="楷体"/>
          <w:bCs/>
          <w:color w:val="auto"/>
          <w:sz w:val="32"/>
          <w:szCs w:val="32"/>
          <w:highlight w:val="none"/>
          <w:lang w:eastAsia="zh-CN"/>
        </w:rPr>
        <w:t>单位</w:t>
      </w:r>
      <w:r>
        <w:rPr>
          <w:rFonts w:hint="eastAsia" w:ascii="楷体" w:hAnsi="楷体" w:eastAsia="楷体" w:cs="楷体"/>
          <w:bCs/>
          <w:color w:val="auto"/>
          <w:sz w:val="32"/>
          <w:szCs w:val="32"/>
          <w:highlight w:val="none"/>
        </w:rPr>
        <w:t>所属单位不需填写）</w:t>
      </w:r>
    </w:p>
    <w:p>
      <w:pPr>
        <w:keepNext w:val="0"/>
        <w:keepLines w:val="0"/>
        <w:pageBreakBefore w:val="0"/>
        <w:widowControl w:val="0"/>
        <w:kinsoku/>
        <w:wordWrap/>
        <w:overflowPunct/>
        <w:topLinePunct w:val="0"/>
        <w:autoSpaceDE/>
        <w:autoSpaceDN/>
        <w:bidi w:val="0"/>
        <w:adjustRightInd/>
        <w:snapToGrid/>
        <w:spacing w:line="578" w:lineRule="exact"/>
        <w:ind w:firstLine="960" w:firstLineChars="300"/>
        <w:jc w:val="both"/>
        <w:textAlignment w:val="auto"/>
        <w:rPr>
          <w:rFonts w:hint="eastAsia" w:ascii="仿宋_GB2312" w:hAnsi="仿宋_GB2312" w:eastAsia="仿宋_GB2312" w:cs="仿宋_GB2312"/>
          <w:color w:val="auto"/>
          <w:kern w:val="0"/>
          <w:sz w:val="32"/>
          <w:szCs w:val="32"/>
          <w:highlight w:val="none"/>
          <w:lang w:val="en-US" w:eastAsia="zh-CN" w:bidi="ar"/>
        </w:rPr>
      </w:pPr>
      <w:r>
        <w:rPr>
          <w:rFonts w:hint="eastAsia" w:ascii="仿宋_GB2312" w:hAnsi="仿宋_GB2312" w:eastAsia="仿宋_GB2312" w:cs="仿宋_GB2312"/>
          <w:color w:val="auto"/>
          <w:kern w:val="0"/>
          <w:sz w:val="32"/>
          <w:szCs w:val="32"/>
          <w:highlight w:val="none"/>
          <w:lang w:val="en-US" w:eastAsia="zh-CN" w:bidi="ar"/>
        </w:rPr>
        <w:t>报告详见附件</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bCs/>
          <w:color w:val="auto"/>
          <w:sz w:val="32"/>
          <w:szCs w:val="32"/>
          <w:highlight w:val="none"/>
        </w:rPr>
      </w:pPr>
      <w:r>
        <w:rPr>
          <w:rFonts w:hint="eastAsia" w:ascii="楷体" w:hAnsi="楷体" w:eastAsia="楷体" w:cs="楷体"/>
          <w:bCs/>
          <w:color w:val="auto"/>
          <w:sz w:val="32"/>
          <w:szCs w:val="32"/>
          <w:highlight w:val="none"/>
        </w:rPr>
        <w:t>（四）财政评价结果（如有）</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bCs/>
          <w:color w:val="auto"/>
          <w:sz w:val="32"/>
          <w:szCs w:val="32"/>
          <w:highlight w:val="none"/>
        </w:rPr>
      </w:pPr>
      <w:bookmarkStart w:id="99" w:name="_Toc15262_WPSOffice_Level2"/>
      <w:bookmarkStart w:id="100" w:name="_Toc5978_WPSOffice_Level2"/>
      <w:bookmarkStart w:id="101" w:name="_Toc32639_WPSOffice_Level2"/>
      <w:bookmarkStart w:id="102" w:name="_Toc18325_WPSOffice_Level2"/>
      <w:bookmarkStart w:id="103" w:name="_Toc23598_WPSOffice_Level2"/>
      <w:bookmarkStart w:id="104" w:name="_Toc15565_WPSOffice_Level2"/>
      <w:r>
        <w:rPr>
          <w:rFonts w:hint="eastAsia" w:ascii="楷体" w:hAnsi="楷体" w:eastAsia="楷体" w:cs="楷体"/>
          <w:bCs/>
          <w:color w:val="auto"/>
          <w:sz w:val="32"/>
          <w:szCs w:val="32"/>
          <w:highlight w:val="none"/>
        </w:rPr>
        <w:t>（一）机关运行经费支出情况</w:t>
      </w:r>
      <w:bookmarkEnd w:id="99"/>
      <w:bookmarkEnd w:id="100"/>
      <w:bookmarkEnd w:id="101"/>
      <w:bookmarkEnd w:id="102"/>
      <w:bookmarkEnd w:id="103"/>
      <w:bookmarkEnd w:id="10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屯昌县教育局</w:t>
      </w:r>
      <w:r>
        <w:rPr>
          <w:rFonts w:hint="eastAsia" w:ascii="仿宋_GB2312" w:hAnsi="ˎ̥" w:eastAsia="仿宋_GB2312"/>
          <w:color w:val="auto"/>
          <w:sz w:val="32"/>
          <w:szCs w:val="32"/>
          <w:highlight w:val="none"/>
        </w:rPr>
        <w:t>机关运行经费</w:t>
      </w:r>
      <w:r>
        <w:rPr>
          <w:rFonts w:hint="default" w:ascii="仿宋_GB2312" w:hAnsi="ˎ̥" w:eastAsia="仿宋_GB2312"/>
          <w:color w:val="auto"/>
          <w:sz w:val="32"/>
          <w:szCs w:val="32"/>
          <w:highlight w:val="none"/>
          <w:lang w:val="en-US"/>
        </w:rPr>
        <w:t>46.72</w:t>
      </w:r>
      <w:r>
        <w:rPr>
          <w:rFonts w:hint="eastAsia" w:ascii="仿宋_GB2312" w:hAnsi="ˎ̥" w:eastAsia="仿宋_GB2312"/>
          <w:color w:val="auto"/>
          <w:sz w:val="32"/>
          <w:szCs w:val="32"/>
          <w:highlight w:val="none"/>
        </w:rPr>
        <w:t>万元（为</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决算中行政单位和参公事业单位财政拨款基本支出中公用经费支出之和，事业单位没有机关运行经费支出），比年初预算增加</w:t>
      </w:r>
      <w:r>
        <w:rPr>
          <w:rFonts w:hint="eastAsia" w:ascii="仿宋_GB2312" w:hAnsi="ˎ̥" w:eastAsia="仿宋_GB2312"/>
          <w:color w:val="auto"/>
          <w:sz w:val="32"/>
          <w:szCs w:val="32"/>
          <w:highlight w:val="none"/>
          <w:lang w:val="en-US" w:eastAsia="zh-CN"/>
        </w:rPr>
        <w:t>28.01</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val="en-US" w:eastAsia="zh-CN"/>
        </w:rPr>
        <w:t>完成预算的249.7</w:t>
      </w:r>
      <w:r>
        <w:rPr>
          <w:rFonts w:hint="eastAsia" w:ascii="仿宋_GB2312" w:hAnsi="ˎ̥" w:eastAsia="仿宋_GB2312"/>
          <w:color w:val="auto"/>
          <w:sz w:val="32"/>
          <w:szCs w:val="32"/>
          <w:highlight w:val="none"/>
        </w:rPr>
        <w:t>%</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lang w:val="en-US" w:eastAsia="zh-CN"/>
        </w:rPr>
        <w:t>与2023年度相比，机关运行经费</w:t>
      </w:r>
      <w:r>
        <w:rPr>
          <w:rFonts w:hint="eastAsia" w:ascii="仿宋_GB2312" w:hAnsi="ˎ̥" w:eastAsia="仿宋_GB2312"/>
          <w:color w:val="auto"/>
          <w:sz w:val="32"/>
          <w:szCs w:val="32"/>
          <w:highlight w:val="none"/>
        </w:rPr>
        <w:t>增加</w:t>
      </w:r>
      <w:r>
        <w:rPr>
          <w:rFonts w:hint="eastAsia" w:ascii="仿宋_GB2312" w:hAnsi="ˎ̥" w:eastAsia="仿宋_GB2312"/>
          <w:color w:val="auto"/>
          <w:sz w:val="32"/>
          <w:szCs w:val="32"/>
          <w:highlight w:val="none"/>
          <w:lang w:val="en-US" w:eastAsia="zh-CN"/>
        </w:rPr>
        <w:t>5.52</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lang w:val="en-US" w:eastAsia="zh-CN"/>
        </w:rPr>
        <w:t>增长13.4%。</w:t>
      </w:r>
      <w:r>
        <w:rPr>
          <w:rFonts w:hint="eastAsia" w:ascii="仿宋_GB2312" w:hAnsi="ˎ̥" w:eastAsia="仿宋_GB2312"/>
          <w:color w:val="auto"/>
          <w:sz w:val="32"/>
          <w:szCs w:val="32"/>
          <w:highlight w:val="none"/>
        </w:rPr>
        <w:t>主要原因是</w:t>
      </w:r>
      <w:r>
        <w:rPr>
          <w:rFonts w:hint="eastAsia" w:ascii="仿宋_GB2312" w:hAnsi="ˎ̥" w:eastAsia="仿宋_GB2312"/>
          <w:sz w:val="32"/>
          <w:szCs w:val="32"/>
          <w:highlight w:val="none"/>
        </w:rPr>
        <w:t>：</w:t>
      </w:r>
      <w:r>
        <w:rPr>
          <w:rFonts w:hint="eastAsia" w:ascii="仿宋_GB2312" w:hAnsi="ˎ̥" w:eastAsia="仿宋_GB2312" w:cs="仿宋_GB2312"/>
          <w:kern w:val="0"/>
          <w:sz w:val="32"/>
          <w:szCs w:val="32"/>
          <w:highlight w:val="none"/>
        </w:rPr>
        <w:t>办公设施设备购置经费增加、资产运行维护支出增加、信息系统运行维护支出增加</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机关运行经费预算数可取自</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决算报表财决01-1表《财政拨款收入支出决算总表》，年初预算数-一般公共预算财政拨款-公用经费，注意</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汇总公开决算时，因事业单位没有机关运行经费支出，故</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汇总的机关运行经费预算数应为</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所属的各行政单位或参公单位的汇总数；决算数可取自</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bCs/>
          <w:color w:val="auto"/>
          <w:sz w:val="32"/>
          <w:szCs w:val="32"/>
          <w:highlight w:val="none"/>
        </w:rPr>
      </w:pPr>
      <w:bookmarkStart w:id="105" w:name="_Toc3131_WPSOffice_Level2"/>
      <w:bookmarkStart w:id="106" w:name="_Toc25333_WPSOffice_Level2"/>
      <w:bookmarkStart w:id="107" w:name="_Toc13084_WPSOffice_Level2"/>
      <w:bookmarkStart w:id="108" w:name="_Toc23966_WPSOffice_Level2"/>
      <w:bookmarkStart w:id="109" w:name="_Toc32689_WPSOffice_Level2"/>
      <w:bookmarkStart w:id="110" w:name="_Toc30383_WPSOffice_Level2"/>
      <w:r>
        <w:rPr>
          <w:rFonts w:hint="eastAsia" w:ascii="楷体" w:hAnsi="楷体" w:eastAsia="楷体" w:cs="楷体"/>
          <w:bCs/>
          <w:color w:val="auto"/>
          <w:sz w:val="32"/>
          <w:szCs w:val="32"/>
          <w:highlight w:val="none"/>
        </w:rPr>
        <w:t>（二）政府采购支出情况</w:t>
      </w:r>
      <w:bookmarkEnd w:id="105"/>
      <w:bookmarkEnd w:id="106"/>
      <w:bookmarkEnd w:id="107"/>
      <w:bookmarkEnd w:id="108"/>
      <w:bookmarkEnd w:id="109"/>
      <w:bookmarkEnd w:id="11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lang w:eastAsia="zh-CN"/>
        </w:rPr>
      </w:pP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val="en-US" w:eastAsia="zh-CN"/>
        </w:rPr>
        <w:t>屯昌县教育局</w:t>
      </w:r>
      <w:r>
        <w:rPr>
          <w:rFonts w:hint="eastAsia" w:ascii="仿宋_GB2312" w:hAnsi="ˎ̥" w:eastAsia="仿宋_GB2312"/>
          <w:color w:val="auto"/>
          <w:sz w:val="32"/>
          <w:szCs w:val="32"/>
          <w:highlight w:val="none"/>
        </w:rPr>
        <w:t>政府采购支出总额</w:t>
      </w:r>
      <w:r>
        <w:rPr>
          <w:rFonts w:hint="eastAsia" w:ascii="仿宋_GB2312" w:hAnsi="ˎ̥" w:eastAsia="仿宋_GB2312"/>
          <w:color w:val="auto"/>
          <w:sz w:val="32"/>
          <w:szCs w:val="32"/>
          <w:highlight w:val="none"/>
          <w:lang w:val="en-US" w:eastAsia="zh-CN"/>
        </w:rPr>
        <w:t>0</w:t>
      </w:r>
      <w:r>
        <w:rPr>
          <w:rFonts w:hint="eastAsia" w:ascii="仿宋_GB2312" w:hAnsi="ˎ̥" w:eastAsia="仿宋_GB2312"/>
          <w:color w:val="auto"/>
          <w:sz w:val="32"/>
          <w:szCs w:val="32"/>
          <w:highlight w:val="none"/>
        </w:rPr>
        <w:t>万元</w:t>
      </w:r>
      <w:r>
        <w:rPr>
          <w:rFonts w:hint="eastAsia" w:ascii="仿宋_GB2312" w:hAnsi="ˎ̥"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上述政府采购支出相关</w:t>
      </w:r>
      <w:r>
        <w:rPr>
          <w:rFonts w:hint="eastAsia" w:ascii="仿宋_GB2312" w:hAnsi="ˎ̥" w:eastAsia="仿宋_GB2312"/>
          <w:color w:val="auto"/>
          <w:sz w:val="32"/>
          <w:szCs w:val="32"/>
          <w:highlight w:val="none"/>
          <w:lang w:val="en-US" w:eastAsia="zh-CN"/>
        </w:rPr>
        <w:t>数据</w:t>
      </w:r>
      <w:r>
        <w:rPr>
          <w:rFonts w:hint="eastAsia" w:ascii="仿宋_GB2312" w:hAnsi="ˎ̥" w:eastAsia="仿宋_GB2312"/>
          <w:color w:val="auto"/>
          <w:sz w:val="32"/>
          <w:szCs w:val="32"/>
          <w:highlight w:val="none"/>
        </w:rPr>
        <w:t>取自</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决算报表F03表《机构运行信息表》，授予中小企业和小微企业合同金额由各</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查阅本</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楷体" w:hAnsi="楷体" w:eastAsia="楷体" w:cs="楷体"/>
          <w:bCs/>
          <w:color w:val="auto"/>
          <w:sz w:val="32"/>
          <w:szCs w:val="32"/>
          <w:highlight w:val="none"/>
        </w:rPr>
      </w:pPr>
      <w:bookmarkStart w:id="111" w:name="_Toc19989_WPSOffice_Level2"/>
      <w:bookmarkStart w:id="112" w:name="_Toc15129_WPSOffice_Level2"/>
      <w:bookmarkStart w:id="113" w:name="_Toc10902_WPSOffice_Level2"/>
      <w:bookmarkStart w:id="114" w:name="_Toc29584_WPSOffice_Level2"/>
      <w:bookmarkStart w:id="115" w:name="_Toc527_WPSOffice_Level2"/>
      <w:bookmarkStart w:id="116" w:name="_Toc6016_WPSOffice_Level2"/>
      <w:r>
        <w:rPr>
          <w:rFonts w:hint="eastAsia" w:ascii="楷体" w:hAnsi="楷体" w:eastAsia="楷体" w:cs="楷体"/>
          <w:bCs/>
          <w:color w:val="auto"/>
          <w:sz w:val="32"/>
          <w:szCs w:val="32"/>
          <w:highlight w:val="none"/>
        </w:rPr>
        <w:t>（三）国有资产占用情况</w:t>
      </w:r>
      <w:bookmarkEnd w:id="111"/>
      <w:bookmarkEnd w:id="112"/>
      <w:bookmarkEnd w:id="113"/>
      <w:bookmarkEnd w:id="114"/>
      <w:bookmarkEnd w:id="115"/>
      <w:bookmarkEnd w:id="11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bCs/>
          <w:color w:val="auto"/>
          <w:sz w:val="32"/>
          <w:szCs w:val="32"/>
          <w:highlight w:val="none"/>
        </w:rPr>
        <w:t>截至</w:t>
      </w:r>
      <w:r>
        <w:rPr>
          <w:rFonts w:hint="default" w:ascii="仿宋_GB2312" w:hAnsi="ˎ̥" w:eastAsia="仿宋_GB2312"/>
          <w:bCs/>
          <w:color w:val="auto"/>
          <w:sz w:val="32"/>
          <w:szCs w:val="32"/>
          <w:highlight w:val="none"/>
          <w:lang w:val="en-US"/>
        </w:rPr>
        <w:t>2024</w:t>
      </w:r>
      <w:r>
        <w:rPr>
          <w:rFonts w:hint="eastAsia" w:ascii="仿宋_GB2312" w:hAnsi="ˎ̥" w:eastAsia="仿宋_GB2312"/>
          <w:bCs/>
          <w:color w:val="auto"/>
          <w:sz w:val="32"/>
          <w:szCs w:val="32"/>
          <w:highlight w:val="none"/>
        </w:rPr>
        <w:t>年12月31日，本</w:t>
      </w:r>
      <w:r>
        <w:rPr>
          <w:rFonts w:hint="eastAsia" w:ascii="仿宋_GB2312" w:hAnsi="ˎ̥" w:eastAsia="仿宋_GB2312"/>
          <w:bCs/>
          <w:color w:val="auto"/>
          <w:sz w:val="32"/>
          <w:szCs w:val="32"/>
          <w:highlight w:val="none"/>
          <w:lang w:eastAsia="zh-CN"/>
        </w:rPr>
        <w:t>单位</w:t>
      </w:r>
      <w:r>
        <w:rPr>
          <w:rFonts w:hint="eastAsia" w:ascii="仿宋_GB2312" w:hAnsi="ˎ̥" w:eastAsia="仿宋_GB2312"/>
          <w:bCs/>
          <w:color w:val="auto"/>
          <w:sz w:val="32"/>
          <w:szCs w:val="32"/>
          <w:highlight w:val="none"/>
        </w:rPr>
        <w:t>拥有</w:t>
      </w:r>
      <w:r>
        <w:rPr>
          <w:rFonts w:hint="eastAsia" w:ascii="仿宋_GB2312" w:hAnsi="ˎ̥" w:eastAsia="仿宋_GB2312"/>
          <w:color w:val="auto"/>
          <w:sz w:val="32"/>
          <w:szCs w:val="32"/>
          <w:highlight w:val="none"/>
        </w:rPr>
        <w:t>房屋面积</w:t>
      </w:r>
      <w:r>
        <w:rPr>
          <w:rFonts w:hint="eastAsia" w:ascii="仿宋_GB2312" w:hAnsi="ˎ̥" w:eastAsia="仿宋_GB2312"/>
          <w:color w:val="auto"/>
          <w:sz w:val="32"/>
          <w:szCs w:val="32"/>
          <w:highlight w:val="none"/>
          <w:lang w:val="en-US" w:eastAsia="zh-CN"/>
        </w:rPr>
        <w:t>5328</w:t>
      </w:r>
      <w:r>
        <w:rPr>
          <w:rFonts w:hint="eastAsia" w:ascii="仿宋_GB2312" w:hAnsi="ˎ̥" w:eastAsia="仿宋_GB2312"/>
          <w:color w:val="auto"/>
          <w:sz w:val="32"/>
          <w:szCs w:val="32"/>
          <w:highlight w:val="none"/>
        </w:rPr>
        <w:t>平方米</w:t>
      </w:r>
      <w:r>
        <w:rPr>
          <w:rFonts w:hint="eastAsia" w:ascii="仿宋_GB2312" w:hAnsi="ˎ̥" w:eastAsia="仿宋_GB2312"/>
          <w:color w:val="auto"/>
          <w:sz w:val="32"/>
          <w:szCs w:val="32"/>
          <w:highlight w:val="none"/>
          <w:lang w:eastAsia="zh-CN"/>
        </w:rPr>
        <w:t>。</w:t>
      </w:r>
    </w:p>
    <w:p>
      <w:pPr>
        <w:keepNext w:val="0"/>
        <w:keepLines w:val="0"/>
        <w:widowControl/>
        <w:suppressLineNumbers w:val="0"/>
        <w:autoSpaceDE w:val="0"/>
        <w:autoSpaceDN/>
        <w:spacing w:before="0" w:beforeAutospacing="0" w:after="0" w:afterAutospacing="0"/>
        <w:ind w:left="0" w:right="0" w:firstLine="640" w:firstLineChars="200"/>
        <w:rPr>
          <w:rFonts w:hint="eastAsia" w:ascii="仿宋_GB2312" w:hAnsi="ˎ̥" w:eastAsia="仿宋_GB2312" w:cs="仿宋_GB2312"/>
          <w:kern w:val="0"/>
          <w:sz w:val="32"/>
          <w:szCs w:val="32"/>
          <w:highlight w:val="none"/>
        </w:rPr>
      </w:pPr>
      <w:r>
        <w:rPr>
          <w:rFonts w:hint="eastAsia" w:ascii="仿宋_GB2312" w:hAnsi="ˎ̥" w:eastAsia="仿宋_GB2312" w:cs="仿宋_GB2312"/>
          <w:kern w:val="0"/>
          <w:sz w:val="32"/>
          <w:szCs w:val="32"/>
          <w:highlight w:val="none"/>
        </w:rPr>
        <w:t>本部门共有车辆1辆，其中：从车辆种类说明：轿车1辆；从车辆使用情况说明：其他用车1辆。</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s="仿宋_GB2312"/>
          <w:kern w:val="0"/>
          <w:sz w:val="32"/>
          <w:szCs w:val="32"/>
          <w:highlight w:val="none"/>
        </w:rPr>
        <w:t>单位价值50万元（含）以上通用设备0台（套），单价100万元（含）以上专用设备0台（套）。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上述国有资产占用情况相关数</w:t>
      </w:r>
      <w:r>
        <w:rPr>
          <w:rFonts w:hint="eastAsia" w:ascii="仿宋_GB2312" w:hAnsi="ˎ̥" w:eastAsia="仿宋_GB2312"/>
          <w:color w:val="auto"/>
          <w:sz w:val="32"/>
          <w:szCs w:val="32"/>
          <w:highlight w:val="none"/>
          <w:lang w:val="en-US" w:eastAsia="zh-CN"/>
        </w:rPr>
        <w:t>据</w:t>
      </w:r>
      <w:r>
        <w:rPr>
          <w:rFonts w:hint="eastAsia" w:ascii="仿宋_GB2312" w:hAnsi="ˎ̥" w:eastAsia="仿宋_GB2312"/>
          <w:color w:val="auto"/>
          <w:sz w:val="32"/>
          <w:szCs w:val="32"/>
          <w:highlight w:val="none"/>
        </w:rPr>
        <w:t>取自</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年度</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决算F0</w:t>
      </w:r>
      <w:r>
        <w:rPr>
          <w:rFonts w:hint="default" w:ascii="仿宋_GB2312" w:hAnsi="ˎ̥" w:eastAsia="仿宋_GB2312"/>
          <w:color w:val="auto"/>
          <w:sz w:val="32"/>
          <w:szCs w:val="32"/>
          <w:highlight w:val="none"/>
          <w:lang w:val="en-US"/>
        </w:rPr>
        <w:t>2</w:t>
      </w:r>
      <w:r>
        <w:rPr>
          <w:rFonts w:hint="eastAsia" w:ascii="仿宋_GB2312" w:hAnsi="ˎ̥" w:eastAsia="仿宋_GB2312"/>
          <w:color w:val="auto"/>
          <w:sz w:val="32"/>
          <w:szCs w:val="32"/>
          <w:highlight w:val="none"/>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eastAsia" w:ascii="黑体" w:hAnsi="ˎ̥" w:eastAsia="黑体"/>
          <w:color w:val="auto"/>
          <w:sz w:val="32"/>
          <w:szCs w:val="32"/>
          <w:highlight w:val="none"/>
        </w:rPr>
      </w:pPr>
      <w:bookmarkStart w:id="117" w:name="_Toc11039_WPSOffice_Level1"/>
      <w:bookmarkStart w:id="118" w:name="_Toc8808_WPSOffice_Level1"/>
      <w:bookmarkStart w:id="119" w:name="_Toc17580_WPSOffice_Level1"/>
      <w:bookmarkStart w:id="120" w:name="_Toc4398_WPSOffice_Level1"/>
      <w:bookmarkStart w:id="121" w:name="_Toc8874_WPSOffice_Level1"/>
      <w:bookmarkStart w:id="122"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eastAsia" w:ascii="黑体" w:hAnsi="ˎ̥" w:eastAsia="黑体"/>
          <w:color w:val="auto"/>
          <w:sz w:val="32"/>
          <w:szCs w:val="32"/>
          <w:highlight w:val="none"/>
        </w:rPr>
      </w:pPr>
      <w:r>
        <w:rPr>
          <w:rFonts w:hint="eastAsia" w:ascii="黑体" w:hAnsi="ˎ̥" w:eastAsia="黑体"/>
          <w:color w:val="auto"/>
          <w:sz w:val="32"/>
          <w:szCs w:val="32"/>
          <w:highlight w:val="none"/>
        </w:rPr>
        <w:t>第四部分  名词解释</w:t>
      </w:r>
      <w:bookmarkEnd w:id="117"/>
      <w:bookmarkEnd w:id="118"/>
      <w:bookmarkEnd w:id="119"/>
      <w:bookmarkEnd w:id="120"/>
      <w:bookmarkEnd w:id="121"/>
      <w:bookmarkEnd w:id="122"/>
    </w:p>
    <w:p>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eastAsia" w:ascii="黑体" w:hAnsi="ˎ̥" w:eastAsia="黑体"/>
          <w:color w:val="auto"/>
          <w:sz w:val="32"/>
          <w:szCs w:val="32"/>
          <w:highlight w:val="none"/>
        </w:rPr>
      </w:pP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财政拨款收入：指同级政府财政</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二、上级补助收入：指事业单位从主管</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jc w:val="both"/>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十六、</w:t>
      </w:r>
      <w:r>
        <w:rPr>
          <w:rFonts w:ascii="仿宋_GB2312" w:hAnsi="ˎ̥" w:eastAsia="仿宋_GB2312"/>
          <w:color w:val="auto"/>
          <w:sz w:val="32"/>
          <w:szCs w:val="32"/>
          <w:highlight w:val="none"/>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jc w:val="both"/>
        <w:textAlignment w:val="auto"/>
        <w:rPr>
          <w:rFonts w:ascii="仿宋_GB2312" w:hAnsi="ˎ̥" w:eastAsia="仿宋_GB2312"/>
          <w:color w:val="auto"/>
          <w:sz w:val="32"/>
          <w:szCs w:val="32"/>
          <w:highlight w:val="none"/>
        </w:rPr>
      </w:pPr>
      <w:r>
        <w:rPr>
          <w:rFonts w:hint="eastAsia" w:ascii="仿宋_GB2312" w:hAnsi="ˎ̥" w:eastAsia="仿宋_GB2312"/>
          <w:color w:val="auto"/>
          <w:sz w:val="32"/>
          <w:szCs w:val="32"/>
          <w:highlight w:val="none"/>
        </w:rPr>
        <w:t>XXXX（类）XXXX（款）XXXX（项），</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78" w:lineRule="exact"/>
        <w:ind w:firstLine="645"/>
        <w:jc w:val="both"/>
        <w:textAlignment w:val="auto"/>
        <w:rPr>
          <w:rFonts w:hint="default"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rPr>
        <w:t>XXXX（类）XXXX（款）XXXX（项），</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eastAsia" w:ascii="仿宋_GB2312" w:hAnsi="ˎ̥" w:eastAsia="仿宋_GB2312"/>
          <w:color w:val="auto"/>
          <w:sz w:val="32"/>
          <w:szCs w:val="32"/>
          <w:highlight w:val="none"/>
        </w:rPr>
      </w:pPr>
      <w:r>
        <w:rPr>
          <w:rFonts w:hint="eastAsia" w:ascii="仿宋_GB2312" w:hAnsi="ˎ̥" w:eastAsia="仿宋_GB2312"/>
          <w:color w:val="auto"/>
          <w:sz w:val="32"/>
          <w:szCs w:val="32"/>
          <w:highlight w:val="none"/>
        </w:rPr>
        <w:t>（注</w:t>
      </w:r>
      <w:r>
        <w:rPr>
          <w:rFonts w:ascii="仿宋_GB2312" w:hAnsi="ˎ̥" w:eastAsia="仿宋_GB2312"/>
          <w:color w:val="auto"/>
          <w:sz w:val="32"/>
          <w:szCs w:val="32"/>
          <w:highlight w:val="none"/>
        </w:rPr>
        <w:t>：</w:t>
      </w:r>
      <w:r>
        <w:rPr>
          <w:rFonts w:hint="eastAsia" w:ascii="仿宋_GB2312" w:hAnsi="ˎ̥" w:eastAsia="仿宋_GB2312"/>
          <w:color w:val="auto"/>
          <w:sz w:val="32"/>
          <w:szCs w:val="32"/>
          <w:highlight w:val="none"/>
        </w:rPr>
        <w:t>支出功能分类的名词解释，各</w:t>
      </w:r>
      <w:r>
        <w:rPr>
          <w:rFonts w:hint="eastAsia" w:ascii="仿宋_GB2312" w:hAnsi="ˎ̥" w:eastAsia="仿宋_GB2312"/>
          <w:color w:val="auto"/>
          <w:sz w:val="32"/>
          <w:szCs w:val="32"/>
          <w:highlight w:val="none"/>
          <w:lang w:val="en-US" w:eastAsia="zh-CN"/>
        </w:rPr>
        <w:t>预算</w:t>
      </w:r>
      <w:r>
        <w:rPr>
          <w:rFonts w:hint="eastAsia" w:ascii="仿宋_GB2312" w:hAnsi="ˎ̥" w:eastAsia="仿宋_GB2312"/>
          <w:color w:val="auto"/>
          <w:sz w:val="32"/>
          <w:szCs w:val="32"/>
          <w:highlight w:val="none"/>
          <w:lang w:eastAsia="zh-CN"/>
        </w:rPr>
        <w:t>单位、</w:t>
      </w:r>
      <w:r>
        <w:rPr>
          <w:rFonts w:hint="eastAsia" w:ascii="仿宋_GB2312" w:hAnsi="ˎ̥" w:eastAsia="仿宋_GB2312"/>
          <w:color w:val="auto"/>
          <w:sz w:val="32"/>
          <w:szCs w:val="32"/>
          <w:highlight w:val="none"/>
        </w:rPr>
        <w:t>单位根据实际支出情况填列，可参阅财政部印发的《</w:t>
      </w:r>
      <w:r>
        <w:rPr>
          <w:rFonts w:hint="default" w:ascii="仿宋_GB2312" w:hAnsi="ˎ̥" w:eastAsia="仿宋_GB2312"/>
          <w:color w:val="auto"/>
          <w:sz w:val="32"/>
          <w:szCs w:val="32"/>
          <w:highlight w:val="none"/>
          <w:lang w:val="en-US"/>
        </w:rPr>
        <w:t>2024</w:t>
      </w:r>
      <w:r>
        <w:rPr>
          <w:rFonts w:hint="eastAsia" w:ascii="仿宋_GB2312" w:hAnsi="ˎ̥" w:eastAsia="仿宋_GB2312"/>
          <w:color w:val="auto"/>
          <w:sz w:val="32"/>
          <w:szCs w:val="32"/>
          <w:highlight w:val="none"/>
        </w:rPr>
        <w:t>年政府收支分类科目》</w:t>
      </w:r>
      <w:r>
        <w:rPr>
          <w:rFonts w:hint="eastAsia" w:ascii="仿宋_GB2312" w:hAnsi="ˎ̥" w:eastAsia="仿宋_GB2312"/>
          <w:color w:val="auto"/>
          <w:sz w:val="32"/>
          <w:szCs w:val="32"/>
          <w:highlight w:val="none"/>
          <w:lang w:eastAsia="zh-CN"/>
        </w:rPr>
        <w:t>。</w:t>
      </w:r>
      <w:r>
        <w:rPr>
          <w:rFonts w:hint="eastAsia" w:ascii="仿宋_GB2312" w:hAnsi="ˎ̥" w:eastAsia="仿宋_GB2312"/>
          <w:color w:val="auto"/>
          <w:sz w:val="32"/>
          <w:szCs w:val="32"/>
          <w:highlight w:val="none"/>
        </w:rPr>
        <w:t>）</w:t>
      </w:r>
    </w:p>
    <w:p>
      <w:pPr>
        <w:rPr>
          <w:rFonts w:hint="eastAsia"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lang w:val="en-US" w:eastAsia="zh-CN"/>
        </w:rPr>
        <w:br w:type="page"/>
      </w:r>
    </w:p>
    <w:p>
      <w:pPr>
        <w:pStyle w:val="7"/>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line="600" w:lineRule="exact"/>
        <w:ind w:left="0" w:right="0" w:firstLine="0"/>
        <w:jc w:val="left"/>
        <w:textAlignment w:val="auto"/>
        <w:rPr>
          <w:rFonts w:hint="eastAsia" w:ascii="仿宋_GB2312" w:hAnsi="ˎ̥" w:eastAsia="仿宋_GB2312"/>
          <w:color w:val="auto"/>
          <w:sz w:val="32"/>
          <w:szCs w:val="32"/>
          <w:highlight w:val="none"/>
          <w:lang w:val="en-US" w:eastAsia="zh-CN"/>
        </w:rPr>
      </w:pPr>
      <w:r>
        <w:rPr>
          <w:rFonts w:hint="eastAsia" w:ascii="仿宋_GB2312" w:hAnsi="ˎ̥" w:eastAsia="仿宋_GB2312"/>
          <w:color w:val="auto"/>
          <w:sz w:val="32"/>
          <w:szCs w:val="32"/>
          <w:highlight w:val="none"/>
          <w:lang w:val="en-US" w:eastAsia="zh-CN"/>
        </w:rPr>
        <w:t>附件1</w:t>
      </w:r>
      <w:bookmarkStart w:id="123" w:name="OLE_LINK2"/>
    </w:p>
    <w:p>
      <w:pPr>
        <w:pStyle w:val="7"/>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snapToGrid/>
        <w:spacing w:beforeAutospacing="0" w:afterAutospacing="0" w:line="720" w:lineRule="exact"/>
        <w:ind w:left="0" w:right="0" w:firstLine="0"/>
        <w:jc w:val="center"/>
        <w:textAlignment w:val="auto"/>
        <w:rPr>
          <w:rFonts w:hint="eastAsia" w:ascii="方正小标宋_GBK" w:hAnsi="方正小标宋_GBK" w:eastAsia="方正小标宋_GBK" w:cs="方正小标宋_GBK"/>
          <w:b w:val="0"/>
          <w:bCs/>
          <w:i w:val="0"/>
          <w:caps w:val="0"/>
          <w:color w:val="000000"/>
          <w:spacing w:val="0"/>
          <w:sz w:val="44"/>
          <w:szCs w:val="44"/>
          <w:highlight w:val="none"/>
          <w:shd w:val="clear" w:fill="FFFFFF"/>
        </w:rPr>
      </w:pPr>
      <w:r>
        <w:rPr>
          <w:rFonts w:hint="eastAsia" w:ascii="方正小标宋_GBK" w:hAnsi="方正小标宋_GBK" w:eastAsia="方正小标宋_GBK" w:cs="方正小标宋_GBK"/>
          <w:b w:val="0"/>
          <w:bCs/>
          <w:i w:val="0"/>
          <w:caps w:val="0"/>
          <w:spacing w:val="0"/>
          <w:kern w:val="0"/>
          <w:sz w:val="44"/>
          <w:szCs w:val="44"/>
          <w:highlight w:val="none"/>
          <w:shd w:val="clear" w:fill="FFFFFF"/>
          <w:lang w:val="en-US" w:eastAsia="zh-CN" w:bidi="ar"/>
        </w:rPr>
        <w:t>2024年</w:t>
      </w:r>
      <w:r>
        <w:rPr>
          <w:rFonts w:hint="default" w:ascii="方正小标宋_GBK" w:hAnsi="方正小标宋_GBK" w:eastAsia="方正小标宋_GBK" w:cs="方正小标宋_GBK"/>
          <w:b w:val="0"/>
          <w:bCs/>
          <w:i w:val="0"/>
          <w:caps w:val="0"/>
          <w:spacing w:val="0"/>
          <w:kern w:val="0"/>
          <w:sz w:val="44"/>
          <w:szCs w:val="44"/>
          <w:highlight w:val="none"/>
          <w:shd w:val="clear" w:fill="FFFFFF"/>
          <w:lang w:eastAsia="zh-CN" w:bidi="ar"/>
        </w:rPr>
        <w:t>屯昌县</w:t>
      </w:r>
      <w:bookmarkStart w:id="124" w:name="OLE_LINK5"/>
      <w:r>
        <w:rPr>
          <w:rFonts w:hint="eastAsia" w:ascii="方正小标宋_GBK" w:hAnsi="方正小标宋_GBK" w:eastAsia="方正小标宋_GBK" w:cs="方正小标宋_GBK"/>
          <w:b w:val="0"/>
          <w:bCs/>
          <w:i w:val="0"/>
          <w:caps w:val="0"/>
          <w:spacing w:val="0"/>
          <w:kern w:val="0"/>
          <w:sz w:val="44"/>
          <w:szCs w:val="44"/>
          <w:highlight w:val="none"/>
          <w:shd w:val="clear" w:fill="FFFFFF"/>
          <w:lang w:val="en-US" w:eastAsia="zh-CN" w:bidi="ar"/>
        </w:rPr>
        <w:t>义务教育薄弱环节改善与能力提升补助资金</w:t>
      </w:r>
      <w:bookmarkEnd w:id="124"/>
      <w:r>
        <w:rPr>
          <w:rFonts w:hint="eastAsia" w:ascii="方正小标宋_GBK" w:hAnsi="方正小标宋_GBK" w:eastAsia="方正小标宋_GBK" w:cs="方正小标宋_GBK"/>
          <w:b w:val="0"/>
          <w:bCs/>
          <w:i w:val="0"/>
          <w:caps w:val="0"/>
          <w:color w:val="000000"/>
          <w:spacing w:val="0"/>
          <w:sz w:val="44"/>
          <w:szCs w:val="44"/>
          <w:highlight w:val="none"/>
          <w:shd w:val="clear" w:fill="FFFFFF"/>
        </w:rPr>
        <w:t>部门绩效</w:t>
      </w:r>
      <w:r>
        <w:rPr>
          <w:rFonts w:hint="eastAsia" w:ascii="方正小标宋_GBK" w:hAnsi="方正小标宋_GBK" w:eastAsia="方正小标宋_GBK" w:cs="方正小标宋_GBK"/>
          <w:b w:val="0"/>
          <w:bCs/>
          <w:i w:val="0"/>
          <w:caps w:val="0"/>
          <w:color w:val="000000"/>
          <w:spacing w:val="0"/>
          <w:sz w:val="44"/>
          <w:szCs w:val="44"/>
          <w:highlight w:val="none"/>
          <w:shd w:val="clear" w:fill="FFFFFF"/>
          <w:lang w:val="en-US" w:eastAsia="zh-CN"/>
        </w:rPr>
        <w:t>自评</w:t>
      </w:r>
      <w:r>
        <w:rPr>
          <w:rFonts w:hint="eastAsia" w:ascii="方正小标宋_GBK" w:hAnsi="方正小标宋_GBK" w:eastAsia="方正小标宋_GBK" w:cs="方正小标宋_GBK"/>
          <w:b w:val="0"/>
          <w:bCs/>
          <w:i w:val="0"/>
          <w:caps w:val="0"/>
          <w:color w:val="000000"/>
          <w:spacing w:val="0"/>
          <w:sz w:val="44"/>
          <w:szCs w:val="44"/>
          <w:highlight w:val="none"/>
          <w:shd w:val="clear" w:fill="FFFFFF"/>
        </w:rPr>
        <w:t>报告</w:t>
      </w:r>
    </w:p>
    <w:p>
      <w:pPr>
        <w:pStyle w:val="8"/>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shd w:val="clear" w:fill="FFFFFF"/>
        </w:rPr>
      </w:pPr>
    </w:p>
    <w:p>
      <w:pPr>
        <w:pStyle w:val="8"/>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964" w:firstLineChars="300"/>
        <w:textAlignment w:val="auto"/>
        <w:rPr>
          <w:rFonts w:hint="eastAsia" w:ascii="仿宋_GB2312" w:hAnsi="仿宋_GB2312" w:eastAsia="仿宋_GB2312" w:cs="仿宋_GB2312"/>
          <w:b/>
          <w:i w:val="0"/>
          <w:caps w:val="0"/>
          <w:color w:val="000000"/>
          <w:spacing w:val="0"/>
          <w:sz w:val="32"/>
          <w:szCs w:val="32"/>
          <w:highlight w:val="none"/>
        </w:rPr>
      </w:pPr>
      <w:bookmarkStart w:id="128" w:name="_GoBack"/>
      <w:bookmarkEnd w:id="128"/>
      <w:r>
        <w:rPr>
          <w:rFonts w:hint="eastAsia" w:ascii="仿宋_GB2312" w:hAnsi="仿宋_GB2312" w:eastAsia="仿宋_GB2312" w:cs="仿宋_GB2312"/>
          <w:b/>
          <w:i w:val="0"/>
          <w:caps w:val="0"/>
          <w:color w:val="000000"/>
          <w:spacing w:val="0"/>
          <w:sz w:val="32"/>
          <w:szCs w:val="32"/>
          <w:highlight w:val="none"/>
          <w:shd w:val="clear" w:fill="FFFFFF"/>
        </w:rPr>
        <w:t>一、项目概况</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（一）项目基本情况</w:t>
      </w:r>
    </w:p>
    <w:p>
      <w:pPr>
        <w:keepNext w:val="0"/>
        <w:keepLines w:val="0"/>
        <w:pageBreakBefore w:val="0"/>
        <w:widowControl w:val="0"/>
        <w:suppressLineNumbers w:val="0"/>
        <w:shd w:val="clear" w:fill="FFFFFF"/>
        <w:kinsoku/>
        <w:wordWrap/>
        <w:overflowPunct/>
        <w:topLinePunct w:val="0"/>
        <w:autoSpaceDE/>
        <w:autoSpaceDN/>
        <w:bidi w:val="0"/>
        <w:adjustRightInd w:val="0"/>
        <w:snapToGrid w:val="0"/>
        <w:spacing w:before="0" w:beforeAutospacing="0" w:after="0" w:afterAutospacing="0" w:line="592" w:lineRule="exact"/>
        <w:ind w:left="0" w:right="0" w:firstLine="640" w:firstLineChars="200"/>
        <w:jc w:val="both"/>
        <w:textAlignment w:val="auto"/>
        <w:rPr>
          <w:rFonts w:hint="default" w:ascii="仿宋_GB2312" w:hAnsi="仿宋_GB2312" w:eastAsia="仿宋_GB2312" w:cs="仿宋_GB2312"/>
          <w:i w:val="0"/>
          <w:caps w:val="0"/>
          <w:spacing w:val="0"/>
          <w:sz w:val="32"/>
          <w:szCs w:val="32"/>
          <w:highlight w:val="none"/>
          <w:lang w:val="en-US" w:eastAsia="zh-CN"/>
        </w:rPr>
      </w:pPr>
      <w:bookmarkStart w:id="125" w:name="OLE_LINK1"/>
      <w:r>
        <w:rPr>
          <w:rFonts w:hint="default" w:ascii="仿宋_GB2312" w:hAnsi="仿宋_GB2312" w:eastAsia="仿宋_GB2312" w:cs="仿宋_GB2312"/>
          <w:i w:val="0"/>
          <w:caps w:val="0"/>
          <w:spacing w:val="0"/>
          <w:kern w:val="0"/>
          <w:sz w:val="32"/>
          <w:szCs w:val="32"/>
          <w:highlight w:val="none"/>
          <w:shd w:val="clear" w:fill="FFFFFF"/>
          <w:lang w:eastAsia="zh-CN" w:bidi="ar"/>
        </w:rPr>
        <w:t>省教育厅下</w:t>
      </w:r>
      <w:r>
        <w:rPr>
          <w:rFonts w:hint="eastAsia" w:ascii="仿宋_GB2312" w:hAnsi="仿宋_GB2312" w:eastAsia="仿宋_GB2312" w:cs="仿宋_GB2312"/>
          <w:i w:val="0"/>
          <w:caps w:val="0"/>
          <w:spacing w:val="0"/>
          <w:kern w:val="0"/>
          <w:sz w:val="32"/>
          <w:szCs w:val="32"/>
          <w:highlight w:val="none"/>
          <w:shd w:val="clear" w:fill="FFFFFF"/>
          <w:lang w:eastAsia="zh-CN" w:bidi="ar"/>
        </w:rPr>
        <w:t>达</w:t>
      </w:r>
      <w:r>
        <w:rPr>
          <w:rFonts w:hint="default" w:ascii="仿宋_GB2312" w:hAnsi="仿宋_GB2312" w:eastAsia="仿宋_GB2312" w:cs="仿宋_GB2312"/>
          <w:i w:val="0"/>
          <w:caps w:val="0"/>
          <w:spacing w:val="0"/>
          <w:kern w:val="0"/>
          <w:sz w:val="32"/>
          <w:szCs w:val="32"/>
          <w:highlight w:val="none"/>
          <w:shd w:val="clear" w:fill="FFFFFF"/>
          <w:lang w:eastAsia="zh-CN" w:bidi="ar"/>
        </w:rPr>
        <w:t>我县</w:t>
      </w:r>
      <w:r>
        <w:rPr>
          <w:rFonts w:hint="eastAsia" w:ascii="仿宋_GB2312" w:hAnsi="仿宋_GB2312" w:eastAsia="仿宋_GB2312" w:cs="仿宋_GB2312"/>
          <w:i w:val="0"/>
          <w:caps w:val="0"/>
          <w:spacing w:val="0"/>
          <w:kern w:val="0"/>
          <w:sz w:val="32"/>
          <w:szCs w:val="32"/>
          <w:highlight w:val="none"/>
          <w:shd w:val="clear" w:fill="FFFFFF"/>
          <w:lang w:val="en-US" w:eastAsia="zh-CN" w:bidi="ar"/>
        </w:rPr>
        <w:t>2024年义务教育薄弱环节改善与能力提升补助资金</w:t>
      </w:r>
      <w:bookmarkEnd w:id="125"/>
      <w:r>
        <w:rPr>
          <w:rFonts w:hint="eastAsia" w:ascii="仿宋_GB2312" w:hAnsi="仿宋_GB2312" w:eastAsia="仿宋_GB2312" w:cs="仿宋_GB2312"/>
          <w:i w:val="0"/>
          <w:caps w:val="0"/>
          <w:spacing w:val="0"/>
          <w:kern w:val="0"/>
          <w:sz w:val="32"/>
          <w:szCs w:val="32"/>
          <w:highlight w:val="none"/>
          <w:shd w:val="clear" w:fill="FFFFFF"/>
          <w:lang w:val="en-US" w:eastAsia="zh-CN" w:bidi="ar"/>
        </w:rPr>
        <w:t>2344万元</w:t>
      </w:r>
      <w:r>
        <w:rPr>
          <w:rFonts w:hint="default" w:ascii="仿宋_GB2312" w:hAnsi="仿宋_GB2312" w:eastAsia="仿宋_GB2312" w:cs="仿宋_GB2312"/>
          <w:i w:val="0"/>
          <w:caps w:val="0"/>
          <w:spacing w:val="0"/>
          <w:kern w:val="0"/>
          <w:sz w:val="32"/>
          <w:szCs w:val="32"/>
          <w:highlight w:val="none"/>
          <w:shd w:val="clear" w:fill="FFFFFF"/>
          <w:lang w:eastAsia="zh-CN" w:bidi="ar"/>
        </w:rPr>
        <w:t>（中央资金1727万元，省级资金627万元）</w:t>
      </w:r>
      <w:r>
        <w:rPr>
          <w:rFonts w:hint="eastAsia" w:ascii="仿宋_GB2312" w:hAnsi="仿宋_GB2312" w:eastAsia="仿宋_GB2312" w:cs="仿宋_GB2312"/>
          <w:i w:val="0"/>
          <w:caps w:val="0"/>
          <w:spacing w:val="0"/>
          <w:kern w:val="0"/>
          <w:sz w:val="32"/>
          <w:szCs w:val="32"/>
          <w:highlight w:val="none"/>
          <w:shd w:val="clear" w:fill="FFFFFF"/>
          <w:lang w:val="en-US" w:eastAsia="zh-CN" w:bidi="ar"/>
        </w:rPr>
        <w:t>，</w:t>
      </w:r>
      <w:r>
        <w:rPr>
          <w:rFonts w:hint="eastAsia" w:ascii="仿宋_GB2312" w:hAnsi="Calibri" w:eastAsia="仿宋_GB2312" w:cs="仿宋_GB2312"/>
          <w:kern w:val="2"/>
          <w:sz w:val="32"/>
          <w:szCs w:val="32"/>
          <w:highlight w:val="none"/>
          <w:lang w:val="en-US" w:eastAsia="zh-CN" w:bidi="ar"/>
        </w:rPr>
        <w:t>其中用于校舍类建设1935万元，屯城镇向阳中心小学四区（光明小学）学生食堂宿舍楼和南吕镇南吕中心小学、屯昌县枫木镇枫木中心小学综合教学楼、坡心镇中建学校教学综合楼等4个项目；409万元用于设备采购。目前城镇向阳中心小学四区（光明小学）学生食堂宿舍楼和南吕镇南吕中心小学已完工并交付使用；坡心镇中建学校教学综合楼已完工待验收；屯昌县枫木镇枫木中心小学综合教学楼已完成主体分部验收，正在进行室内外整修，计划7月完工，设备采购已全部交付使用。</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（二）项目绩效目标设定情况</w:t>
      </w:r>
    </w:p>
    <w:p>
      <w:pPr>
        <w:pStyle w:val="27"/>
        <w:keepNext w:val="0"/>
        <w:keepLines w:val="0"/>
        <w:pageBreakBefore w:val="0"/>
        <w:widowControl/>
        <w:kinsoku/>
        <w:wordWrap/>
        <w:overflowPunct/>
        <w:topLinePunct w:val="0"/>
        <w:autoSpaceDE/>
        <w:autoSpaceDN/>
        <w:bidi w:val="0"/>
        <w:adjustRightInd/>
        <w:snapToGrid/>
        <w:spacing w:line="560" w:lineRule="exact"/>
        <w:ind w:left="0" w:firstLine="640" w:firstLineChars="200"/>
        <w:jc w:val="both"/>
        <w:textAlignment w:val="auto"/>
        <w:rPr>
          <w:rFonts w:hint="eastAsia" w:ascii="仿宋_GB2312" w:hAnsi="仿宋_GB2312" w:eastAsia="仿宋_GB2312" w:cs="仿宋_GB2312"/>
          <w:i w:val="0"/>
          <w:caps w:val="0"/>
          <w:spacing w:val="0"/>
          <w:sz w:val="32"/>
          <w:szCs w:val="32"/>
          <w:highlight w:val="none"/>
        </w:rPr>
      </w:pPr>
      <w:r>
        <w:rPr>
          <w:rFonts w:hint="eastAsia" w:ascii="仿宋_GB2312" w:hAnsi="仿宋_GB2312" w:eastAsia="仿宋_GB2312" w:cs="仿宋_GB2312"/>
          <w:i w:val="0"/>
          <w:caps w:val="0"/>
          <w:spacing w:val="0"/>
          <w:kern w:val="0"/>
          <w:sz w:val="32"/>
          <w:szCs w:val="32"/>
          <w:highlight w:val="none"/>
          <w:shd w:val="clear" w:fill="FFFFFF"/>
          <w:lang w:val="en-US" w:eastAsia="zh-CN" w:bidi="ar"/>
        </w:rPr>
        <w:t>总体目标为：义务教育薄弱环节改善与能力提升补助资金支出比例不少75%，</w:t>
      </w:r>
      <w:r>
        <w:rPr>
          <w:rFonts w:hint="eastAsia" w:ascii="仿宋_GB2312" w:hAnsi="仿宋_GB2312" w:eastAsia="仿宋_GB2312" w:cs="仿宋_GB2312"/>
          <w:color w:val="auto"/>
          <w:sz w:val="32"/>
          <w:szCs w:val="32"/>
          <w:highlight w:val="none"/>
          <w:lang w:val="en-US" w:eastAsia="zh-CN"/>
        </w:rPr>
        <w:t>截至2024年12月底已支出1834万元（校舍类1133.47万元，设备类575万元），未支出511.23万元，支出率78.2%；</w:t>
      </w:r>
      <w:r>
        <w:rPr>
          <w:rFonts w:hint="eastAsia" w:ascii="仿宋_GB2312" w:hAnsi="仿宋_GB2312" w:eastAsia="仿宋_GB2312" w:cs="仿宋_GB2312"/>
          <w:i w:val="0"/>
          <w:caps w:val="0"/>
          <w:spacing w:val="0"/>
          <w:kern w:val="0"/>
          <w:sz w:val="32"/>
          <w:szCs w:val="32"/>
          <w:highlight w:val="none"/>
          <w:shd w:val="clear" w:fill="FFFFFF"/>
          <w:lang w:val="en-US" w:eastAsia="zh-CN" w:bidi="ar"/>
        </w:rPr>
        <w:t>义务教育薄弱环节改善与能力提升补助资金项目验收合格率达100%；服务对象满意度指标（学校满意度、学校老师满意度、学校学生满意度）不少85%。</w:t>
      </w:r>
    </w:p>
    <w:p>
      <w:pPr>
        <w:pStyle w:val="8"/>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二、项目决策及资金使用管理情况</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（一）项目决策情况</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beforeAutospacing="0" w:afterAutospacing="0" w:line="592" w:lineRule="exact"/>
        <w:ind w:firstLine="640" w:firstLineChars="200"/>
        <w:jc w:val="both"/>
        <w:textAlignment w:val="auto"/>
        <w:rPr>
          <w:rFonts w:hint="eastAsia" w:ascii="仿宋_GB2312" w:hAnsi="仿宋_GB2312" w:eastAsia="仿宋_GB2312" w:cs="仿宋_GB2312"/>
          <w:i w:val="0"/>
          <w:caps w:val="0"/>
          <w:spacing w:val="0"/>
          <w:sz w:val="32"/>
          <w:szCs w:val="32"/>
          <w:highlight w:val="none"/>
        </w:rPr>
      </w:pPr>
      <w:r>
        <w:rPr>
          <w:rFonts w:hint="eastAsia" w:ascii="仿宋_GB2312" w:hAnsi="仿宋_GB2312" w:eastAsia="仿宋_GB2312" w:cs="仿宋_GB2312"/>
          <w:i w:val="0"/>
          <w:caps w:val="0"/>
          <w:spacing w:val="0"/>
          <w:kern w:val="0"/>
          <w:sz w:val="32"/>
          <w:szCs w:val="32"/>
          <w:highlight w:val="none"/>
          <w:shd w:val="clear" w:fill="FFFFFF"/>
          <w:lang w:val="en-US" w:eastAsia="zh-CN" w:bidi="ar"/>
        </w:rPr>
        <w:t>项目决策遵循义务教育薄弱环节改善与能力提升项</w:t>
      </w:r>
      <w:r>
        <w:rPr>
          <w:rFonts w:hint="default" w:ascii="仿宋_GB2312" w:hAnsi="仿宋_GB2312" w:eastAsia="仿宋_GB2312" w:cs="仿宋_GB2312"/>
          <w:i w:val="0"/>
          <w:caps w:val="0"/>
          <w:spacing w:val="0"/>
          <w:kern w:val="0"/>
          <w:sz w:val="32"/>
          <w:szCs w:val="32"/>
          <w:highlight w:val="none"/>
          <w:shd w:val="clear" w:fill="FFFFFF"/>
          <w:lang w:eastAsia="zh-CN" w:bidi="ar"/>
        </w:rPr>
        <w:t>目</w:t>
      </w:r>
      <w:r>
        <w:rPr>
          <w:rFonts w:hint="eastAsia" w:ascii="仿宋_GB2312" w:hAnsi="仿宋_GB2312" w:eastAsia="仿宋_GB2312" w:cs="仿宋_GB2312"/>
          <w:i w:val="0"/>
          <w:caps w:val="0"/>
          <w:spacing w:val="0"/>
          <w:kern w:val="0"/>
          <w:sz w:val="32"/>
          <w:szCs w:val="32"/>
          <w:highlight w:val="none"/>
          <w:shd w:val="clear" w:fill="FFFFFF"/>
          <w:lang w:val="en-US" w:eastAsia="zh-CN" w:bidi="ar"/>
        </w:rPr>
        <w:t>规划，先由教育部门编制好规划，根据省教育厅下达资金进行二次分配，经征求财政局、发改委等部门意见，再报县政府专题会议研究，最后报县政府常务会审定。</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（二）项目资金到位及使用情况</w:t>
      </w:r>
    </w:p>
    <w:tbl>
      <w:tblPr>
        <w:tblStyle w:val="16"/>
        <w:tblW w:w="86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
      <w:tblGrid>
        <w:gridCol w:w="1902"/>
        <w:gridCol w:w="2189"/>
        <w:gridCol w:w="2274"/>
        <w:gridCol w:w="2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rPr>
          <w:tblHeader/>
        </w:trPr>
        <w:tc>
          <w:tcPr>
            <w:tcW w:w="1902"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both"/>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kern w:val="0"/>
                <w:sz w:val="32"/>
                <w:szCs w:val="32"/>
                <w:highlight w:val="none"/>
                <w:lang w:val="en-US" w:eastAsia="zh-CN" w:bidi="ar"/>
              </w:rPr>
              <w:t>资金类型</w:t>
            </w:r>
          </w:p>
        </w:tc>
        <w:tc>
          <w:tcPr>
            <w:tcW w:w="2189"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both"/>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kern w:val="0"/>
                <w:sz w:val="32"/>
                <w:szCs w:val="32"/>
                <w:highlight w:val="none"/>
                <w:lang w:val="en-US" w:eastAsia="zh-CN" w:bidi="ar"/>
              </w:rPr>
              <w:t>年初预算数</w:t>
            </w:r>
          </w:p>
        </w:tc>
        <w:tc>
          <w:tcPr>
            <w:tcW w:w="2274"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both"/>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kern w:val="0"/>
                <w:sz w:val="32"/>
                <w:szCs w:val="32"/>
                <w:highlight w:val="none"/>
                <w:lang w:val="en-US" w:eastAsia="zh-CN" w:bidi="ar"/>
              </w:rPr>
              <w:t>全年预算数</w:t>
            </w:r>
          </w:p>
        </w:tc>
        <w:tc>
          <w:tcPr>
            <w:tcW w:w="2261"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both"/>
              <w:textAlignment w:val="auto"/>
              <w:rPr>
                <w:rFonts w:hint="default" w:ascii="仿宋_GB2312" w:hAnsi="仿宋_GB2312" w:eastAsia="仿宋_GB2312" w:cs="仿宋_GB2312"/>
                <w:b/>
                <w:kern w:val="0"/>
                <w:sz w:val="32"/>
                <w:szCs w:val="32"/>
                <w:highlight w:val="none"/>
                <w:lang w:val="en-US" w:eastAsia="zh-CN" w:bidi="ar"/>
              </w:rPr>
            </w:pPr>
            <w:r>
              <w:rPr>
                <w:rFonts w:hint="eastAsia" w:ascii="仿宋_GB2312" w:hAnsi="仿宋_GB2312" w:eastAsia="仿宋_GB2312" w:cs="仿宋_GB2312"/>
                <w:b/>
                <w:kern w:val="0"/>
                <w:sz w:val="32"/>
                <w:szCs w:val="32"/>
                <w:highlight w:val="none"/>
                <w:lang w:val="en-US" w:eastAsia="zh-CN" w:bidi="ar"/>
              </w:rPr>
              <w:t>全年执行数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c>
          <w:tcPr>
            <w:tcW w:w="1902"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bidi="ar"/>
              </w:rPr>
              <w:t>资金总额</w:t>
            </w:r>
          </w:p>
        </w:tc>
        <w:tc>
          <w:tcPr>
            <w:tcW w:w="2189"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sz w:val="32"/>
                <w:szCs w:val="32"/>
                <w:highlight w:val="none"/>
              </w:rPr>
            </w:pPr>
            <w:bookmarkStart w:id="126" w:name="OLE_LINK3"/>
            <w:r>
              <w:rPr>
                <w:rFonts w:hint="eastAsia" w:ascii="仿宋_GB2312" w:hAnsi="仿宋_GB2312" w:eastAsia="仿宋_GB2312" w:cs="仿宋_GB2312"/>
                <w:kern w:val="0"/>
                <w:sz w:val="32"/>
                <w:szCs w:val="32"/>
                <w:highlight w:val="none"/>
                <w:lang w:val="en-US" w:eastAsia="zh-CN" w:bidi="ar"/>
              </w:rPr>
              <w:t>23440000</w:t>
            </w:r>
            <w:bookmarkEnd w:id="126"/>
          </w:p>
        </w:tc>
        <w:tc>
          <w:tcPr>
            <w:tcW w:w="2274"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bidi="ar"/>
              </w:rPr>
              <w:t>23440000</w:t>
            </w:r>
          </w:p>
        </w:tc>
        <w:tc>
          <w:tcPr>
            <w:tcW w:w="2261"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default" w:ascii="仿宋_GB2312" w:hAnsi="仿宋_GB2312" w:eastAsia="仿宋_GB2312" w:cs="仿宋_GB2312"/>
                <w:kern w:val="0"/>
                <w:sz w:val="32"/>
                <w:szCs w:val="32"/>
                <w:highlight w:val="none"/>
                <w:lang w:val="en-US" w:eastAsia="zh-CN" w:bidi="ar"/>
              </w:rPr>
            </w:pPr>
            <w:bookmarkStart w:id="127" w:name="OLE_LINK4"/>
            <w:r>
              <w:rPr>
                <w:rFonts w:hint="eastAsia" w:ascii="仿宋_GB2312" w:hAnsi="仿宋_GB2312" w:eastAsia="仿宋_GB2312" w:cs="仿宋_GB2312"/>
                <w:kern w:val="0"/>
                <w:sz w:val="32"/>
                <w:szCs w:val="32"/>
                <w:highlight w:val="none"/>
                <w:lang w:val="en-US" w:eastAsia="zh-CN" w:bidi="ar"/>
              </w:rPr>
              <w:t>18341553.58</w:t>
            </w:r>
            <w:bookmarkEnd w:id="12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15" w:type="dxa"/>
            <w:left w:w="15" w:type="dxa"/>
            <w:bottom w:w="15" w:type="dxa"/>
            <w:right w:w="15" w:type="dxa"/>
          </w:tblCellMar>
        </w:tblPrEx>
        <w:tc>
          <w:tcPr>
            <w:tcW w:w="1902"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bidi="ar"/>
              </w:rPr>
              <w:t>财政资金</w:t>
            </w:r>
          </w:p>
        </w:tc>
        <w:tc>
          <w:tcPr>
            <w:tcW w:w="2189"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bidi="ar"/>
              </w:rPr>
              <w:t>23440000</w:t>
            </w:r>
          </w:p>
        </w:tc>
        <w:tc>
          <w:tcPr>
            <w:tcW w:w="2274"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0"/>
                <w:sz w:val="32"/>
                <w:szCs w:val="32"/>
                <w:highlight w:val="none"/>
                <w:lang w:val="en-US" w:eastAsia="zh-CN" w:bidi="ar"/>
              </w:rPr>
              <w:t>23440000</w:t>
            </w:r>
          </w:p>
        </w:tc>
        <w:tc>
          <w:tcPr>
            <w:tcW w:w="2261" w:type="dxa"/>
            <w:tcBorders>
              <w:tl2br w:val="nil"/>
              <w:tr2bl w:val="nil"/>
            </w:tcBorders>
            <w:shd w:val="clear" w:color="auto" w:fill="auto"/>
            <w:tcMar>
              <w:top w:w="144" w:type="dxa"/>
              <w:left w:w="216" w:type="dxa"/>
              <w:bottom w:w="144" w:type="dxa"/>
              <w:right w:w="216" w:type="dxa"/>
            </w:tcMar>
            <w:vAlign w:val="center"/>
          </w:tcPr>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jc w:val="left"/>
              <w:textAlignment w:val="auto"/>
              <w:rPr>
                <w:rFonts w:hint="eastAsia" w:ascii="仿宋_GB2312" w:hAnsi="仿宋_GB2312" w:eastAsia="仿宋_GB2312" w:cs="仿宋_GB2312"/>
                <w:kern w:val="0"/>
                <w:sz w:val="32"/>
                <w:szCs w:val="32"/>
                <w:highlight w:val="none"/>
                <w:lang w:val="en-US" w:eastAsia="zh-CN" w:bidi="ar"/>
              </w:rPr>
            </w:pPr>
            <w:r>
              <w:rPr>
                <w:rFonts w:hint="eastAsia" w:ascii="仿宋_GB2312" w:hAnsi="仿宋_GB2312" w:eastAsia="仿宋_GB2312" w:cs="仿宋_GB2312"/>
                <w:kern w:val="0"/>
                <w:sz w:val="32"/>
                <w:szCs w:val="32"/>
                <w:highlight w:val="none"/>
                <w:lang w:val="en-US" w:eastAsia="zh-CN" w:bidi="ar"/>
              </w:rPr>
              <w:t>18341553.58</w:t>
            </w:r>
          </w:p>
        </w:tc>
      </w:tr>
    </w:tbl>
    <w:p>
      <w:pPr>
        <w:keepNext w:val="0"/>
        <w:keepLines w:val="0"/>
        <w:pageBreakBefore w:val="0"/>
        <w:widowControl/>
        <w:suppressLineNumbers w:val="0"/>
        <w:kinsoku/>
        <w:wordWrap/>
        <w:overflowPunct/>
        <w:topLinePunct w:val="0"/>
        <w:autoSpaceDE/>
        <w:autoSpaceDN/>
        <w:bidi w:val="0"/>
        <w:adjustRightInd w:val="0"/>
        <w:snapToGrid w:val="0"/>
        <w:spacing w:beforeAutospacing="0" w:afterAutospacing="0" w:line="592" w:lineRule="exact"/>
        <w:ind w:left="0" w:firstLine="640" w:firstLineChars="200"/>
        <w:jc w:val="left"/>
        <w:textAlignment w:val="auto"/>
        <w:rPr>
          <w:rFonts w:hint="eastAsia" w:ascii="仿宋_GB2312" w:hAnsi="仿宋_GB2312" w:eastAsia="仿宋_GB2312" w:cs="仿宋_GB2312"/>
          <w:sz w:val="32"/>
          <w:szCs w:val="32"/>
          <w:highlight w:val="none"/>
        </w:rPr>
      </w:pPr>
    </w:p>
    <w:p>
      <w:pPr>
        <w:pStyle w:val="8"/>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三、项目组织实施情况</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（一）项目组织情况</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beforeAutospacing="0" w:afterAutospacing="0" w:line="592" w:lineRule="exact"/>
        <w:ind w:left="0" w:firstLine="640" w:firstLineChars="200"/>
        <w:jc w:val="left"/>
        <w:textAlignment w:val="auto"/>
        <w:rPr>
          <w:rFonts w:hint="eastAsia" w:ascii="仿宋_GB2312" w:hAnsi="仿宋_GB2312" w:eastAsia="仿宋_GB2312" w:cs="仿宋_GB2312"/>
          <w:i w:val="0"/>
          <w:caps w:val="0"/>
          <w:spacing w:val="0"/>
          <w:sz w:val="32"/>
          <w:szCs w:val="32"/>
          <w:highlight w:val="none"/>
        </w:rPr>
      </w:pPr>
      <w:r>
        <w:rPr>
          <w:rFonts w:hint="eastAsia" w:ascii="仿宋_GB2312" w:hAnsi="仿宋_GB2312" w:eastAsia="仿宋_GB2312" w:cs="仿宋_GB2312"/>
          <w:i w:val="0"/>
          <w:caps w:val="0"/>
          <w:spacing w:val="0"/>
          <w:kern w:val="0"/>
          <w:sz w:val="32"/>
          <w:szCs w:val="32"/>
          <w:highlight w:val="none"/>
          <w:shd w:val="clear" w:fill="FFFFFF"/>
          <w:lang w:val="en-US" w:eastAsia="zh-CN" w:bidi="ar"/>
        </w:rPr>
        <w:t>该项目在组织方面采用公开招标的方式选聘施工单位和设备采购单位，确保项目参与方的专业性和公正性，引入具备良好资质和能力的单位参与项目建设和设备采购，为项目的顺利实施奠定基础。按合同约定进行施工和设备采购工作，并分阶段完成验收工作，能够及时发现和解决项目实施过程中出现的问题，保证工程质量和设备符合要求。同时，及时调整项目资金到相关学校，并按工程进展和设备采购进度拨付资金，体现了资金管理的合理性和科学性，有助于保障项目的顺利推进，避免因资金问题影响项目进度。</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（二）项目实施情况</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beforeAutospacing="0" w:afterAutospacing="0" w:line="592" w:lineRule="exact"/>
        <w:ind w:left="0" w:firstLine="640" w:firstLineChars="200"/>
        <w:jc w:val="left"/>
        <w:textAlignment w:val="auto"/>
        <w:rPr>
          <w:rFonts w:hint="eastAsia" w:ascii="仿宋_GB2312" w:hAnsi="仿宋_GB2312" w:eastAsia="仿宋_GB2312" w:cs="仿宋_GB2312"/>
          <w:i w:val="0"/>
          <w:caps w:val="0"/>
          <w:spacing w:val="0"/>
          <w:sz w:val="32"/>
          <w:szCs w:val="32"/>
          <w:highlight w:val="none"/>
        </w:rPr>
      </w:pPr>
      <w:r>
        <w:rPr>
          <w:rFonts w:hint="eastAsia" w:ascii="仿宋_GB2312" w:hAnsi="仿宋_GB2312" w:eastAsia="仿宋_GB2312" w:cs="仿宋_GB2312"/>
          <w:i w:val="0"/>
          <w:caps w:val="0"/>
          <w:spacing w:val="0"/>
          <w:kern w:val="0"/>
          <w:sz w:val="32"/>
          <w:szCs w:val="32"/>
          <w:highlight w:val="none"/>
          <w:shd w:val="clear" w:fill="FFFFFF"/>
          <w:lang w:val="en-US" w:eastAsia="zh-CN" w:bidi="ar"/>
        </w:rPr>
        <w:t>项目通过公开招标选聘相关单位后，报党委会审定，再在县政府网站公示，最后签订好合同，按照相关程序进行工作，在实施过程中，需要组织相关部门进行分部验收、初步验收，竣工验收、联合验收。</w:t>
      </w:r>
    </w:p>
    <w:p>
      <w:pPr>
        <w:pStyle w:val="8"/>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四、项目绩效分析</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beforeAutospacing="0" w:afterAutospacing="0" w:line="592" w:lineRule="exact"/>
        <w:ind w:left="0" w:firstLine="640" w:firstLineChars="200"/>
        <w:jc w:val="left"/>
        <w:textAlignment w:val="auto"/>
        <w:rPr>
          <w:rFonts w:hint="default" w:ascii="仿宋_GB2312" w:hAnsi="仿宋_GB2312" w:eastAsia="仿宋_GB2312" w:cs="仿宋_GB2312"/>
          <w:i w:val="0"/>
          <w:caps w:val="0"/>
          <w:spacing w:val="0"/>
          <w:kern w:val="0"/>
          <w:sz w:val="32"/>
          <w:szCs w:val="32"/>
          <w:highlight w:val="none"/>
          <w:shd w:val="clear" w:fill="FFFFFF"/>
          <w:lang w:val="en-US" w:eastAsia="zh-CN" w:bidi="ar"/>
        </w:rPr>
      </w:pPr>
      <w:r>
        <w:rPr>
          <w:rFonts w:hint="eastAsia" w:ascii="仿宋_GB2312" w:hAnsi="仿宋_GB2312" w:eastAsia="仿宋_GB2312" w:cs="仿宋_GB2312"/>
          <w:i w:val="0"/>
          <w:caps w:val="0"/>
          <w:spacing w:val="0"/>
          <w:kern w:val="0"/>
          <w:sz w:val="32"/>
          <w:szCs w:val="32"/>
          <w:highlight w:val="none"/>
          <w:shd w:val="clear" w:fill="FFFFFF"/>
          <w:lang w:val="en-US" w:eastAsia="zh-CN" w:bidi="ar"/>
        </w:rPr>
        <w:t>项目在绩效目标达成方面表现良好，各项经费产出指标、效益指标以及成本指标均已全部实现。产出指标：义务教育薄弱环节改善与能力提升补助资金支出比例目标75%，实际支持比例为78%；工程质量达标率目标100%，实际完成率为100%。效益指标为提升农村薄弱学校办学条件明显提高，实际已完全明显提供。满意度指标（学校满意度、学校老师满意度、学校学生满意度）不少85%，实际满意度为98%。</w:t>
      </w:r>
    </w:p>
    <w:p>
      <w:pPr>
        <w:pStyle w:val="8"/>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五、综合评价与建议</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（一）综合评价</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beforeAutospacing="0" w:afterAutospacing="0" w:line="592" w:lineRule="exact"/>
        <w:ind w:left="0" w:firstLine="640" w:firstLineChars="200"/>
        <w:jc w:val="left"/>
        <w:textAlignment w:val="auto"/>
        <w:rPr>
          <w:rFonts w:hint="eastAsia" w:ascii="仿宋_GB2312" w:hAnsi="仿宋_GB2312" w:eastAsia="仿宋_GB2312" w:cs="仿宋_GB2312"/>
          <w:i w:val="0"/>
          <w:caps w:val="0"/>
          <w:spacing w:val="0"/>
          <w:sz w:val="32"/>
          <w:szCs w:val="32"/>
          <w:highlight w:val="none"/>
        </w:rPr>
      </w:pPr>
      <w:r>
        <w:rPr>
          <w:rFonts w:hint="eastAsia" w:ascii="仿宋_GB2312" w:hAnsi="仿宋_GB2312" w:eastAsia="仿宋_GB2312" w:cs="仿宋_GB2312"/>
          <w:i w:val="0"/>
          <w:caps w:val="0"/>
          <w:spacing w:val="0"/>
          <w:kern w:val="0"/>
          <w:sz w:val="32"/>
          <w:szCs w:val="32"/>
          <w:highlight w:val="none"/>
          <w:shd w:val="clear" w:fill="FFFFFF"/>
          <w:lang w:val="en-US" w:eastAsia="zh-CN" w:bidi="ar"/>
        </w:rPr>
        <w:t>整体来看，该义务教育薄弱环节改善与能力提升补助资金项目在项目决策、资金使用管理、组织实施以及绩效目标完成等方面都表现良好。项目决策过程科学全面，充分考虑了多方面因素；资金使用管理较为规范，虽然全年预算有所调整，但在可追溯和合理的范围内；组织实施过程通过公开招标保证了项目的专业性和公正性，且顺利完成验收工作；绩效目标全部实现，达到了改善办学条件的预期效果。</w:t>
      </w:r>
    </w:p>
    <w:p>
      <w:pPr>
        <w:pStyle w:val="9"/>
        <w:keepNext w:val="0"/>
        <w:keepLines w:val="0"/>
        <w:pageBreakBefore w:val="0"/>
        <w:widowControl/>
        <w:suppressLineNumbers w:val="0"/>
        <w:pBdr>
          <w:bottom w:val="none" w:color="auto" w:sz="0" w:space="0"/>
        </w:pBdr>
        <w:shd w:val="clear" w:fill="FFFFFF"/>
        <w:kinsoku/>
        <w:wordWrap/>
        <w:overflowPunct/>
        <w:topLinePunct w:val="0"/>
        <w:autoSpaceDE/>
        <w:autoSpaceDN/>
        <w:bidi w:val="0"/>
        <w:adjustRightInd w:val="0"/>
        <w:snapToGrid w:val="0"/>
        <w:spacing w:before="0" w:beforeAutospacing="0" w:after="0" w:afterAutospacing="0" w:line="592" w:lineRule="exact"/>
        <w:ind w:left="0" w:firstLine="643" w:firstLineChars="200"/>
        <w:textAlignment w:val="auto"/>
        <w:rPr>
          <w:rFonts w:hint="eastAsia" w:ascii="仿宋_GB2312" w:hAnsi="仿宋_GB2312" w:eastAsia="仿宋_GB2312" w:cs="仿宋_GB2312"/>
          <w:b/>
          <w:i w:val="0"/>
          <w:caps w:val="0"/>
          <w:color w:val="000000"/>
          <w:spacing w:val="0"/>
          <w:sz w:val="32"/>
          <w:szCs w:val="32"/>
          <w:highlight w:val="none"/>
        </w:rPr>
      </w:pPr>
      <w:r>
        <w:rPr>
          <w:rFonts w:hint="eastAsia" w:ascii="仿宋_GB2312" w:hAnsi="仿宋_GB2312" w:eastAsia="仿宋_GB2312" w:cs="仿宋_GB2312"/>
          <w:b/>
          <w:i w:val="0"/>
          <w:caps w:val="0"/>
          <w:color w:val="000000"/>
          <w:spacing w:val="0"/>
          <w:sz w:val="32"/>
          <w:szCs w:val="32"/>
          <w:highlight w:val="none"/>
          <w:shd w:val="clear" w:fill="FFFFFF"/>
        </w:rPr>
        <w:t>（二）建议</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rPr>
        <w:t>）加快项目资金支出，针对支出缓慢的项目，通过项目调剂等方式加快支出进度。</w:t>
      </w:r>
    </w:p>
    <w:p>
      <w:pPr>
        <w:spacing w:line="560" w:lineRule="exact"/>
        <w:ind w:firstLine="640" w:firstLineChars="20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rPr>
        <w:t>）合理规划，资源整合，尽可能提高资金使用效益</w:t>
      </w:r>
      <w:r>
        <w:rPr>
          <w:rFonts w:hint="eastAsia" w:ascii="仿宋_GB2312" w:hAnsi="仿宋_GB2312" w:eastAsia="仿宋_GB2312" w:cs="仿宋_GB2312"/>
          <w:color w:val="auto"/>
          <w:sz w:val="32"/>
          <w:szCs w:val="32"/>
          <w:highlight w:val="none"/>
          <w:lang w:eastAsia="zh-CN"/>
        </w:rPr>
        <w:t>。</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rPr>
        <w:t>）优化</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简化</w:t>
      </w:r>
      <w:r>
        <w:rPr>
          <w:rFonts w:hint="eastAsia" w:ascii="仿宋_GB2312" w:hAnsi="仿宋_GB2312" w:eastAsia="仿宋_GB2312" w:cs="仿宋_GB2312"/>
          <w:color w:val="auto"/>
          <w:sz w:val="32"/>
          <w:szCs w:val="32"/>
          <w:highlight w:val="none"/>
        </w:rPr>
        <w:t>项目前期手续，加快项目推进。</w:t>
      </w:r>
    </w:p>
    <w:p>
      <w:pPr>
        <w:pStyle w:val="2"/>
        <w:rPr>
          <w:rFonts w:hint="eastAsia" w:ascii="仿宋_GB2312" w:hAnsi="仿宋_GB2312" w:eastAsia="仿宋_GB2312" w:cs="仿宋_GB2312"/>
          <w:color w:val="auto"/>
          <w:sz w:val="32"/>
          <w:szCs w:val="32"/>
          <w:highlight w:val="none"/>
        </w:rPr>
      </w:pPr>
    </w:p>
    <w:p>
      <w:pPr>
        <w:pStyle w:val="3"/>
        <w:rPr>
          <w:rFonts w:hint="eastAsia" w:ascii="仿宋_GB2312" w:hAnsi="仿宋_GB2312" w:eastAsia="仿宋_GB2312" w:cs="仿宋_GB2312"/>
          <w:color w:val="auto"/>
          <w:sz w:val="32"/>
          <w:szCs w:val="32"/>
          <w:highlight w:val="none"/>
        </w:rPr>
      </w:pPr>
      <w:r>
        <w:rPr>
          <w:rFonts w:hint="eastAsia" w:hAnsi="仿宋_GB2312" w:cs="仿宋_GB2312"/>
          <w:color w:val="auto"/>
          <w:sz w:val="32"/>
          <w:szCs w:val="32"/>
          <w:highlight w:val="none"/>
          <w:lang w:val="en-US" w:eastAsia="zh-CN"/>
        </w:rPr>
        <w:t>附件2、</w:t>
      </w:r>
      <w:r>
        <w:rPr>
          <w:rFonts w:hint="eastAsia" w:ascii="等线" w:hAnsi="等线" w:eastAsia="等线" w:cs="等线"/>
          <w:b/>
          <w:i w:val="0"/>
          <w:color w:val="000000"/>
          <w:kern w:val="0"/>
          <w:sz w:val="40"/>
          <w:szCs w:val="40"/>
          <w:highlight w:val="none"/>
          <w:u w:val="none"/>
          <w:lang w:val="en-US" w:eastAsia="zh-CN" w:bidi="ar"/>
        </w:rPr>
        <w:t xml:space="preserve">项目支出绩效自评表 </w:t>
      </w: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eastAsia" w:ascii="仿宋_GB2312" w:hAnsi="仿宋_GB2312" w:eastAsia="仿宋_GB2312" w:cs="仿宋_GB2312"/>
          <w:color w:val="auto"/>
          <w:sz w:val="32"/>
          <w:szCs w:val="32"/>
          <w:highlight w:val="none"/>
        </w:rPr>
      </w:pPr>
    </w:p>
    <w:p>
      <w:pPr>
        <w:pStyle w:val="5"/>
        <w:rPr>
          <w:rFonts w:hint="default" w:ascii="仿宋_GB2312" w:hAnsi="仿宋_GB2312" w:eastAsia="仿宋_GB2312" w:cs="仿宋_GB2312"/>
          <w:color w:val="auto"/>
          <w:sz w:val="32"/>
          <w:szCs w:val="32"/>
          <w:highlight w:val="none"/>
          <w:lang w:val="en-US" w:eastAsia="zh-CN"/>
        </w:rPr>
      </w:pPr>
    </w:p>
    <w:bookmarkEnd w:id="123"/>
    <w:p>
      <w:pPr>
        <w:keepNext w:val="0"/>
        <w:keepLines w:val="0"/>
        <w:widowControl/>
        <w:suppressLineNumbers w:val="0"/>
        <w:jc w:val="center"/>
        <w:textAlignment w:val="center"/>
        <w:rPr>
          <w:rFonts w:hint="eastAsia" w:ascii="等线" w:hAnsi="等线" w:eastAsia="等线" w:cs="等线"/>
          <w:b/>
          <w:i w:val="0"/>
          <w:color w:val="000000"/>
          <w:kern w:val="0"/>
          <w:sz w:val="40"/>
          <w:szCs w:val="40"/>
          <w:highlight w:val="none"/>
          <w:u w:val="none"/>
          <w:lang w:val="en-US" w:eastAsia="zh-CN" w:bidi="ar"/>
        </w:rPr>
        <w:sectPr>
          <w:footerReference r:id="rId3" w:type="default"/>
          <w:footerReference r:id="rId4" w:type="even"/>
          <w:pgSz w:w="11906" w:h="16838"/>
          <w:pgMar w:top="1928" w:right="1474" w:bottom="1701" w:left="1587" w:header="851" w:footer="992" w:gutter="0"/>
          <w:pgNumType w:fmt="decimal"/>
          <w:cols w:space="720" w:num="1"/>
          <w:docGrid w:type="lines" w:linePitch="312" w:charSpace="0"/>
        </w:sectPr>
      </w:pPr>
    </w:p>
    <w:tbl>
      <w:tblPr>
        <w:tblStyle w:val="16"/>
        <w:tblpPr w:leftFromText="180" w:rightFromText="180" w:vertAnchor="text" w:horzAnchor="page" w:tblpXSpec="center" w:tblpY="1613"/>
        <w:tblOverlap w:val="never"/>
        <w:tblW w:w="1475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25"/>
        <w:gridCol w:w="1125"/>
        <w:gridCol w:w="1710"/>
        <w:gridCol w:w="1035"/>
        <w:gridCol w:w="1125"/>
        <w:gridCol w:w="1322"/>
        <w:gridCol w:w="703"/>
        <w:gridCol w:w="915"/>
        <w:gridCol w:w="900"/>
        <w:gridCol w:w="870"/>
        <w:gridCol w:w="870"/>
        <w:gridCol w:w="1305"/>
        <w:gridCol w:w="1095"/>
        <w:gridCol w:w="6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04" w:hRule="atLeast"/>
          <w:jc w:val="center"/>
        </w:trPr>
        <w:tc>
          <w:tcPr>
            <w:tcW w:w="13005" w:type="dxa"/>
            <w:gridSpan w:val="1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ascii="等线" w:hAnsi="等线" w:eastAsia="等线" w:cs="等线"/>
                <w:b/>
                <w:i w:val="0"/>
                <w:color w:val="000000"/>
                <w:sz w:val="40"/>
                <w:szCs w:val="40"/>
                <w:highlight w:val="none"/>
                <w:u w:val="none"/>
              </w:rPr>
            </w:pPr>
            <w:r>
              <w:rPr>
                <w:rFonts w:hint="eastAsia" w:ascii="等线" w:hAnsi="等线" w:eastAsia="等线" w:cs="等线"/>
                <w:b/>
                <w:i w:val="0"/>
                <w:color w:val="000000"/>
                <w:kern w:val="0"/>
                <w:sz w:val="40"/>
                <w:szCs w:val="40"/>
                <w:highlight w:val="none"/>
                <w:u w:val="none"/>
                <w:lang w:val="en-US" w:eastAsia="zh-CN" w:bidi="ar"/>
              </w:rPr>
              <w:t xml:space="preserve">项目支出绩效自评表 </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84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项目名称:</w:t>
            </w:r>
          </w:p>
        </w:tc>
        <w:tc>
          <w:tcPr>
            <w:tcW w:w="3870" w:type="dxa"/>
            <w:gridSpan w:val="3"/>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46902222T000000676319-义务教育薄弱环节改善与能力提升补助资金</w:t>
            </w:r>
          </w:p>
        </w:tc>
        <w:tc>
          <w:tcPr>
            <w:tcW w:w="11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填报人:</w:t>
            </w:r>
          </w:p>
        </w:tc>
        <w:tc>
          <w:tcPr>
            <w:tcW w:w="2940" w:type="dxa"/>
            <w:gridSpan w:val="3"/>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吴景灼</w:t>
            </w:r>
          </w:p>
        </w:tc>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联系方式:</w:t>
            </w:r>
          </w:p>
        </w:tc>
        <w:tc>
          <w:tcPr>
            <w:tcW w:w="3045" w:type="dxa"/>
            <w:gridSpan w:val="3"/>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089867815124</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98"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主管部门:</w:t>
            </w:r>
          </w:p>
        </w:tc>
        <w:tc>
          <w:tcPr>
            <w:tcW w:w="3870" w:type="dxa"/>
            <w:gridSpan w:val="3"/>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124-屯昌县教育局</w:t>
            </w:r>
          </w:p>
        </w:tc>
        <w:tc>
          <w:tcPr>
            <w:tcW w:w="11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实施单位:</w:t>
            </w:r>
          </w:p>
        </w:tc>
        <w:tc>
          <w:tcPr>
            <w:tcW w:w="6885" w:type="dxa"/>
            <w:gridSpan w:val="7"/>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124001-屯昌县教育局本级</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5" w:hRule="atLeast"/>
          <w:jc w:val="center"/>
        </w:trPr>
        <w:tc>
          <w:tcPr>
            <w:tcW w:w="2250"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资金构成(元)</w:t>
            </w:r>
          </w:p>
        </w:tc>
        <w:tc>
          <w:tcPr>
            <w:tcW w:w="1710" w:type="dxa"/>
            <w:tcBorders>
              <w:top w:val="single" w:color="000000" w:sz="4" w:space="0"/>
              <w:left w:val="nil"/>
              <w:bottom w:val="single" w:color="000000" w:sz="4" w:space="0"/>
              <w:right w:val="nil"/>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全年预算数</w:t>
            </w:r>
          </w:p>
        </w:tc>
        <w:tc>
          <w:tcPr>
            <w:tcW w:w="3840" w:type="dxa"/>
            <w:gridSpan w:val="4"/>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执行数</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分值</w:t>
            </w:r>
          </w:p>
        </w:tc>
        <w:tc>
          <w:tcPr>
            <w:tcW w:w="870" w:type="dxa"/>
            <w:tcBorders>
              <w:top w:val="single" w:color="000000" w:sz="4" w:space="0"/>
              <w:left w:val="single" w:color="000000" w:sz="4" w:space="0"/>
              <w:bottom w:val="single" w:color="000000" w:sz="4" w:space="0"/>
              <w:right w:val="nil"/>
            </w:tcBorders>
            <w:shd w:val="clear" w:color="auto" w:fill="FFFFFF"/>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执行率（%）</w:t>
            </w:r>
          </w:p>
        </w:tc>
        <w:tc>
          <w:tcPr>
            <w:tcW w:w="130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得分</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2" w:hRule="atLeast"/>
          <w:jc w:val="center"/>
        </w:trPr>
        <w:tc>
          <w:tcPr>
            <w:tcW w:w="2250"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资金总额：</w:t>
            </w:r>
          </w:p>
        </w:tc>
        <w:tc>
          <w:tcPr>
            <w:tcW w:w="171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23,440,000.00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19,350,000.00</w:t>
            </w:r>
          </w:p>
        </w:tc>
        <w:tc>
          <w:tcPr>
            <w:tcW w:w="3840" w:type="dxa"/>
            <w:gridSpan w:val="4"/>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14,527,929.50</w:t>
            </w:r>
          </w:p>
        </w:tc>
        <w:tc>
          <w:tcPr>
            <w:tcW w:w="870" w:type="dxa"/>
            <w:tcBorders>
              <w:top w:val="single" w:color="000000" w:sz="4" w:space="0"/>
              <w:left w:val="single" w:color="000000" w:sz="4" w:space="0"/>
              <w:bottom w:val="single" w:color="000000" w:sz="4" w:space="0"/>
              <w:right w:val="single" w:color="000000" w:sz="4" w:space="0"/>
            </w:tcBorders>
            <w:shd w:val="clear" w:color="auto" w:fill="C0C0C0"/>
            <w:noWrap/>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 xml:space="preserve">10.00 </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75.08</w:t>
            </w:r>
          </w:p>
        </w:tc>
        <w:tc>
          <w:tcPr>
            <w:tcW w:w="1305" w:type="dxa"/>
            <w:tcBorders>
              <w:top w:val="single" w:color="000000" w:sz="4" w:space="0"/>
              <w:left w:val="single" w:color="000000" w:sz="4" w:space="0"/>
              <w:bottom w:val="single" w:color="000000" w:sz="4" w:space="0"/>
              <w:right w:val="single" w:color="000000" w:sz="4" w:space="0"/>
            </w:tcBorders>
            <w:shd w:val="clear" w:color="auto" w:fill="C0C0C0"/>
            <w:noWrap/>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7.51</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2" w:hRule="atLeast"/>
          <w:jc w:val="center"/>
        </w:trPr>
        <w:tc>
          <w:tcPr>
            <w:tcW w:w="2250"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其中：财政资金：</w:t>
            </w:r>
          </w:p>
        </w:tc>
        <w:tc>
          <w:tcPr>
            <w:tcW w:w="171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23,440,000.00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19,350,000.00</w:t>
            </w:r>
          </w:p>
        </w:tc>
        <w:tc>
          <w:tcPr>
            <w:tcW w:w="3840" w:type="dxa"/>
            <w:gridSpan w:val="4"/>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14,527,929.50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jc w:val="right"/>
              <w:rPr>
                <w:rFonts w:hint="eastAsia" w:ascii="等线" w:hAnsi="等线" w:eastAsia="等线" w:cs="等线"/>
                <w:i w:val="0"/>
                <w:color w:val="000000"/>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75.08</w:t>
            </w:r>
          </w:p>
        </w:tc>
        <w:tc>
          <w:tcPr>
            <w:tcW w:w="130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jc w:val="right"/>
              <w:rPr>
                <w:rFonts w:hint="eastAsia" w:ascii="等线" w:hAnsi="等线" w:eastAsia="等线" w:cs="等线"/>
                <w:i w:val="0"/>
                <w:color w:val="000000"/>
                <w:sz w:val="22"/>
                <w:szCs w:val="22"/>
                <w:highlight w:val="none"/>
                <w:u w:val="none"/>
              </w:rPr>
            </w:pP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2" w:hRule="atLeast"/>
          <w:jc w:val="center"/>
        </w:trPr>
        <w:tc>
          <w:tcPr>
            <w:tcW w:w="2250"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单位资金：</w:t>
            </w:r>
          </w:p>
        </w:tc>
        <w:tc>
          <w:tcPr>
            <w:tcW w:w="171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0.00</w:t>
            </w:r>
          </w:p>
        </w:tc>
        <w:tc>
          <w:tcPr>
            <w:tcW w:w="3840" w:type="dxa"/>
            <w:gridSpan w:val="4"/>
            <w:tcBorders>
              <w:top w:val="nil"/>
              <w:left w:val="nil"/>
              <w:bottom w:val="nil"/>
              <w:right w:val="nil"/>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jc w:val="right"/>
              <w:rPr>
                <w:rFonts w:hint="eastAsia" w:ascii="等线" w:hAnsi="等线" w:eastAsia="等线" w:cs="等线"/>
                <w:i w:val="0"/>
                <w:color w:val="000000"/>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w:t>
            </w:r>
          </w:p>
        </w:tc>
        <w:tc>
          <w:tcPr>
            <w:tcW w:w="130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jc w:val="right"/>
              <w:rPr>
                <w:rFonts w:hint="eastAsia" w:ascii="等线" w:hAnsi="等线" w:eastAsia="等线" w:cs="等线"/>
                <w:i w:val="0"/>
                <w:color w:val="000000"/>
                <w:sz w:val="22"/>
                <w:szCs w:val="22"/>
                <w:highlight w:val="none"/>
                <w:u w:val="none"/>
              </w:rPr>
            </w:pP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2" w:hRule="atLeast"/>
          <w:jc w:val="center"/>
        </w:trPr>
        <w:tc>
          <w:tcPr>
            <w:tcW w:w="2250"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财政专户管理资金：</w:t>
            </w:r>
          </w:p>
        </w:tc>
        <w:tc>
          <w:tcPr>
            <w:tcW w:w="171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0.00</w:t>
            </w:r>
          </w:p>
        </w:tc>
        <w:tc>
          <w:tcPr>
            <w:tcW w:w="3840" w:type="dxa"/>
            <w:gridSpan w:val="4"/>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jc w:val="right"/>
              <w:rPr>
                <w:rFonts w:hint="eastAsia" w:ascii="等线" w:hAnsi="等线" w:eastAsia="等线" w:cs="等线"/>
                <w:i w:val="0"/>
                <w:color w:val="000000"/>
                <w:sz w:val="22"/>
                <w:szCs w:val="22"/>
                <w:highlight w:val="none"/>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0</w:t>
            </w:r>
          </w:p>
        </w:tc>
        <w:tc>
          <w:tcPr>
            <w:tcW w:w="130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jc w:val="right"/>
              <w:rPr>
                <w:rFonts w:hint="eastAsia" w:ascii="等线" w:hAnsi="等线" w:eastAsia="等线" w:cs="等线"/>
                <w:i w:val="0"/>
                <w:color w:val="000000"/>
                <w:sz w:val="22"/>
                <w:szCs w:val="22"/>
                <w:highlight w:val="none"/>
                <w:u w:val="none"/>
              </w:rPr>
            </w:pP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2" w:hRule="atLeast"/>
          <w:jc w:val="center"/>
        </w:trPr>
        <w:tc>
          <w:tcPr>
            <w:tcW w:w="6120" w:type="dxa"/>
            <w:gridSpan w:val="5"/>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年度目标</w:t>
            </w:r>
          </w:p>
        </w:tc>
        <w:tc>
          <w:tcPr>
            <w:tcW w:w="6885" w:type="dxa"/>
            <w:gridSpan w:val="7"/>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年度目标完成情况</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1778" w:hRule="atLeast"/>
          <w:jc w:val="center"/>
        </w:trPr>
        <w:tc>
          <w:tcPr>
            <w:tcW w:w="6120" w:type="dxa"/>
            <w:gridSpan w:val="5"/>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top"/>
          </w:tcPr>
          <w:p>
            <w:pPr>
              <w:keepNext w:val="0"/>
              <w:keepLines w:val="0"/>
              <w:widowControl/>
              <w:suppressLineNumbers w:val="0"/>
              <w:jc w:val="left"/>
              <w:textAlignment w:val="top"/>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 xml:space="preserve">义务教育薄弱环节改善与能力提升补助资金 </w:t>
            </w:r>
          </w:p>
        </w:tc>
        <w:tc>
          <w:tcPr>
            <w:tcW w:w="6885" w:type="dxa"/>
            <w:gridSpan w:val="7"/>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top"/>
          </w:tcPr>
          <w:p>
            <w:pPr>
              <w:keepNext w:val="0"/>
              <w:keepLines w:val="0"/>
              <w:widowControl/>
              <w:suppressLineNumbers w:val="0"/>
              <w:jc w:val="left"/>
              <w:textAlignment w:val="top"/>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义务教育薄弱环节改善与能力提升补助资金项目验收合格率100%，进一步改善办学条件。</w:t>
            </w:r>
          </w:p>
        </w:tc>
        <w:tc>
          <w:tcPr>
            <w:tcW w:w="1095"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c>
          <w:tcPr>
            <w:tcW w:w="650" w:type="dxa"/>
            <w:tcBorders>
              <w:top w:val="nil"/>
              <w:left w:val="nil"/>
              <w:bottom w:val="nil"/>
              <w:right w:val="nil"/>
            </w:tcBorders>
            <w:shd w:val="clear" w:color="auto" w:fill="FFFFFF"/>
            <w:noWrap/>
            <w:tcMar>
              <w:top w:w="12" w:type="dxa"/>
              <w:left w:w="12" w:type="dxa"/>
              <w:right w:w="12" w:type="dxa"/>
            </w:tcMar>
            <w:vAlign w:val="center"/>
          </w:tcPr>
          <w:p>
            <w:pPr>
              <w:rPr>
                <w:rFonts w:hint="eastAsia" w:ascii="宋体" w:hAnsi="宋体" w:eastAsia="宋体" w:cs="宋体"/>
                <w:i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70"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一级指标</w:t>
            </w:r>
          </w:p>
        </w:tc>
        <w:tc>
          <w:tcPr>
            <w:tcW w:w="112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二级指标</w:t>
            </w:r>
          </w:p>
        </w:tc>
        <w:tc>
          <w:tcPr>
            <w:tcW w:w="2745"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三级指标</w:t>
            </w:r>
          </w:p>
        </w:tc>
        <w:tc>
          <w:tcPr>
            <w:tcW w:w="1125" w:type="dxa"/>
            <w:tcBorders>
              <w:top w:val="single" w:color="000000" w:sz="4" w:space="0"/>
              <w:left w:val="nil"/>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指标性质</w:t>
            </w:r>
          </w:p>
        </w:tc>
        <w:tc>
          <w:tcPr>
            <w:tcW w:w="1322"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年度指标值</w:t>
            </w:r>
          </w:p>
        </w:tc>
        <w:tc>
          <w:tcPr>
            <w:tcW w:w="70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度量单位</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实际完成值</w:t>
            </w:r>
          </w:p>
        </w:tc>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完成率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分值</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得分</w:t>
            </w:r>
          </w:p>
        </w:tc>
        <w:tc>
          <w:tcPr>
            <w:tcW w:w="3050" w:type="dxa"/>
            <w:gridSpan w:val="3"/>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center"/>
              <w:textAlignment w:val="center"/>
              <w:rPr>
                <w:rFonts w:hint="eastAsia" w:ascii="等线" w:hAnsi="等线" w:eastAsia="等线" w:cs="等线"/>
                <w:b/>
                <w:i w:val="0"/>
                <w:color w:val="000000"/>
                <w:sz w:val="24"/>
                <w:szCs w:val="24"/>
                <w:highlight w:val="none"/>
                <w:u w:val="none"/>
              </w:rPr>
            </w:pPr>
            <w:r>
              <w:rPr>
                <w:rFonts w:hint="eastAsia" w:ascii="等线" w:hAnsi="等线" w:eastAsia="等线" w:cs="等线"/>
                <w:b/>
                <w:i w:val="0"/>
                <w:color w:val="000000"/>
                <w:kern w:val="0"/>
                <w:sz w:val="24"/>
                <w:szCs w:val="24"/>
                <w:highlight w:val="none"/>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产出指标</w:t>
            </w:r>
          </w:p>
        </w:tc>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质量指标</w:t>
            </w:r>
          </w:p>
        </w:tc>
        <w:tc>
          <w:tcPr>
            <w:tcW w:w="2745"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新建改扩建工程验收合格率</w:t>
            </w:r>
          </w:p>
        </w:tc>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w:t>
            </w:r>
          </w:p>
        </w:tc>
        <w:tc>
          <w:tcPr>
            <w:tcW w:w="1322"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100</w:t>
            </w:r>
          </w:p>
        </w:tc>
        <w:tc>
          <w:tcPr>
            <w:tcW w:w="703"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100</w:t>
            </w:r>
          </w:p>
        </w:tc>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40.00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40</w:t>
            </w:r>
          </w:p>
        </w:tc>
        <w:tc>
          <w:tcPr>
            <w:tcW w:w="305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rPr>
                <w:rFonts w:hint="eastAsia" w:ascii="等线" w:hAnsi="等线" w:eastAsia="等线" w:cs="等线"/>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23"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效益指标</w:t>
            </w:r>
          </w:p>
        </w:tc>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社会效益指标</w:t>
            </w:r>
          </w:p>
        </w:tc>
        <w:tc>
          <w:tcPr>
            <w:tcW w:w="2745"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办学条件得到改善</w:t>
            </w:r>
          </w:p>
        </w:tc>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定性</w:t>
            </w:r>
          </w:p>
        </w:tc>
        <w:tc>
          <w:tcPr>
            <w:tcW w:w="1322"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优良中低差</w:t>
            </w:r>
          </w:p>
        </w:tc>
        <w:tc>
          <w:tcPr>
            <w:tcW w:w="703"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项</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优</w:t>
            </w:r>
          </w:p>
        </w:tc>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基本达成目标</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40.00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40</w:t>
            </w:r>
          </w:p>
        </w:tc>
        <w:tc>
          <w:tcPr>
            <w:tcW w:w="305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rPr>
                <w:rFonts w:hint="eastAsia" w:ascii="等线" w:hAnsi="等线" w:eastAsia="等线" w:cs="等线"/>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3" w:hRule="atLeast"/>
          <w:jc w:val="center"/>
        </w:trPr>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成本指标</w:t>
            </w:r>
          </w:p>
        </w:tc>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经济成本指标</w:t>
            </w:r>
          </w:p>
        </w:tc>
        <w:tc>
          <w:tcPr>
            <w:tcW w:w="2745" w:type="dxa"/>
            <w:gridSpan w:val="2"/>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3374万元</w:t>
            </w:r>
          </w:p>
        </w:tc>
        <w:tc>
          <w:tcPr>
            <w:tcW w:w="1125"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w:t>
            </w:r>
          </w:p>
        </w:tc>
        <w:tc>
          <w:tcPr>
            <w:tcW w:w="1322"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2344</w:t>
            </w:r>
          </w:p>
        </w:tc>
        <w:tc>
          <w:tcPr>
            <w:tcW w:w="703"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万元</w:t>
            </w:r>
          </w:p>
        </w:tc>
        <w:tc>
          <w:tcPr>
            <w:tcW w:w="915"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1452.79</w:t>
            </w:r>
          </w:p>
        </w:tc>
        <w:tc>
          <w:tcPr>
            <w:tcW w:w="900"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w:t>
            </w:r>
          </w:p>
        </w:tc>
        <w:tc>
          <w:tcPr>
            <w:tcW w:w="305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rPr>
                <w:rFonts w:hint="eastAsia" w:ascii="等线" w:hAnsi="等线" w:eastAsia="等线" w:cs="等线"/>
                <w:i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23" w:hRule="atLeast"/>
          <w:jc w:val="center"/>
        </w:trPr>
        <w:tc>
          <w:tcPr>
            <w:tcW w:w="9960" w:type="dxa"/>
            <w:gridSpan w:val="9"/>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lef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合计</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100.00</w:t>
            </w:r>
          </w:p>
        </w:tc>
        <w:tc>
          <w:tcPr>
            <w:tcW w:w="870" w:type="dxa"/>
            <w:tcBorders>
              <w:top w:val="single" w:color="000000" w:sz="4" w:space="0"/>
              <w:left w:val="single" w:color="000000" w:sz="4" w:space="0"/>
              <w:bottom w:val="single" w:color="000000" w:sz="4" w:space="0"/>
              <w:right w:val="single" w:color="000000" w:sz="4" w:space="0"/>
            </w:tcBorders>
            <w:shd w:val="clear" w:color="auto" w:fill="C0C0C0"/>
            <w:tcMar>
              <w:top w:w="12" w:type="dxa"/>
              <w:left w:w="12" w:type="dxa"/>
              <w:right w:w="12" w:type="dxa"/>
            </w:tcMar>
            <w:vAlign w:val="center"/>
          </w:tcPr>
          <w:p>
            <w:pPr>
              <w:keepNext w:val="0"/>
              <w:keepLines w:val="0"/>
              <w:widowControl/>
              <w:suppressLineNumbers w:val="0"/>
              <w:jc w:val="right"/>
              <w:textAlignment w:val="center"/>
              <w:rPr>
                <w:rFonts w:hint="eastAsia" w:ascii="等线" w:hAnsi="等线" w:eastAsia="等线" w:cs="等线"/>
                <w:i w:val="0"/>
                <w:color w:val="000000"/>
                <w:sz w:val="22"/>
                <w:szCs w:val="22"/>
                <w:highlight w:val="none"/>
                <w:u w:val="none"/>
              </w:rPr>
            </w:pPr>
            <w:r>
              <w:rPr>
                <w:rFonts w:hint="eastAsia" w:ascii="等线" w:hAnsi="等线" w:eastAsia="等线" w:cs="等线"/>
                <w:i w:val="0"/>
                <w:color w:val="000000"/>
                <w:kern w:val="0"/>
                <w:sz w:val="22"/>
                <w:szCs w:val="22"/>
                <w:highlight w:val="none"/>
                <w:u w:val="none"/>
                <w:lang w:val="en-US" w:eastAsia="zh-CN" w:bidi="ar"/>
              </w:rPr>
              <w:t>97.51</w:t>
            </w:r>
          </w:p>
        </w:tc>
        <w:tc>
          <w:tcPr>
            <w:tcW w:w="305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rPr>
                <w:rFonts w:hint="eastAsia" w:ascii="等线" w:hAnsi="等线" w:eastAsia="等线" w:cs="等线"/>
                <w:i w:val="0"/>
                <w:color w:val="000000"/>
                <w:sz w:val="22"/>
                <w:szCs w:val="22"/>
                <w:highlight w:val="none"/>
                <w:u w:val="none"/>
              </w:rPr>
            </w:pPr>
          </w:p>
        </w:tc>
      </w:tr>
    </w:tbl>
    <w:p>
      <w:pPr>
        <w:keepNext w:val="0"/>
        <w:keepLines w:val="0"/>
        <w:pageBreakBefore w:val="0"/>
        <w:widowControl w:val="0"/>
        <w:kinsoku/>
        <w:wordWrap/>
        <w:overflowPunct/>
        <w:topLinePunct w:val="0"/>
        <w:autoSpaceDE/>
        <w:autoSpaceDN/>
        <w:bidi w:val="0"/>
        <w:adjustRightInd/>
        <w:snapToGrid/>
        <w:spacing w:line="578" w:lineRule="exact"/>
        <w:jc w:val="both"/>
        <w:textAlignment w:val="auto"/>
        <w:rPr>
          <w:rFonts w:hint="default" w:ascii="仿宋_GB2312" w:hAnsi="ˎ̥" w:eastAsia="仿宋_GB2312"/>
          <w:color w:val="auto"/>
          <w:sz w:val="32"/>
          <w:szCs w:val="32"/>
          <w:highlight w:val="none"/>
          <w:lang w:val="en-US" w:eastAsia="zh-CN"/>
        </w:rPr>
      </w:pPr>
    </w:p>
    <w:sectPr>
      <w:pgSz w:w="16838" w:h="11906" w:orient="landscape"/>
      <w:pgMar w:top="1587" w:right="1928" w:bottom="1474" w:left="1701" w:header="851" w:footer="992" w:gutter="0"/>
      <w:pgNumType w:fmt="decimal"/>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78510" cy="2203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778510" cy="2203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17.35pt;width:61.3pt;mso-position-horizontal:outside;mso-position-horizontal-relative:margin;z-index:251659264;mso-width-relative:page;mso-height-relative:page;" filled="f" stroked="f" coordsize="21600,21600" o:gfxdata="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Pk1X1zUAAAABAEAAA8A&#10;AAAAAAAAAQAgAAAAIgAAAGRycy9kb3ducmV2LnhtbFBLAQIUABQAAAAIAIdO4kBth+68GwIAABME&#10;AAAOAAAAAAAAAAEAIAAAACMBAABkcnMvZTJvRG9jLnhtbFBLBQYAAAAABgAGAFkBAACwBQAAAAA=&#10;">
              <v:fill on="f" focussize="0,0"/>
              <v:stroke on="f" weight="0.5pt"/>
              <v:imagedata o:title=""/>
              <o:lock v:ext="edit" aspectratio="f"/>
              <v:textbox inset="0mm,0mm,0mm,0mm">
                <w:txbxContent>
                  <w:p>
                    <w:pPr>
                      <w:pStyle w:val="12"/>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center" w:y="1"/>
      <w:rPr>
        <w:rStyle w:val="18"/>
      </w:rPr>
    </w:pPr>
    <w:r>
      <w:fldChar w:fldCharType="begin"/>
    </w:r>
    <w:r>
      <w:rPr>
        <w:rStyle w:val="18"/>
      </w:rPr>
      <w:instrText xml:space="preserve">PAGE  </w:instrText>
    </w:r>
    <w:r>
      <w:fldChar w:fldCharType="separate"/>
    </w:r>
    <w:r>
      <w:fldChar w:fldCharType="end"/>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057F5FC3"/>
    <w:multiLevelType w:val="singleLevel"/>
    <w:tmpl w:val="057F5FC3"/>
    <w:lvl w:ilvl="0" w:tentative="0">
      <w:start w:val="1"/>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8"/>
  <w:displayHorizontalDrawingGridEvery w:val="1"/>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2D8E"/>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10C299E"/>
    <w:rsid w:val="03033F17"/>
    <w:rsid w:val="09201287"/>
    <w:rsid w:val="0A006E7B"/>
    <w:rsid w:val="0FC80124"/>
    <w:rsid w:val="136F98C7"/>
    <w:rsid w:val="15B8138A"/>
    <w:rsid w:val="17427E68"/>
    <w:rsid w:val="1755065F"/>
    <w:rsid w:val="18C142EE"/>
    <w:rsid w:val="1AC9694B"/>
    <w:rsid w:val="1AFC29C9"/>
    <w:rsid w:val="1CA52F2E"/>
    <w:rsid w:val="1E3630B9"/>
    <w:rsid w:val="24E630DB"/>
    <w:rsid w:val="25B0114D"/>
    <w:rsid w:val="26D1269B"/>
    <w:rsid w:val="26EEC2B5"/>
    <w:rsid w:val="29143BB3"/>
    <w:rsid w:val="29472309"/>
    <w:rsid w:val="2B406E77"/>
    <w:rsid w:val="2BA974C9"/>
    <w:rsid w:val="2C2A0C43"/>
    <w:rsid w:val="2D1E73A5"/>
    <w:rsid w:val="32717154"/>
    <w:rsid w:val="34B63260"/>
    <w:rsid w:val="37FDA7E2"/>
    <w:rsid w:val="3A314D88"/>
    <w:rsid w:val="3A702B3D"/>
    <w:rsid w:val="3A746883"/>
    <w:rsid w:val="3CA15DE9"/>
    <w:rsid w:val="3FD4EAF5"/>
    <w:rsid w:val="3FE61EE5"/>
    <w:rsid w:val="406508EE"/>
    <w:rsid w:val="408D6263"/>
    <w:rsid w:val="41B40CEE"/>
    <w:rsid w:val="479B637C"/>
    <w:rsid w:val="48317291"/>
    <w:rsid w:val="485F7024"/>
    <w:rsid w:val="48E70666"/>
    <w:rsid w:val="4AD118F0"/>
    <w:rsid w:val="4C6877E5"/>
    <w:rsid w:val="4D6A468D"/>
    <w:rsid w:val="4EA86137"/>
    <w:rsid w:val="5495528E"/>
    <w:rsid w:val="54D66B8B"/>
    <w:rsid w:val="56CA7FD0"/>
    <w:rsid w:val="57FA38D1"/>
    <w:rsid w:val="5C100444"/>
    <w:rsid w:val="5F7D3333"/>
    <w:rsid w:val="61385890"/>
    <w:rsid w:val="624D40D3"/>
    <w:rsid w:val="631D5067"/>
    <w:rsid w:val="64762171"/>
    <w:rsid w:val="6634242C"/>
    <w:rsid w:val="687436E1"/>
    <w:rsid w:val="6DA45C50"/>
    <w:rsid w:val="6E9A7825"/>
    <w:rsid w:val="6F2932A4"/>
    <w:rsid w:val="6F670F9B"/>
    <w:rsid w:val="6FDB33BC"/>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07A5E72"/>
    <w:rsid w:val="FD33A2D0"/>
    <w:rsid w:val="FF7FA20F"/>
    <w:rsid w:val="FFFE81A3"/>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8">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9">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7">
    <w:name w:val="Default Paragraph Font"/>
    <w:semiHidden/>
    <w:qFormat/>
    <w:uiPriority w:val="0"/>
  </w:style>
  <w:style w:type="table" w:default="1" w:styleId="16">
    <w:name w:val="Normal Table"/>
    <w:semiHidden/>
    <w:qFormat/>
    <w:uiPriority w:val="0"/>
    <w:tblPr>
      <w:tblLayout w:type="fixed"/>
      <w:tblCellMar>
        <w:top w:w="0" w:type="dxa"/>
        <w:left w:w="108" w:type="dxa"/>
        <w:bottom w:w="0" w:type="dxa"/>
        <w:right w:w="108" w:type="dxa"/>
      </w:tblCellMar>
    </w:tblPr>
  </w:style>
  <w:style w:type="paragraph" w:styleId="2">
    <w:name w:val="footnote text"/>
    <w:basedOn w:val="1"/>
    <w:next w:val="3"/>
    <w:unhideWhenUsed/>
    <w:qFormat/>
    <w:uiPriority w:val="99"/>
    <w:pPr>
      <w:snapToGrid w:val="0"/>
      <w:jc w:val="left"/>
    </w:pPr>
    <w:rPr>
      <w:sz w:val="18"/>
      <w:szCs w:val="18"/>
    </w:rPr>
  </w:style>
  <w:style w:type="paragraph" w:styleId="3">
    <w:name w:val="Body Text First Indent 2"/>
    <w:basedOn w:val="4"/>
    <w:next w:val="5"/>
    <w:unhideWhenUsed/>
    <w:qFormat/>
    <w:uiPriority w:val="99"/>
    <w:pPr>
      <w:ind w:left="0" w:firstLine="420" w:firstLineChars="200"/>
    </w:pPr>
  </w:style>
  <w:style w:type="paragraph" w:styleId="4">
    <w:name w:val="Body Text Indent"/>
    <w:basedOn w:val="1"/>
    <w:next w:val="3"/>
    <w:qFormat/>
    <w:uiPriority w:val="0"/>
    <w:pPr>
      <w:spacing w:line="600" w:lineRule="exact"/>
      <w:ind w:firstLine="640" w:firstLineChars="200"/>
    </w:pPr>
    <w:rPr>
      <w:rFonts w:ascii="仿宋_GB2312" w:eastAsia="仿宋_GB2312"/>
      <w:sz w:val="32"/>
    </w:rPr>
  </w:style>
  <w:style w:type="paragraph" w:styleId="5">
    <w:name w:val="Body Text First Indent"/>
    <w:basedOn w:val="6"/>
    <w:unhideWhenUsed/>
    <w:qFormat/>
    <w:uiPriority w:val="99"/>
    <w:pPr>
      <w:ind w:firstLine="420" w:firstLineChars="100"/>
    </w:pPr>
  </w:style>
  <w:style w:type="paragraph" w:styleId="6">
    <w:name w:val="Body Text"/>
    <w:basedOn w:val="1"/>
    <w:next w:val="1"/>
    <w:qFormat/>
    <w:uiPriority w:val="0"/>
    <w:pPr>
      <w:spacing w:after="120"/>
    </w:pPr>
    <w:rPr>
      <w:rFonts w:ascii="Calibri" w:hAnsi="Calibri" w:eastAsia="宋体" w:cs="Times New Roman"/>
    </w:rPr>
  </w:style>
  <w:style w:type="paragraph" w:styleId="10">
    <w:name w:val="annotation text"/>
    <w:basedOn w:val="1"/>
    <w:link w:val="20"/>
    <w:qFormat/>
    <w:uiPriority w:val="0"/>
    <w:pPr>
      <w:jc w:val="left"/>
    </w:pPr>
  </w:style>
  <w:style w:type="paragraph" w:styleId="11">
    <w:name w:val="Balloon Text"/>
    <w:basedOn w:val="1"/>
    <w:link w:val="21"/>
    <w:qFormat/>
    <w:uiPriority w:val="0"/>
    <w:rPr>
      <w:sz w:val="18"/>
      <w:szCs w:val="18"/>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semiHidden/>
    <w:unhideWhenUsed/>
    <w:qFormat/>
    <w:uiPriority w:val="99"/>
    <w:pPr>
      <w:spacing w:beforeAutospacing="1" w:afterAutospacing="1"/>
      <w:jc w:val="left"/>
    </w:pPr>
    <w:rPr>
      <w:rFonts w:cs="Times New Roman"/>
      <w:kern w:val="0"/>
      <w:sz w:val="24"/>
    </w:rPr>
  </w:style>
  <w:style w:type="paragraph" w:styleId="15">
    <w:name w:val="annotation subject"/>
    <w:basedOn w:val="10"/>
    <w:next w:val="10"/>
    <w:link w:val="23"/>
    <w:qFormat/>
    <w:uiPriority w:val="0"/>
    <w:rPr>
      <w:b/>
      <w:bCs/>
    </w:rPr>
  </w:style>
  <w:style w:type="character" w:styleId="18">
    <w:name w:val="page number"/>
    <w:qFormat/>
    <w:uiPriority w:val="0"/>
  </w:style>
  <w:style w:type="character" w:styleId="19">
    <w:name w:val="annotation reference"/>
    <w:qFormat/>
    <w:uiPriority w:val="0"/>
    <w:rPr>
      <w:sz w:val="21"/>
      <w:szCs w:val="21"/>
    </w:rPr>
  </w:style>
  <w:style w:type="character" w:customStyle="1" w:styleId="20">
    <w:name w:val="批注文字 Char"/>
    <w:link w:val="10"/>
    <w:qFormat/>
    <w:uiPriority w:val="0"/>
    <w:rPr>
      <w:kern w:val="2"/>
      <w:sz w:val="21"/>
      <w:szCs w:val="24"/>
    </w:rPr>
  </w:style>
  <w:style w:type="character" w:customStyle="1" w:styleId="21">
    <w:name w:val="批注框文本 Char"/>
    <w:link w:val="11"/>
    <w:qFormat/>
    <w:uiPriority w:val="0"/>
    <w:rPr>
      <w:kern w:val="2"/>
      <w:sz w:val="18"/>
      <w:szCs w:val="18"/>
    </w:rPr>
  </w:style>
  <w:style w:type="character" w:customStyle="1" w:styleId="22">
    <w:name w:val="页眉 Char"/>
    <w:link w:val="13"/>
    <w:qFormat/>
    <w:uiPriority w:val="0"/>
    <w:rPr>
      <w:kern w:val="2"/>
      <w:sz w:val="18"/>
      <w:szCs w:val="18"/>
    </w:rPr>
  </w:style>
  <w:style w:type="character" w:customStyle="1" w:styleId="23">
    <w:name w:val="批注主题 Char"/>
    <w:link w:val="15"/>
    <w:qFormat/>
    <w:uiPriority w:val="0"/>
    <w:rPr>
      <w:b/>
      <w:bCs/>
      <w:kern w:val="2"/>
      <w:sz w:val="21"/>
      <w:szCs w:val="24"/>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Chars="200"/>
    </w:pPr>
    <w:rPr>
      <w:rFonts w:ascii="Times New Roman" w:hAnsi="Times New Roman" w:eastAsia="宋体" w:cs="Times New Roman"/>
      <w:lang w:val="en-US" w:eastAsia="zh-CN" w:bidi="ar-SA"/>
    </w:rPr>
  </w:style>
  <w:style w:type="paragraph" w:customStyle="1" w:styleId="26">
    <w:name w:val="正文1 Char Char Char"/>
    <w:basedOn w:val="1"/>
    <w:qFormat/>
    <w:uiPriority w:val="0"/>
    <w:pPr>
      <w:spacing w:line="360" w:lineRule="auto"/>
      <w:ind w:firstLine="200" w:firstLineChars="200"/>
    </w:pPr>
  </w:style>
  <w:style w:type="paragraph" w:customStyle="1" w:styleId="27">
    <w:name w:val="Body text|1"/>
    <w:basedOn w:val="1"/>
    <w:qFormat/>
    <w:uiPriority w:val="0"/>
    <w:pPr>
      <w:keepNext w:val="0"/>
      <w:keepLines w:val="0"/>
      <w:widowControl w:val="0"/>
      <w:suppressLineNumbers w:val="0"/>
      <w:spacing w:before="0" w:beforeAutospacing="0" w:after="0" w:afterAutospacing="0" w:line="412" w:lineRule="auto"/>
      <w:ind w:left="0" w:right="0" w:firstLine="400"/>
      <w:jc w:val="left"/>
    </w:pPr>
    <w:rPr>
      <w:rFonts w:hint="eastAsia" w:ascii="宋体" w:hAnsi="宋体" w:eastAsia="宋体" w:cs="宋体"/>
      <w:color w:val="000000"/>
      <w:kern w:val="0"/>
      <w:sz w:val="30"/>
      <w:szCs w:val="30"/>
      <w:lang w:val="en-US" w:eastAsia="zh-CN" w:bidi="ar"/>
    </w:rPr>
  </w:style>
  <w:style w:type="paragraph" w:customStyle="1" w:styleId="2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17</Pages>
  <Words>6916</Words>
  <Characters>7756</Characters>
  <Lines>67</Lines>
  <Paragraphs>18</Paragraphs>
  <TotalTime>6</TotalTime>
  <ScaleCrop>false</ScaleCrop>
  <LinksUpToDate>false</LinksUpToDate>
  <CharactersWithSpaces>7828</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2024-07-24T11:26:00Z</dcterms:created>
  <dc:creator>uos</dc:creator>
  <cp:lastModifiedBy>子净</cp:lastModifiedBy>
  <cp:lastPrinted>2023-08-03T08:58:00Z</cp:lastPrinted>
  <dcterms:modified xsi:type="dcterms:W3CDTF">2025-10-27T01:45:12Z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eyJoZGlkIjoiYzFhZGY0ZTViYWQyN2I0ZGJhNDk0OThkMjNkNmQ2MDYiLCJ1c2VySWQiOiI1NzcxNDg1NzIifQ==</vt:lpwstr>
  </property>
</Properties>
</file>