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rPr>
        <w:t>屯昌县教育局2024年度部门决算公开报告</w:t>
      </w:r>
    </w:p>
    <w:p>
      <w:pPr>
        <w:spacing w:line="578" w:lineRule="exact"/>
        <w:jc w:val="center"/>
        <w:rPr>
          <w:rFonts w:hint="eastAsia" w:asciiTheme="majorEastAsia" w:hAnsiTheme="majorEastAsia" w:eastAsiaTheme="majorEastAsia" w:cstheme="majorEastAsia"/>
          <w:b/>
          <w:bCs/>
          <w:color w:val="auto"/>
          <w:sz w:val="44"/>
          <w:szCs w:val="44"/>
          <w:highlight w:val="none"/>
        </w:rPr>
      </w:pPr>
    </w:p>
    <w:p>
      <w:pPr>
        <w:spacing w:line="578" w:lineRule="exact"/>
        <w:jc w:val="center"/>
        <w:rPr>
          <w:rFonts w:hint="eastAsia" w:ascii="黑体" w:hAnsi="ˎ̥" w:eastAsia="黑体"/>
          <w:b/>
          <w:color w:val="auto"/>
          <w:sz w:val="32"/>
          <w:szCs w:val="32"/>
          <w:highlight w:val="none"/>
        </w:rPr>
      </w:pPr>
    </w:p>
    <w:p>
      <w:pPr>
        <w:spacing w:line="578" w:lineRule="exact"/>
        <w:jc w:val="center"/>
        <w:rPr>
          <w:rFonts w:hint="eastAsia" w:ascii="黑体" w:hAnsi="黑体" w:eastAsia="黑体" w:cs="黑体"/>
          <w:color w:val="auto"/>
          <w:sz w:val="44"/>
          <w:szCs w:val="44"/>
          <w:highlight w:val="none"/>
        </w:rPr>
      </w:pPr>
      <w:bookmarkStart w:id="0" w:name="_Toc11440_WPSOffice_Type2"/>
      <w:r>
        <w:rPr>
          <w:rFonts w:hint="eastAsia" w:ascii="黑体" w:hAnsi="黑体" w:eastAsia="黑体" w:cs="黑体"/>
          <w:color w:val="auto"/>
          <w:sz w:val="44"/>
          <w:szCs w:val="44"/>
          <w:highlight w:val="none"/>
        </w:rPr>
        <w:t>目  录</w:t>
      </w:r>
    </w:p>
    <w:p>
      <w:pPr>
        <w:pStyle w:val="24"/>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_Toc1704_WPSOffice_Level1 </w:instrText>
      </w:r>
      <w:r>
        <w:rPr>
          <w:color w:val="auto"/>
          <w:sz w:val="32"/>
          <w:szCs w:val="32"/>
          <w:highlight w:val="none"/>
        </w:rPr>
        <w:fldChar w:fldCharType="separate"/>
      </w:r>
      <w:r>
        <w:rPr>
          <w:rFonts w:hint="eastAsia" w:ascii="黑体" w:hAnsi="ˎ̥" w:eastAsia="黑体"/>
          <w:color w:val="auto"/>
          <w:sz w:val="32"/>
          <w:szCs w:val="32"/>
          <w:highlight w:val="none"/>
        </w:rPr>
        <w:t>第一部分 基本情况</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2</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_Toc20274_WPSOffice_Level2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一、</w:t>
      </w:r>
      <w:r>
        <w:rPr>
          <w:rFonts w:hint="eastAsia" w:ascii="仿宋" w:hAnsi="仿宋" w:eastAsia="仿宋" w:cs="仿宋"/>
          <w:color w:val="auto"/>
          <w:sz w:val="32"/>
          <w:szCs w:val="32"/>
          <w:highlight w:val="none"/>
          <w:lang w:eastAsia="zh-CN"/>
        </w:rPr>
        <w:t>部门</w:t>
      </w:r>
      <w:r>
        <w:rPr>
          <w:rFonts w:hint="eastAsia" w:ascii="仿宋" w:hAnsi="仿宋" w:eastAsia="仿宋" w:cs="仿宋"/>
          <w:color w:val="auto"/>
          <w:sz w:val="32"/>
          <w:szCs w:val="32"/>
          <w:highlight w:val="none"/>
        </w:rPr>
        <w:t>职责</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2</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_Toc4833_WPSOffice_Level2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二、机构设置</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2</w:t>
      </w:r>
    </w:p>
    <w:p>
      <w:pPr>
        <w:pStyle w:val="24"/>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_Toc28253_WPSOffice_Level1 </w:instrText>
      </w:r>
      <w:r>
        <w:rPr>
          <w:color w:val="auto"/>
          <w:sz w:val="32"/>
          <w:szCs w:val="32"/>
          <w:highlight w:val="none"/>
        </w:rPr>
        <w:fldChar w:fldCharType="separate"/>
      </w: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年度部门决算公开表</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2</w:t>
      </w:r>
    </w:p>
    <w:p>
      <w:pPr>
        <w:pStyle w:val="24"/>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_Toc27590_WPSOffice_Level1 </w:instrText>
      </w:r>
      <w:r>
        <w:rPr>
          <w:color w:val="auto"/>
          <w:sz w:val="32"/>
          <w:szCs w:val="32"/>
          <w:highlight w:val="none"/>
        </w:rPr>
        <w:fldChar w:fldCharType="separate"/>
      </w:r>
      <w:r>
        <w:rPr>
          <w:rFonts w:hint="eastAsia" w:ascii="黑体" w:hAnsi="黑体" w:eastAsia="黑体" w:cs="黑体"/>
          <w:color w:val="auto"/>
          <w:sz w:val="32"/>
          <w:szCs w:val="32"/>
          <w:highlight w:val="none"/>
        </w:rPr>
        <w:t>第三部分</w:t>
      </w:r>
      <w:r>
        <w:rPr>
          <w:rFonts w:hint="eastAsia"/>
          <w:color w:val="auto"/>
          <w:sz w:val="32"/>
          <w:szCs w:val="32"/>
          <w:highlight w:val="none"/>
        </w:rPr>
        <w:t xml:space="preserve">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年度部门决算情况说明</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3</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_Toc21737_WPSOffice_Level2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一、收入支出总体情况说明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3</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二、收入决算情况说明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三、支出决算情况说明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四、财政拨款收入支出决算</w:t>
      </w:r>
      <w:r>
        <w:rPr>
          <w:rFonts w:hint="eastAsia" w:ascii="仿宋" w:hAnsi="仿宋" w:eastAsia="仿宋" w:cs="仿宋"/>
          <w:bCs/>
          <w:color w:val="auto"/>
          <w:sz w:val="32"/>
          <w:szCs w:val="32"/>
          <w:highlight w:val="none"/>
          <w:lang w:val="en-US" w:eastAsia="zh-CN"/>
        </w:rPr>
        <w:t>总体</w:t>
      </w:r>
      <w:r>
        <w:rPr>
          <w:rFonts w:hint="eastAsia" w:ascii="仿宋" w:hAnsi="仿宋" w:eastAsia="仿宋" w:cs="仿宋"/>
          <w:bCs/>
          <w:color w:val="auto"/>
          <w:sz w:val="32"/>
          <w:szCs w:val="32"/>
          <w:highlight w:val="none"/>
        </w:rPr>
        <w:t>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五、一般公共预算财政拨款支出决算情况说明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5</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六、一般公共预算财政拨款基本支出决算情况说明</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6</w:t>
      </w:r>
    </w:p>
    <w:p>
      <w:pPr>
        <w:pStyle w:val="25"/>
        <w:numPr>
          <w:ilvl w:val="0"/>
          <w:numId w:val="1"/>
        </w:numPr>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政府性基金预算财政拨款支出决算情况说明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7</w:t>
      </w:r>
    </w:p>
    <w:p>
      <w:pPr>
        <w:pStyle w:val="25"/>
        <w:numPr>
          <w:ilvl w:val="0"/>
          <w:numId w:val="1"/>
        </w:numPr>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国有资本经营预算财政拨款支出决算情况说明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8</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九、财政拨款“三公”经费支出决算情况说明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9</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十、预算绩效情况说明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11</w:t>
      </w:r>
    </w:p>
    <w:p>
      <w:pPr>
        <w:pStyle w:val="25"/>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十一、其他重要事项情况说明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13</w:t>
      </w:r>
    </w:p>
    <w:p>
      <w:pPr>
        <w:pStyle w:val="24"/>
        <w:tabs>
          <w:tab w:val="right" w:leader="dot" w:pos="8306"/>
        </w:tabs>
        <w:spacing w:line="578" w:lineRule="exact"/>
        <w:rPr>
          <w:rFonts w:hint="eastAsia" w:ascii="黑体" w:hAnsi="ˎ̥"/>
          <w:b/>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_Toc15425_WPSOffice_Level1 </w:instrText>
      </w:r>
      <w:r>
        <w:rPr>
          <w:color w:val="auto"/>
          <w:sz w:val="32"/>
          <w:szCs w:val="32"/>
          <w:highlight w:val="none"/>
        </w:rPr>
        <w:fldChar w:fldCharType="separate"/>
      </w:r>
      <w:r>
        <w:rPr>
          <w:rFonts w:hint="eastAsia" w:ascii="黑体" w:hAnsi="ˎ̥" w:eastAsia="黑体"/>
          <w:color w:val="auto"/>
          <w:sz w:val="32"/>
          <w:szCs w:val="32"/>
          <w:highlight w:val="none"/>
        </w:rPr>
        <w:t>第四部分  名词解释</w:t>
      </w:r>
      <w:r>
        <w:rPr>
          <w:color w:val="auto"/>
          <w:sz w:val="32"/>
          <w:szCs w:val="32"/>
          <w:highlight w:val="none"/>
        </w:rPr>
        <w:tab/>
      </w:r>
      <w:bookmarkStart w:id="1" w:name="_Toc15425_WPSOffice_Level1Page"/>
      <w:r>
        <w:rPr>
          <w:color w:val="auto"/>
          <w:sz w:val="32"/>
          <w:szCs w:val="32"/>
          <w:highlight w:val="none"/>
        </w:rPr>
        <w:t>1</w:t>
      </w:r>
      <w:bookmarkEnd w:id="1"/>
      <w:r>
        <w:rPr>
          <w:color w:val="auto"/>
          <w:sz w:val="32"/>
          <w:szCs w:val="32"/>
          <w:highlight w:val="none"/>
        </w:rPr>
        <w:fldChar w:fldCharType="end"/>
      </w:r>
      <w:bookmarkEnd w:id="0"/>
      <w:r>
        <w:rPr>
          <w:rFonts w:hint="eastAsia"/>
          <w:color w:val="auto"/>
          <w:sz w:val="32"/>
          <w:szCs w:val="32"/>
          <w:highlight w:val="none"/>
        </w:rPr>
        <w:t>5</w:t>
      </w:r>
    </w:p>
    <w:p>
      <w:pPr>
        <w:spacing w:line="578" w:lineRule="exact"/>
        <w:jc w:val="both"/>
        <w:rPr>
          <w:rFonts w:hint="eastAsia" w:ascii="黑体" w:hAnsi="ˎ̥" w:eastAsia="黑体"/>
          <w:color w:val="auto"/>
          <w:sz w:val="32"/>
          <w:szCs w:val="32"/>
          <w:highlight w:val="none"/>
        </w:rPr>
      </w:pPr>
      <w:bookmarkStart w:id="2" w:name="_Toc23465_WPSOffice_Level1"/>
      <w:bookmarkStart w:id="3" w:name="_Toc10720_WPSOffice_Level1"/>
      <w:bookmarkStart w:id="4" w:name="_Toc32433_WPSOffice_Level1"/>
      <w:bookmarkStart w:id="5" w:name="_Toc1704_WPSOffice_Level1"/>
      <w:bookmarkStart w:id="6" w:name="_Toc10049_WPSOffice_Level1"/>
      <w:bookmarkStart w:id="7" w:name="_Toc22941_WPSOffice_Level1"/>
      <w:bookmarkStart w:id="8" w:name="_Toc24238_WPSOffice_Level2"/>
      <w:bookmarkStart w:id="9" w:name="_Toc14159_WPSOffice_Level2"/>
      <w:bookmarkStart w:id="10" w:name="_Toc20274_WPSOffice_Level2"/>
      <w:bookmarkStart w:id="11" w:name="_Toc32622_WPSOffice_Level2"/>
      <w:bookmarkStart w:id="12" w:name="_Toc26580_WPSOffice_Level2"/>
      <w:bookmarkStart w:id="13" w:name="_Toc20205_WPSOffice_Level2"/>
    </w:p>
    <w:p>
      <w:pPr>
        <w:spacing w:line="578" w:lineRule="exact"/>
        <w:jc w:val="center"/>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第一部分  </w:t>
      </w:r>
      <w:bookmarkEnd w:id="2"/>
      <w:bookmarkEnd w:id="3"/>
      <w:bookmarkEnd w:id="4"/>
      <w:bookmarkEnd w:id="5"/>
      <w:bookmarkEnd w:id="6"/>
      <w:bookmarkEnd w:id="7"/>
      <w:r>
        <w:rPr>
          <w:rFonts w:hint="eastAsia" w:ascii="黑体" w:hAnsi="ˎ̥" w:eastAsia="黑体"/>
          <w:color w:val="auto"/>
          <w:sz w:val="32"/>
          <w:szCs w:val="32"/>
          <w:highlight w:val="none"/>
        </w:rPr>
        <w:t>基本情况</w:t>
      </w:r>
    </w:p>
    <w:p>
      <w:pPr>
        <w:spacing w:line="578" w:lineRule="exact"/>
        <w:ind w:firstLine="640" w:firstLineChars="200"/>
        <w:rPr>
          <w:rFonts w:hint="eastAsia" w:ascii="楷体" w:hAnsi="楷体" w:eastAsia="楷体" w:cs="楷体"/>
          <w:color w:val="auto"/>
          <w:sz w:val="32"/>
          <w:szCs w:val="32"/>
          <w:highlight w:val="none"/>
        </w:rPr>
      </w:pPr>
    </w:p>
    <w:bookmarkEnd w:id="8"/>
    <w:p>
      <w:pPr>
        <w:numPr>
          <w:ilvl w:val="0"/>
          <w:numId w:val="2"/>
        </w:numPr>
        <w:spacing w:line="578"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eastAsia="zh-CN"/>
        </w:rPr>
        <w:t>部门</w:t>
      </w:r>
      <w:r>
        <w:rPr>
          <w:rFonts w:hint="eastAsia" w:ascii="黑体" w:hAnsi="黑体" w:eastAsia="黑体" w:cs="黑体"/>
          <w:color w:val="auto"/>
          <w:sz w:val="32"/>
          <w:szCs w:val="32"/>
          <w:highlight w:val="none"/>
        </w:rPr>
        <w:t>职责</w:t>
      </w:r>
      <w:bookmarkEnd w:id="9"/>
      <w:bookmarkEnd w:id="10"/>
      <w:bookmarkEnd w:id="11"/>
      <w:bookmarkEnd w:id="12"/>
      <w:bookmarkEnd w:id="13"/>
    </w:p>
    <w:p>
      <w:pPr>
        <w:pStyle w:val="14"/>
        <w:widowControl/>
        <w:spacing w:beforeAutospacing="0" w:afterAutospacing="0"/>
        <w:ind w:firstLine="640" w:firstLineChars="200"/>
        <w:jc w:val="both"/>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（一）贯彻执行党和国家的教育、科技创新工作的方针、政策、法律、法规；落实县委县政府和县委教育工作领导小组的决策部署、中国（海南）自由贸易试验区和中国特色自由贸易港政策措施。</w:t>
      </w:r>
    </w:p>
    <w:p>
      <w:pPr>
        <w:pStyle w:val="14"/>
        <w:widowControl/>
        <w:spacing w:beforeAutospacing="0" w:afterAutospacing="0"/>
        <w:ind w:firstLine="640" w:firstLineChars="200"/>
        <w:jc w:val="both"/>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（二）负责对全县各级各类学校贯彻落实中央、省委关于加强党的建设和思想政治工作的方针政策和县委有关决策部署情况进行检查、指导与督促；领导局机关及所属单位（学校）党组织的工作。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三）研究拟订教育改革与发展的政策、计划、规划并组织实施。指导全县各级各类学校的教育教学改革与发展，研究提出有关教育工作的意见和建议。统筹规划和协调管理全县各级各类教育资源，指导监督全县各级各类学校及其他教育机构的设置。统筹协调全县教育信息化建设工作。 负责教育基本信息的统计、分析和发布。</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四）依法组织实施对全县各级各类学校及其他教育机构督导评估和检查验收工作。负责对各镇人民政府履行教育职责、各级各类教育机构及其他教育机构的办学情况进行督导、检查、评估。监测全县各级各类教育发展水平和质量。 负责组织全县教育重大事项的专项督导。</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（五）负责推进义务教育均衡发展， 促进教育公平。 统筹指导少数民族教育工作，协调对少数民族地区教育的扶持与援助。负责全县幼儿教育、义务教育、普通高中教育、特殊教育和校外教育的统筹管理工作，全面实施素质教育。</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六）负责全县教学教研、教学信息化建设管理等工作；统筹管理本部门教育经费及县外对本县的教育援助、教育贷款；参与拟订教育经费筹措、教育拨款、教育基建投资、教育收费的政策规定；监测全县教育经费的筹措和使用情况； 组织管理全县学生资助工作；协调开展全县教育系统内部审计工作。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（七）指导全县各级各类学校思想政治工作、德育工作、 法制宣传教育工作、体育卫生与美育工作、劳动教育及国防教育工作。指导、协调教育系统维护稳定以及学校安全工作。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八）主管全县教师和外国专家工作。统筹协调各级各类学校校长、教师培训和教师教育，指导教师资格制度、教师专业技术职务制度的实施。指导全县各级各类学校人事制度改革工作，推进全县教育领域人才及外国专家队伍建设。</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九）负责全县中小学的学籍管理工作，指导义务教育和学前教育的学籍管理工作。负责招生考务工作。制定实施中小学招生改革方案，制订中小学招生计划并负责组织实施。负责中小学校和高中毕业证书的验印和发放。</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（十）加强教育领域对外开放。组织和开展国内外教育交流与合作。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（十一）承担全县语言文字的管理工作。制订全县语言文字中长期规划并组织实施，指导语言文字规范化建设，监督检查语言文字的应用情况，负责普通话推广和普通话水平测试管理工作。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（十二）管理全县科技成果、科技奖励、科技保密、技术市场等工作；促进科技咨询、科技评估、专利服务、技术交易等社会中介组织的发展，推动科技服务体系的建设。</w:t>
      </w:r>
    </w:p>
    <w:p>
      <w:pPr>
        <w:pStyle w:val="2"/>
        <w:numPr>
          <w:numId w:val="0"/>
        </w:numPr>
        <w:ind w:firstLine="640" w:firstLineChars="200"/>
        <w:rPr>
          <w:rFonts w:hint="eastAsia"/>
          <w:highlight w:val="none"/>
        </w:rPr>
      </w:pPr>
      <w:r>
        <w:rPr>
          <w:rFonts w:ascii="仿宋_GB2312" w:hAnsi="仿宋_GB2312" w:eastAsia="仿宋_GB2312" w:cs="仿宋_GB2312"/>
          <w:sz w:val="32"/>
          <w:szCs w:val="32"/>
          <w:highlight w:val="none"/>
        </w:rPr>
        <w:t>（十三）承办县委、县政府和上级部门交办的其他任务。</w:t>
      </w:r>
    </w:p>
    <w:p>
      <w:pPr>
        <w:spacing w:line="578" w:lineRule="exact"/>
        <w:ind w:firstLine="640" w:firstLineChars="200"/>
        <w:rPr>
          <w:rFonts w:hint="eastAsia" w:ascii="黑体" w:hAnsi="黑体" w:eastAsia="黑体" w:cs="黑体"/>
          <w:color w:val="auto"/>
          <w:sz w:val="32"/>
          <w:szCs w:val="32"/>
          <w:highlight w:val="none"/>
        </w:rPr>
      </w:pPr>
      <w:bookmarkStart w:id="14" w:name="_Toc17796_WPSOffice_Level2"/>
      <w:bookmarkStart w:id="15" w:name="_Toc24059_WPSOffice_Level2"/>
      <w:bookmarkStart w:id="16" w:name="_Toc24474_WPSOffice_Level2"/>
      <w:bookmarkStart w:id="17" w:name="_Toc4833_WPSOffice_Level2"/>
      <w:bookmarkStart w:id="18" w:name="_Toc6572_WPSOffice_Level2"/>
      <w:r>
        <w:rPr>
          <w:rFonts w:hint="eastAsia" w:ascii="黑体" w:hAnsi="黑体" w:eastAsia="黑体" w:cs="黑体"/>
          <w:color w:val="auto"/>
          <w:sz w:val="32"/>
          <w:szCs w:val="32"/>
          <w:highlight w:val="none"/>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纳入</w:t>
      </w:r>
      <w:r>
        <w:rPr>
          <w:rFonts w:hint="eastAsia" w:ascii="仿宋_GB2312" w:hAnsi="ˎ̥" w:eastAsia="仿宋_GB2312"/>
          <w:color w:val="auto"/>
          <w:sz w:val="32"/>
          <w:szCs w:val="32"/>
          <w:highlight w:val="none"/>
          <w:lang w:val="en-US" w:eastAsia="zh-CN"/>
        </w:rPr>
        <w:t>屯昌县教育部门</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年度部门决算编制范围的单位共</w:t>
      </w:r>
      <w:r>
        <w:rPr>
          <w:rFonts w:hint="eastAsia" w:ascii="仿宋_GB2312" w:hAnsi="ˎ̥" w:eastAsia="仿宋_GB2312"/>
          <w:color w:val="auto"/>
          <w:sz w:val="32"/>
          <w:szCs w:val="32"/>
          <w:highlight w:val="none"/>
          <w:lang w:val="en-US" w:eastAsia="zh-CN"/>
        </w:rPr>
        <w:t>53</w:t>
      </w:r>
      <w:r>
        <w:rPr>
          <w:rFonts w:hint="eastAsia" w:ascii="仿宋_GB2312" w:hAnsi="ˎ̥" w:eastAsia="仿宋_GB2312"/>
          <w:color w:val="auto"/>
          <w:sz w:val="32"/>
          <w:szCs w:val="32"/>
          <w:highlight w:val="none"/>
        </w:rPr>
        <w:t>个，包括：</w:t>
      </w:r>
    </w:p>
    <w:p>
      <w:pPr>
        <w:keepNext w:val="0"/>
        <w:keepLines w:val="0"/>
        <w:widowControl/>
        <w:suppressLineNumbers w:val="0"/>
        <w:autoSpaceDE w:val="0"/>
        <w:autoSpaceDN/>
        <w:spacing w:before="0" w:beforeAutospacing="0" w:after="0" w:afterAutospacing="0" w:line="590" w:lineRule="exact"/>
        <w:ind w:left="0" w:right="0" w:firstLine="640" w:firstLineChars="200"/>
        <w:jc w:val="both"/>
        <w:rPr>
          <w:rFonts w:hint="eastAsia" w:ascii="楷体" w:hAnsi="楷体" w:eastAsia="楷体" w:cs="楷体"/>
          <w:kern w:val="0"/>
          <w:sz w:val="32"/>
          <w:szCs w:val="32"/>
          <w:highlight w:val="none"/>
        </w:rPr>
      </w:pPr>
      <w:r>
        <w:rPr>
          <w:rFonts w:hint="eastAsia" w:ascii="楷体" w:hAnsi="楷体" w:eastAsia="楷体" w:cs="楷体"/>
          <w:kern w:val="0"/>
          <w:sz w:val="32"/>
          <w:szCs w:val="32"/>
          <w:highlight w:val="none"/>
        </w:rPr>
        <w:t>（一）屯昌县教育局本级</w:t>
      </w:r>
    </w:p>
    <w:p>
      <w:pPr>
        <w:keepNext w:val="0"/>
        <w:keepLines w:val="0"/>
        <w:widowControl/>
        <w:suppressLineNumbers w:val="0"/>
        <w:autoSpaceDE w:val="0"/>
        <w:autoSpaceDN/>
        <w:spacing w:before="0" w:beforeAutospacing="0" w:after="0" w:afterAutospacing="0" w:line="590" w:lineRule="exact"/>
        <w:ind w:left="0" w:right="0" w:firstLine="640" w:firstLineChars="200"/>
        <w:jc w:val="both"/>
        <w:rPr>
          <w:rFonts w:hint="eastAsia" w:ascii="楷体" w:hAnsi="楷体" w:eastAsia="楷体" w:cs="楷体"/>
          <w:kern w:val="0"/>
          <w:sz w:val="32"/>
          <w:szCs w:val="32"/>
          <w:highlight w:val="none"/>
        </w:rPr>
      </w:pPr>
      <w:r>
        <w:rPr>
          <w:rFonts w:hint="eastAsia" w:ascii="楷体" w:hAnsi="楷体" w:eastAsia="楷体" w:cs="楷体"/>
          <w:kern w:val="0"/>
          <w:sz w:val="32"/>
          <w:szCs w:val="32"/>
          <w:highlight w:val="none"/>
        </w:rPr>
        <w:t>（二）屯昌县教育系统（下属单位）</w:t>
      </w:r>
    </w:p>
    <w:p>
      <w:pPr>
        <w:spacing w:line="578" w:lineRule="exact"/>
        <w:ind w:firstLine="640" w:firstLineChars="200"/>
        <w:rPr>
          <w:rFonts w:hint="eastAsia" w:ascii="仿宋_GB2312" w:hAnsi="ˎ̥" w:eastAsia="仿宋_GB2312"/>
          <w:color w:val="auto"/>
          <w:sz w:val="32"/>
          <w:szCs w:val="32"/>
          <w:highlight w:val="none"/>
          <w:lang w:eastAsia="zh-CN"/>
        </w:rPr>
      </w:pPr>
      <w:r>
        <w:rPr>
          <w:rFonts w:hint="eastAsia" w:ascii="仿宋_GB2312" w:hAnsi="ˎ̥" w:eastAsia="仿宋_GB2312" w:cs="仿宋_GB2312"/>
          <w:kern w:val="0"/>
          <w:sz w:val="32"/>
          <w:szCs w:val="32"/>
          <w:highlight w:val="none"/>
          <w:shd w:val="clear" w:fill="FFFFFF"/>
        </w:rPr>
        <w:t>屯昌县教育研究培训中心、屯昌县青少年活动中心、屯昌县屯昌中学、海南屯昌思源实验中学、屯昌县红旗中学、屯昌县南坤镇南坤中学、屯昌县南吕镇南吕中学、屯昌县南坤镇黄岭中学、屯昌县新兴镇新兴中学、屯昌县枫木镇枫木中学、屯昌县乌坡镇乌坡学校、屯昌县坡心镇坡心中学、屯昌县屯城镇大同中学、海南屯昌思源实验学校、屯昌县坡心镇中建学校、屯昌县西昌镇晨星学校、屯昌县特殊教育学校、屯昌县向阳中心小学、屯昌县屯昌小学、屯昌实验小学、屯昌县屯城镇竹头塘小学、屯昌县屯城镇水口中心小学、屯昌县新兴镇新兴中心小学、屯昌县屯城镇大同中心小学、屯昌县南吕镇南吕中心小学、屯昌县西昌镇西昌中心小学、屯昌县坡心镇坡心中心小学、屯昌县枫木镇枫木中心小学、屯昌县南坤镇藤寨中心小学、屯昌县南坤镇榕仔中心小学、屯昌县南坤镇南坤中心小学、屯昌县幼儿园、屯昌县第二幼儿园、常州市武进区机关幼儿园教育集团屯昌实验幼儿园、屯昌县屯城镇中心幼儿园、屯昌县屯城镇大陆坡幼儿园、屯昌县新兴镇中心幼儿园、屯昌县新兴镇第二幼儿园、屯昌县西昌镇中心幼儿园、屯昌县西昌镇南田幼儿园、屯昌县南吕镇中心幼儿园、屯昌县南吕镇第二幼儿园、屯昌县坡心镇中心幼儿园、屯昌县枫木镇中心幼儿园、屯昌县南坤镇中心幼儿园、屯昌县南坤镇黄岭幼儿园、屯昌县南坤镇藤寨幼儿园、屯昌县南坤镇中坤幼儿园、屯昌县南坤镇加握幼儿园、屯昌县乌坡镇中心幼儿园、屯昌县乌坡镇第二幼儿园</w:t>
      </w:r>
      <w:r>
        <w:rPr>
          <w:rFonts w:hint="eastAsia" w:ascii="仿宋_GB2312" w:hAnsi="ˎ̥" w:eastAsia="仿宋_GB2312" w:cs="仿宋_GB2312"/>
          <w:kern w:val="0"/>
          <w:sz w:val="32"/>
          <w:szCs w:val="32"/>
          <w:highlight w:val="none"/>
          <w:shd w:val="clear" w:fill="FFFFFF"/>
          <w:lang w:eastAsia="zh-CN"/>
        </w:rPr>
        <w:t>。</w:t>
      </w:r>
    </w:p>
    <w:p>
      <w:pPr>
        <w:spacing w:line="578" w:lineRule="exact"/>
        <w:jc w:val="center"/>
        <w:rPr>
          <w:rFonts w:hint="eastAsia" w:ascii="黑体" w:hAnsi="ˎ̥" w:eastAsia="黑体"/>
          <w:color w:val="auto"/>
          <w:sz w:val="32"/>
          <w:szCs w:val="32"/>
          <w:highlight w:val="none"/>
        </w:rPr>
      </w:pPr>
      <w:bookmarkStart w:id="19" w:name="_Toc28253_WPSOffice_Level1"/>
      <w:bookmarkStart w:id="20" w:name="_Toc30451_WPSOffice_Level1"/>
      <w:bookmarkStart w:id="21" w:name="_Toc15521_WPSOffice_Level1"/>
      <w:bookmarkStart w:id="22" w:name="_Toc30690_WPSOffice_Level1"/>
      <w:bookmarkStart w:id="23" w:name="_Toc6234_WPSOffice_Level1"/>
      <w:bookmarkStart w:id="24" w:name="_Toc8164_WPSOffice_Level1"/>
      <w:bookmarkStart w:id="25" w:name="_Toc11518_WPSOffice_Level2"/>
      <w:bookmarkStart w:id="26" w:name="_Toc32695_WPSOffice_Level2"/>
      <w:bookmarkStart w:id="27" w:name="_Toc32472_WPSOffice_Level2"/>
      <w:bookmarkStart w:id="28" w:name="_Toc6211_WPSOffice_Level2"/>
      <w:bookmarkStart w:id="29" w:name="_Toc8867_WPSOffice_Level2"/>
      <w:bookmarkStart w:id="30" w:name="_Toc4029_WPSOffice_Level2"/>
    </w:p>
    <w:p>
      <w:pPr>
        <w:spacing w:line="578" w:lineRule="exact"/>
        <w:jc w:val="center"/>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auto"/>
          <w:sz w:val="32"/>
          <w:szCs w:val="32"/>
          <w:highlight w:val="none"/>
        </w:rPr>
      </w:pPr>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auto"/>
          <w:sz w:val="32"/>
          <w:szCs w:val="32"/>
          <w:highlight w:val="none"/>
        </w:rPr>
      </w:pPr>
      <w:bookmarkStart w:id="31" w:name="_Toc14349_WPSOffice_Level2"/>
      <w:bookmarkStart w:id="32" w:name="_Toc26621_WPSOffice_Level2"/>
      <w:bookmarkStart w:id="33" w:name="_Toc23139_WPSOffice_Level2"/>
      <w:bookmarkStart w:id="34" w:name="_Toc28622_WPSOffice_Level2"/>
      <w:bookmarkStart w:id="35" w:name="_Toc30334_WPSOffice_Level2"/>
      <w:bookmarkStart w:id="36" w:name="_Toc25608_WPSOffice_Level2"/>
      <w:r>
        <w:rPr>
          <w:rFonts w:hint="eastAsia" w:ascii="黑体" w:hAnsi="黑体" w:eastAsia="黑体" w:cs="黑体"/>
          <w:color w:val="auto"/>
          <w:sz w:val="32"/>
          <w:szCs w:val="32"/>
          <w:highlight w:val="none"/>
        </w:rPr>
        <w:t>二、收入决算公开表</w:t>
      </w:r>
      <w:bookmarkEnd w:id="31"/>
      <w:bookmarkEnd w:id="32"/>
      <w:bookmarkEnd w:id="33"/>
      <w:bookmarkEnd w:id="34"/>
      <w:bookmarkEnd w:id="35"/>
      <w:bookmarkEnd w:id="36"/>
      <w:bookmarkStart w:id="37" w:name="_Toc3262_WPSOffice_Level2"/>
      <w:bookmarkStart w:id="38" w:name="_Toc13854_WPSOffice_Level2"/>
      <w:bookmarkStart w:id="39" w:name="_Toc5489_WPSOffice_Level2"/>
      <w:bookmarkStart w:id="40" w:name="_Toc17626_WPSOffice_Level2"/>
      <w:bookmarkStart w:id="41" w:name="_Toc17858_WPSOffice_Level2"/>
      <w:bookmarkStart w:id="42" w:name="_Toc14658_WPSOffice_Level2"/>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三、支出决算公开表</w:t>
      </w:r>
      <w:bookmarkEnd w:id="37"/>
      <w:bookmarkEnd w:id="38"/>
      <w:bookmarkEnd w:id="39"/>
      <w:bookmarkEnd w:id="40"/>
      <w:bookmarkEnd w:id="41"/>
      <w:bookmarkEnd w:id="42"/>
      <w:bookmarkStart w:id="43" w:name="_Toc13701_WPSOffice_Level2"/>
      <w:bookmarkStart w:id="44" w:name="_Toc23591_WPSOffice_Level2"/>
      <w:bookmarkStart w:id="45" w:name="_Toc23493_WPSOffice_Level2"/>
      <w:bookmarkStart w:id="46" w:name="_Toc4265_WPSOffice_Level2"/>
      <w:bookmarkStart w:id="47" w:name="_Toc21415_WPSOffice_Level2"/>
      <w:bookmarkStart w:id="48" w:name="_Toc7988_WPSOffice_Level2"/>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auto"/>
          <w:sz w:val="32"/>
          <w:szCs w:val="32"/>
          <w:highlight w:val="none"/>
        </w:rPr>
      </w:pPr>
      <w:bookmarkStart w:id="49" w:name="_Toc22783_WPSOffice_Level2"/>
      <w:bookmarkStart w:id="50" w:name="_Toc25166_WPSOffice_Level2"/>
      <w:bookmarkStart w:id="51" w:name="_Toc23829_WPSOffice_Level2"/>
      <w:bookmarkStart w:id="52" w:name="_Toc7879_WPSOffice_Level2"/>
      <w:bookmarkStart w:id="53" w:name="_Toc13516_WPSOffice_Level2"/>
      <w:bookmarkStart w:id="54" w:name="_Toc2158_WPSOffice_Level2"/>
      <w:r>
        <w:rPr>
          <w:rFonts w:hint="eastAsia" w:ascii="黑体" w:hAnsi="黑体" w:eastAsia="黑体" w:cs="黑体"/>
          <w:color w:val="auto"/>
          <w:sz w:val="32"/>
          <w:szCs w:val="32"/>
          <w:highlight w:val="none"/>
        </w:rPr>
        <w:t>五、一般公共预算财政拨款收入支出决算</w:t>
      </w:r>
      <w:bookmarkEnd w:id="49"/>
      <w:bookmarkEnd w:id="50"/>
      <w:bookmarkEnd w:id="51"/>
      <w:bookmarkEnd w:id="52"/>
      <w:r>
        <w:rPr>
          <w:rFonts w:hint="eastAsia" w:ascii="黑体" w:hAnsi="黑体" w:eastAsia="黑体" w:cs="黑体"/>
          <w:color w:val="auto"/>
          <w:sz w:val="32"/>
          <w:szCs w:val="32"/>
          <w:highlight w:val="none"/>
        </w:rPr>
        <w:t>公开表</w:t>
      </w:r>
      <w:bookmarkEnd w:id="53"/>
      <w:bookmarkEnd w:id="54"/>
      <w:bookmarkStart w:id="55" w:name="_Toc8373_WPSOffice_Level2"/>
      <w:bookmarkStart w:id="56" w:name="_Toc5343_WPSOffice_Level2"/>
      <w:bookmarkStart w:id="57" w:name="_Toc2632_WPSOffice_Level2"/>
      <w:bookmarkStart w:id="58" w:name="_Toc17283_WPSOffice_Level2"/>
      <w:bookmarkStart w:id="59" w:name="_Toc25362_WPSOffice_Level2"/>
      <w:bookmarkStart w:id="60" w:name="_Toc17833_WPSOffice_Level2"/>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highlight w:val="none"/>
        </w:rPr>
        <w:t>公开表</w:t>
      </w:r>
    </w:p>
    <w:p>
      <w:pPr>
        <w:spacing w:line="578" w:lineRule="exact"/>
        <w:ind w:left="1118" w:leftChars="304" w:hanging="480" w:hangingChars="150"/>
        <w:rPr>
          <w:rFonts w:hint="eastAsia" w:ascii="黑体" w:hAnsi="黑体" w:eastAsia="黑体" w:cs="黑体"/>
          <w:color w:val="auto"/>
          <w:sz w:val="32"/>
          <w:szCs w:val="32"/>
          <w:highlight w:val="none"/>
        </w:rPr>
      </w:pPr>
      <w:bookmarkStart w:id="61" w:name="_Toc1533_WPSOffice_Level2"/>
      <w:bookmarkStart w:id="62" w:name="_Toc11799_WPSOffice_Level2"/>
      <w:bookmarkStart w:id="63" w:name="_Toc6020_WPSOffice_Level2"/>
      <w:bookmarkStart w:id="64" w:name="_Toc13345_WPSOffice_Level2"/>
      <w:bookmarkStart w:id="65" w:name="_Toc21310_WPSOffice_Level2"/>
      <w:bookmarkStart w:id="66" w:name="_Toc5594_WPSOffice_Level2"/>
      <w:r>
        <w:rPr>
          <w:rFonts w:hint="eastAsia" w:ascii="黑体" w:hAnsi="黑体" w:eastAsia="黑体" w:cs="黑体"/>
          <w:color w:val="auto"/>
          <w:sz w:val="32"/>
          <w:szCs w:val="32"/>
          <w:highlight w:val="none"/>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highlight w:val="none"/>
        </w:rPr>
        <w:t>公开表</w:t>
      </w:r>
    </w:p>
    <w:p>
      <w:pPr>
        <w:spacing w:line="578" w:lineRule="exact"/>
        <w:ind w:left="1118" w:leftChars="304" w:hanging="480" w:hangingChars="15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八、国有资本经营预算财政拨款收入支出决算公开表</w:t>
      </w:r>
    </w:p>
    <w:p>
      <w:pPr>
        <w:spacing w:line="578" w:lineRule="exact"/>
        <w:ind w:firstLine="640"/>
        <w:rPr>
          <w:rFonts w:hint="eastAsia" w:ascii="黑体" w:hAnsi="黑体" w:eastAsia="黑体" w:cs="黑体"/>
          <w:color w:val="auto"/>
          <w:sz w:val="32"/>
          <w:szCs w:val="32"/>
          <w:highlight w:val="none"/>
        </w:rPr>
      </w:pPr>
      <w:bookmarkStart w:id="67" w:name="_Toc29886_WPSOffice_Level2"/>
      <w:bookmarkStart w:id="68" w:name="_Toc19961_WPSOffice_Level2"/>
      <w:bookmarkStart w:id="69" w:name="_Toc1820_WPSOffice_Level2"/>
      <w:bookmarkStart w:id="70" w:name="_Toc9377_WPSOffice_Level2"/>
      <w:r>
        <w:rPr>
          <w:rFonts w:hint="eastAsia" w:ascii="黑体" w:hAnsi="黑体" w:eastAsia="黑体" w:cs="黑体"/>
          <w:color w:val="auto"/>
          <w:sz w:val="32"/>
          <w:szCs w:val="32"/>
          <w:highlight w:val="none"/>
        </w:rPr>
        <w:t>九、财政拨款“三公”经费支出决算</w:t>
      </w:r>
      <w:bookmarkEnd w:id="67"/>
      <w:bookmarkEnd w:id="68"/>
      <w:bookmarkEnd w:id="69"/>
      <w:bookmarkEnd w:id="70"/>
      <w:r>
        <w:rPr>
          <w:rFonts w:hint="eastAsia" w:ascii="黑体" w:hAnsi="黑体" w:eastAsia="黑体" w:cs="黑体"/>
          <w:color w:val="auto"/>
          <w:sz w:val="32"/>
          <w:szCs w:val="32"/>
          <w:highlight w:val="none"/>
        </w:rPr>
        <w:t>公开表</w:t>
      </w:r>
    </w:p>
    <w:p>
      <w:pPr>
        <w:spacing w:line="578" w:lineRule="exact"/>
        <w:ind w:firstLine="640"/>
        <w:rPr>
          <w:rFonts w:hint="eastAsia" w:ascii="仿宋" w:hAnsi="仿宋" w:eastAsia="仿宋" w:cs="仿宋"/>
          <w:color w:val="auto"/>
          <w:w w:val="100"/>
          <w:sz w:val="32"/>
          <w:szCs w:val="32"/>
          <w:highlight w:val="none"/>
        </w:rPr>
      </w:pPr>
      <w:r>
        <w:rPr>
          <w:rFonts w:hint="eastAsia" w:ascii="仿宋" w:hAnsi="仿宋" w:eastAsia="仿宋" w:cs="仿宋"/>
          <w:color w:val="auto"/>
          <w:w w:val="100"/>
          <w:sz w:val="32"/>
          <w:szCs w:val="32"/>
          <w:highlight w:val="none"/>
        </w:rPr>
        <w:t xml:space="preserve">以上报表见附件1。   </w:t>
      </w:r>
    </w:p>
    <w:p>
      <w:pPr>
        <w:spacing w:line="578" w:lineRule="exact"/>
        <w:rPr>
          <w:rFonts w:hint="eastAsia" w:ascii="黑体" w:hAnsi="黑体" w:eastAsia="黑体" w:cs="黑体"/>
          <w:color w:val="auto"/>
          <w:sz w:val="32"/>
          <w:szCs w:val="32"/>
          <w:highlight w:val="none"/>
        </w:rPr>
      </w:pPr>
    </w:p>
    <w:p>
      <w:pPr>
        <w:spacing w:line="578" w:lineRule="exact"/>
        <w:jc w:val="center"/>
        <w:rPr>
          <w:rFonts w:hint="eastAsia" w:ascii="黑体" w:hAnsi="ˎ̥" w:eastAsia="黑体"/>
          <w:color w:val="auto"/>
          <w:sz w:val="32"/>
          <w:szCs w:val="32"/>
          <w:highlight w:val="none"/>
        </w:rPr>
      </w:pPr>
      <w:bookmarkStart w:id="71" w:name="_Toc16686_WPSOffice_Level1"/>
      <w:bookmarkStart w:id="72" w:name="_Toc28629_WPSOffice_Level1"/>
      <w:bookmarkStart w:id="73" w:name="_Toc29683_WPSOffice_Level1"/>
      <w:bookmarkStart w:id="74" w:name="_Toc31264_WPSOffice_Level1"/>
      <w:bookmarkStart w:id="75" w:name="_Toc27590_WPSOffice_Level1"/>
      <w:bookmarkStart w:id="76" w:name="_Toc4402_WPSOffice_Level1"/>
      <w:r>
        <w:rPr>
          <w:rFonts w:hint="eastAsia" w:ascii="黑体" w:hAnsi="ˎ̥" w:eastAsia="黑体"/>
          <w:color w:val="auto"/>
          <w:sz w:val="32"/>
          <w:szCs w:val="32"/>
          <w:highlight w:val="none"/>
        </w:rPr>
        <w:t xml:space="preserve">第三部分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黑体" w:hAnsi="黑体" w:eastAsia="黑体" w:cs="黑体"/>
          <w:bCs/>
          <w:color w:val="auto"/>
          <w:sz w:val="32"/>
          <w:szCs w:val="32"/>
          <w:highlight w:val="none"/>
        </w:rPr>
        <w:t>一、收入支出总体情况说明</w:t>
      </w:r>
      <w:r>
        <w:rPr>
          <w:rFonts w:hint="eastAsia" w:ascii="黑体" w:hAnsi="黑体" w:eastAsia="黑体" w:cs="黑体"/>
          <w:bCs/>
          <w:color w:val="auto"/>
          <w:sz w:val="32"/>
          <w:szCs w:val="32"/>
          <w:highlight w:val="none"/>
        </w:rPr>
        <w:br w:type="textWrapping"/>
      </w:r>
      <w:r>
        <w:rPr>
          <w:rFonts w:hint="eastAsia" w:ascii="楷体_GB2312" w:hAnsi="ˎ̥" w:eastAsia="楷体_GB2312"/>
          <w:color w:val="auto"/>
          <w:sz w:val="32"/>
          <w:szCs w:val="32"/>
          <w:highlight w:val="none"/>
        </w:rPr>
        <w:t xml:space="preserve">    </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年度收入总计</w:t>
      </w:r>
      <w:r>
        <w:rPr>
          <w:rFonts w:hint="default" w:ascii="仿宋_GB2312" w:hAnsi="ˎ̥" w:eastAsia="仿宋_GB2312"/>
          <w:color w:val="auto"/>
          <w:sz w:val="32"/>
          <w:szCs w:val="32"/>
          <w:highlight w:val="none"/>
          <w:lang w:val="en-US"/>
        </w:rPr>
        <w:t>95,263.69</w:t>
      </w:r>
      <w:r>
        <w:rPr>
          <w:rFonts w:hint="eastAsia" w:ascii="仿宋_GB2312" w:hAnsi="ˎ̥" w:eastAsia="仿宋_GB2312"/>
          <w:color w:val="auto"/>
          <w:sz w:val="32"/>
          <w:szCs w:val="32"/>
          <w:highlight w:val="none"/>
        </w:rPr>
        <w:t>万元，支出总计</w:t>
      </w:r>
      <w:r>
        <w:rPr>
          <w:rFonts w:hint="default" w:ascii="仿宋_GB2312" w:hAnsi="ˎ̥" w:eastAsia="仿宋_GB2312"/>
          <w:color w:val="auto"/>
          <w:sz w:val="32"/>
          <w:szCs w:val="32"/>
          <w:highlight w:val="none"/>
          <w:lang w:val="en-US"/>
        </w:rPr>
        <w:t>95,263.69</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年度相比，收入、支出总计各减少2309.12万元，下降2.37%。主要原因：一是</w:t>
      </w:r>
      <w:r>
        <w:rPr>
          <w:rFonts w:hint="eastAsia" w:ascii="仿宋_GB2312" w:hAnsi="ˎ̥" w:eastAsia="仿宋_GB2312"/>
          <w:color w:val="auto"/>
          <w:sz w:val="32"/>
          <w:szCs w:val="32"/>
          <w:highlight w:val="none"/>
          <w:lang w:val="en-US" w:eastAsia="zh-CN"/>
        </w:rPr>
        <w:t>社保减少，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val="en-US" w:eastAsia="zh-CN"/>
        </w:rPr>
        <w:t>公积金减少，三是</w:t>
      </w:r>
      <w:r>
        <w:rPr>
          <w:rFonts w:hint="eastAsia" w:ascii="仿宋_GB2312" w:hAnsi="ˎ̥" w:eastAsia="仿宋_GB2312"/>
          <w:color w:val="auto"/>
          <w:sz w:val="32"/>
          <w:szCs w:val="32"/>
          <w:highlight w:val="none"/>
        </w:rPr>
        <w:t>年初结转结余</w:t>
      </w:r>
      <w:r>
        <w:rPr>
          <w:rFonts w:hint="eastAsia" w:ascii="仿宋_GB2312" w:hAnsi="ˎ̥" w:eastAsia="仿宋_GB2312"/>
          <w:color w:val="auto"/>
          <w:sz w:val="32"/>
          <w:szCs w:val="32"/>
          <w:highlight w:val="none"/>
          <w:lang w:val="en-US" w:eastAsia="zh-CN"/>
        </w:rPr>
        <w:t>减少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收入</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本年</w:t>
      </w:r>
      <w:r>
        <w:rPr>
          <w:rFonts w:ascii="仿宋_GB2312" w:hAnsi="ˎ̥" w:eastAsia="仿宋_GB2312"/>
          <w:color w:val="auto"/>
          <w:sz w:val="32"/>
          <w:szCs w:val="32"/>
          <w:highlight w:val="none"/>
        </w:rPr>
        <w:t>收入</w:t>
      </w:r>
      <w:r>
        <w:rPr>
          <w:rFonts w:hint="default" w:ascii="仿宋_GB2312" w:hAnsi="ˎ̥" w:eastAsia="仿宋_GB2312"/>
          <w:color w:val="auto"/>
          <w:sz w:val="32"/>
          <w:szCs w:val="32"/>
          <w:highlight w:val="none"/>
          <w:lang w:val="en-US"/>
        </w:rPr>
        <w:t>94,437.51</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使用非财政拨款结余</w:t>
      </w:r>
      <w:r>
        <w:rPr>
          <w:rFonts w:hint="default" w:ascii="仿宋_GB2312" w:hAnsi="ˎ̥" w:eastAsia="仿宋_GB2312"/>
          <w:color w:val="auto"/>
          <w:sz w:val="32"/>
          <w:szCs w:val="32"/>
          <w:highlight w:val="none"/>
          <w:lang w:val="en-US"/>
        </w:rPr>
        <w:t>3.42</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w:t>
      </w:r>
      <w:r>
        <w:rPr>
          <w:rFonts w:hint="eastAsia" w:ascii="仿宋_GB2312" w:hAnsi="ˎ̥" w:eastAsia="仿宋_GB2312"/>
          <w:color w:val="auto"/>
          <w:sz w:val="32"/>
          <w:szCs w:val="32"/>
          <w:highlight w:val="none"/>
          <w:lang w:val="en-US" w:eastAsia="zh-CN"/>
        </w:rPr>
        <w:t>0.57</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年初结转结余</w:t>
      </w:r>
      <w:r>
        <w:rPr>
          <w:rFonts w:hint="default" w:ascii="仿宋_GB2312" w:hAnsi="ˎ̥" w:eastAsia="仿宋_GB2312"/>
          <w:color w:val="auto"/>
          <w:sz w:val="32"/>
          <w:szCs w:val="32"/>
          <w:highlight w:val="none"/>
          <w:lang w:val="en-US"/>
        </w:rPr>
        <w:t>822.76</w:t>
      </w:r>
      <w:r>
        <w:rPr>
          <w:rFonts w:hint="eastAsia" w:ascii="仿宋_GB2312" w:hAnsi="ˎ̥" w:eastAsia="仿宋_GB2312"/>
          <w:color w:val="auto"/>
          <w:sz w:val="32"/>
          <w:szCs w:val="32"/>
          <w:highlight w:val="none"/>
        </w:rPr>
        <w:t>万元，主要是</w:t>
      </w:r>
      <w:r>
        <w:rPr>
          <w:rFonts w:hint="eastAsia" w:ascii="仿宋_GB2312" w:hAnsi="ˎ̥" w:eastAsia="仿宋_GB2312"/>
          <w:sz w:val="32"/>
          <w:szCs w:val="32"/>
          <w:highlight w:val="none"/>
          <w:lang w:val="en-US" w:eastAsia="zh-CN"/>
        </w:rPr>
        <w:t>基建经费结余结转</w:t>
      </w:r>
      <w:r>
        <w:rPr>
          <w:rFonts w:hint="eastAsia" w:ascii="仿宋_GB2312" w:hAnsi="ˎ̥" w:eastAsia="仿宋_GB2312"/>
          <w:color w:val="auto"/>
          <w:sz w:val="32"/>
          <w:szCs w:val="32"/>
          <w:highlight w:val="none"/>
        </w:rPr>
        <w:t>，较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年度决算数减少68.84万元，下降</w:t>
      </w:r>
      <w:r>
        <w:rPr>
          <w:rFonts w:hint="eastAsia" w:ascii="仿宋_GB2312" w:hAnsi="ˎ̥" w:eastAsia="仿宋_GB2312"/>
          <w:color w:val="auto"/>
          <w:sz w:val="32"/>
          <w:szCs w:val="32"/>
          <w:highlight w:val="none"/>
          <w:lang w:val="en-US" w:eastAsia="zh-CN"/>
        </w:rPr>
        <w:t>7.72</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val="en-US" w:eastAsia="zh-CN"/>
        </w:rPr>
        <w:t>教育系统</w:t>
      </w:r>
      <w:r>
        <w:rPr>
          <w:rFonts w:hint="eastAsia" w:ascii="仿宋_GB2312" w:hAnsi="ˎ̥" w:eastAsia="仿宋_GB2312"/>
          <w:sz w:val="32"/>
          <w:szCs w:val="32"/>
          <w:highlight w:val="none"/>
          <w:lang w:val="en-US" w:eastAsia="zh-CN"/>
        </w:rPr>
        <w:t>基建项目减少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rPr>
        <w:t>（二</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支出</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本年支出</w:t>
      </w:r>
      <w:r>
        <w:rPr>
          <w:rFonts w:hint="default" w:ascii="仿宋_GB2312" w:hAnsi="ˎ̥" w:eastAsia="仿宋_GB2312"/>
          <w:color w:val="auto"/>
          <w:sz w:val="32"/>
          <w:szCs w:val="32"/>
          <w:highlight w:val="none"/>
          <w:lang w:val="en-US"/>
        </w:rPr>
        <w:t>94,376.18</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结余分配</w:t>
      </w:r>
      <w:r>
        <w:rPr>
          <w:rFonts w:hint="default" w:ascii="仿宋_GB2312" w:hAnsi="ˎ̥" w:eastAsia="仿宋_GB2312"/>
          <w:color w:val="auto"/>
          <w:sz w:val="32"/>
          <w:szCs w:val="32"/>
          <w:highlight w:val="none"/>
          <w:lang w:val="en-US"/>
        </w:rPr>
        <w:t>1.50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年度决算数减少</w:t>
      </w:r>
      <w:r>
        <w:rPr>
          <w:rFonts w:hint="eastAsia" w:ascii="仿宋_GB2312" w:hAnsi="ˎ̥" w:eastAsia="仿宋_GB2312"/>
          <w:color w:val="auto"/>
          <w:sz w:val="32"/>
          <w:szCs w:val="32"/>
          <w:highlight w:val="none"/>
          <w:lang w:val="en-US" w:eastAsia="zh-CN"/>
        </w:rPr>
        <w:t>0.33</w:t>
      </w:r>
      <w:r>
        <w:rPr>
          <w:rFonts w:hint="eastAsia" w:ascii="仿宋_GB2312" w:hAnsi="ˎ̥" w:eastAsia="仿宋_GB2312"/>
          <w:color w:val="auto"/>
          <w:sz w:val="32"/>
          <w:szCs w:val="32"/>
          <w:highlight w:val="none"/>
        </w:rPr>
        <w:t>万元，下降</w:t>
      </w:r>
      <w:r>
        <w:rPr>
          <w:rFonts w:hint="eastAsia" w:ascii="仿宋_GB2312" w:hAnsi="ˎ̥" w:eastAsia="仿宋_GB2312"/>
          <w:color w:val="auto"/>
          <w:sz w:val="32"/>
          <w:szCs w:val="32"/>
          <w:highlight w:val="none"/>
          <w:lang w:val="en-US" w:eastAsia="zh-CN"/>
        </w:rPr>
        <w:t>18.03</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年末结转结余</w:t>
      </w:r>
      <w:r>
        <w:rPr>
          <w:rFonts w:hint="default" w:ascii="仿宋_GB2312" w:hAnsi="ˎ̥" w:eastAsia="仿宋_GB2312"/>
          <w:color w:val="auto"/>
          <w:sz w:val="32"/>
          <w:szCs w:val="32"/>
          <w:highlight w:val="none"/>
          <w:lang w:val="en-US"/>
        </w:rPr>
        <w:t>886.01</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w:t>
      </w:r>
      <w:r>
        <w:rPr>
          <w:rFonts w:hint="eastAsia" w:ascii="仿宋_GB2312" w:hAnsi="ˎ̥" w:eastAsia="仿宋_GB2312"/>
          <w:color w:val="auto"/>
          <w:sz w:val="32"/>
          <w:szCs w:val="32"/>
          <w:highlight w:val="none"/>
          <w:lang w:val="en-US" w:eastAsia="zh-CN"/>
        </w:rPr>
        <w:t>60.51</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7.33</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val="en-US" w:eastAsia="zh-CN"/>
        </w:rPr>
        <w:t>教育系统</w:t>
      </w:r>
      <w:r>
        <w:rPr>
          <w:rFonts w:hint="eastAsia" w:ascii="仿宋_GB2312" w:hAnsi="ˎ̥" w:eastAsia="仿宋_GB2312"/>
          <w:sz w:val="32"/>
          <w:szCs w:val="32"/>
          <w:highlight w:val="none"/>
          <w:lang w:val="en-US" w:eastAsia="zh-CN"/>
        </w:rPr>
        <w:t>基建项目减少，结余较多</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年度相关决算数据可取自附件财决公开01、02</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03</w:t>
      </w:r>
      <w:r>
        <w:rPr>
          <w:rFonts w:hint="eastAsia" w:ascii="仿宋_GB2312" w:hAnsi="ˎ̥" w:eastAsia="仿宋_GB2312"/>
          <w:color w:val="auto"/>
          <w:sz w:val="32"/>
          <w:szCs w:val="32"/>
          <w:highlight w:val="none"/>
        </w:rPr>
        <w:t>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年度相关决算数据可取自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年度部门决算报表财决01表《收入支出决算总表》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黑体" w:hAnsi="黑体" w:eastAsia="黑体" w:cs="黑体"/>
          <w:bCs/>
          <w:color w:val="auto"/>
          <w:sz w:val="32"/>
          <w:szCs w:val="32"/>
          <w:highlight w:val="none"/>
        </w:rPr>
        <w:t>二、收入决算情况说明</w:t>
      </w:r>
      <w:r>
        <w:rPr>
          <w:rFonts w:hint="eastAsia" w:ascii="黑体" w:hAnsi="黑体" w:eastAsia="黑体" w:cs="黑体"/>
          <w:bCs/>
          <w:color w:val="auto"/>
          <w:sz w:val="32"/>
          <w:szCs w:val="32"/>
          <w:highlight w:val="none"/>
        </w:rPr>
        <w:br w:type="textWrapping"/>
      </w:r>
      <w:r>
        <w:rPr>
          <w:rFonts w:hint="eastAsia" w:ascii="仿宋_GB2312" w:hAnsi="ˎ̥" w:eastAsia="仿宋_GB2312"/>
          <w:color w:val="auto"/>
          <w:sz w:val="32"/>
          <w:szCs w:val="32"/>
          <w:highlight w:val="none"/>
        </w:rPr>
        <w:t xml:space="preserve">    本年收入</w:t>
      </w:r>
      <w:r>
        <w:rPr>
          <w:rFonts w:hint="default" w:ascii="仿宋_GB2312" w:hAnsi="ˎ̥" w:eastAsia="仿宋_GB2312"/>
          <w:color w:val="auto"/>
          <w:sz w:val="32"/>
          <w:szCs w:val="32"/>
          <w:highlight w:val="none"/>
          <w:lang w:val="en-US"/>
        </w:rPr>
        <w:t>94,437.51</w:t>
      </w:r>
      <w:r>
        <w:rPr>
          <w:rFonts w:hint="eastAsia" w:ascii="仿宋_GB2312" w:hAnsi="ˎ̥" w:eastAsia="仿宋_GB2312"/>
          <w:color w:val="auto"/>
          <w:sz w:val="32"/>
          <w:szCs w:val="32"/>
          <w:highlight w:val="none"/>
        </w:rPr>
        <w:t>万元，其中：财政拨款收入</w:t>
      </w:r>
      <w:r>
        <w:rPr>
          <w:rFonts w:hint="default" w:ascii="仿宋_GB2312" w:hAnsi="ˎ̥" w:eastAsia="仿宋_GB2312"/>
          <w:color w:val="auto"/>
          <w:sz w:val="32"/>
          <w:szCs w:val="32"/>
          <w:highlight w:val="none"/>
          <w:lang w:val="en-US"/>
        </w:rPr>
        <w:t>92,254.66</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97.69</w:t>
      </w:r>
      <w:r>
        <w:rPr>
          <w:rFonts w:hint="eastAsia" w:ascii="仿宋_GB2312" w:hAnsi="ˎ̥" w:eastAsia="仿宋_GB2312"/>
          <w:color w:val="auto"/>
          <w:sz w:val="32"/>
          <w:szCs w:val="32"/>
          <w:highlight w:val="none"/>
        </w:rPr>
        <w:t>%；上级补助收入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万元；事业收入</w:t>
      </w:r>
      <w:r>
        <w:rPr>
          <w:rFonts w:hint="default" w:ascii="仿宋_GB2312" w:hAnsi="ˎ̥" w:eastAsia="仿宋_GB2312"/>
          <w:color w:val="auto"/>
          <w:sz w:val="32"/>
          <w:szCs w:val="32"/>
          <w:highlight w:val="none"/>
          <w:lang w:val="en-US"/>
        </w:rPr>
        <w:t>464.57</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0.49</w:t>
      </w:r>
      <w:r>
        <w:rPr>
          <w:rFonts w:hint="eastAsia" w:ascii="仿宋_GB2312" w:hAnsi="ˎ̥" w:eastAsia="仿宋_GB2312"/>
          <w:color w:val="auto"/>
          <w:sz w:val="32"/>
          <w:szCs w:val="32"/>
          <w:highlight w:val="none"/>
        </w:rPr>
        <w:t>%；经营收入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万元；附属单位上缴收入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万元%；其他收入</w:t>
      </w:r>
      <w:r>
        <w:rPr>
          <w:rFonts w:hint="default" w:ascii="仿宋_GB2312" w:hAnsi="ˎ̥" w:eastAsia="仿宋_GB2312"/>
          <w:color w:val="auto"/>
          <w:sz w:val="32"/>
          <w:szCs w:val="32"/>
          <w:highlight w:val="none"/>
          <w:lang w:val="en-US"/>
        </w:rPr>
        <w:t>1,718.29</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1.82</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上述各项收入数可取自财决公开02表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本年支出</w:t>
      </w:r>
      <w:r>
        <w:rPr>
          <w:rFonts w:hint="default" w:ascii="仿宋_GB2312" w:hAnsi="ˎ̥" w:eastAsia="仿宋_GB2312"/>
          <w:color w:val="auto"/>
          <w:sz w:val="32"/>
          <w:szCs w:val="32"/>
          <w:highlight w:val="none"/>
          <w:lang w:val="en-US"/>
        </w:rPr>
        <w:t>94,376.18</w:t>
      </w:r>
      <w:r>
        <w:rPr>
          <w:rFonts w:hint="eastAsia" w:ascii="仿宋_GB2312" w:hAnsi="ˎ̥" w:eastAsia="仿宋_GB2312"/>
          <w:color w:val="auto"/>
          <w:sz w:val="32"/>
          <w:szCs w:val="32"/>
          <w:highlight w:val="none"/>
        </w:rPr>
        <w:t>万元，其中：基本支出</w:t>
      </w:r>
      <w:r>
        <w:rPr>
          <w:rFonts w:hint="default" w:ascii="仿宋_GB2312" w:hAnsi="ˎ̥" w:eastAsia="仿宋_GB2312"/>
          <w:color w:val="auto"/>
          <w:sz w:val="32"/>
          <w:szCs w:val="32"/>
          <w:highlight w:val="none"/>
          <w:lang w:val="en-US"/>
        </w:rPr>
        <w:t>67,111.65</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71.11</w:t>
      </w:r>
      <w:r>
        <w:rPr>
          <w:rFonts w:hint="eastAsia" w:ascii="仿宋_GB2312" w:hAnsi="ˎ̥" w:eastAsia="仿宋_GB2312"/>
          <w:color w:val="auto"/>
          <w:sz w:val="32"/>
          <w:szCs w:val="32"/>
          <w:highlight w:val="none"/>
        </w:rPr>
        <w:t>%；项目支出</w:t>
      </w:r>
      <w:r>
        <w:rPr>
          <w:rFonts w:hint="default" w:ascii="仿宋_GB2312" w:hAnsi="ˎ̥" w:eastAsia="仿宋_GB2312"/>
          <w:color w:val="auto"/>
          <w:sz w:val="32"/>
          <w:szCs w:val="32"/>
          <w:highlight w:val="none"/>
          <w:lang w:val="en-US"/>
        </w:rPr>
        <w:t>27,264.53</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28.89</w:t>
      </w:r>
      <w:r>
        <w:rPr>
          <w:rFonts w:hint="eastAsia" w:ascii="仿宋_GB2312" w:hAnsi="ˎ̥" w:eastAsia="仿宋_GB2312"/>
          <w:color w:val="auto"/>
          <w:sz w:val="32"/>
          <w:szCs w:val="32"/>
          <w:highlight w:val="none"/>
        </w:rPr>
        <w:t>%；上缴上级支出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万元；经营支出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万元；对附属单位补助支出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上述各项支出数可取自财决公开03表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年度财政拨款收入</w:t>
      </w:r>
      <w:r>
        <w:rPr>
          <w:rFonts w:hint="default" w:ascii="仿宋_GB2312" w:hAnsi="ˎ̥" w:eastAsia="仿宋_GB2312"/>
          <w:color w:val="auto"/>
          <w:sz w:val="32"/>
          <w:szCs w:val="32"/>
          <w:highlight w:val="none"/>
          <w:lang w:val="en-US"/>
        </w:rPr>
        <w:t>92,254.66</w:t>
      </w:r>
      <w:r>
        <w:rPr>
          <w:rFonts w:hint="eastAsia" w:ascii="仿宋_GB2312" w:hAnsi="ˎ̥" w:eastAsia="仿宋_GB2312"/>
          <w:color w:val="auto"/>
          <w:sz w:val="32"/>
          <w:szCs w:val="32"/>
          <w:highlight w:val="none"/>
        </w:rPr>
        <w:t>万元，支出</w:t>
      </w:r>
      <w:r>
        <w:rPr>
          <w:rFonts w:hint="default" w:ascii="仿宋_GB2312" w:hAnsi="ˎ̥" w:eastAsia="仿宋_GB2312"/>
          <w:color w:val="auto"/>
          <w:sz w:val="32"/>
          <w:szCs w:val="32"/>
          <w:highlight w:val="none"/>
          <w:lang w:val="en-US"/>
        </w:rPr>
        <w:t>92,260.97</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年度相比，财政拨款收入减少2429.84万元，下降</w:t>
      </w:r>
      <w:r>
        <w:rPr>
          <w:rFonts w:hint="eastAsia" w:ascii="仿宋_GB2312" w:hAnsi="ˎ̥" w:eastAsia="仿宋_GB2312"/>
          <w:color w:val="auto"/>
          <w:sz w:val="32"/>
          <w:szCs w:val="32"/>
          <w:highlight w:val="none"/>
          <w:lang w:val="en-US" w:eastAsia="zh-CN"/>
        </w:rPr>
        <w:t>2.57</w:t>
      </w:r>
      <w:r>
        <w:rPr>
          <w:rFonts w:hint="eastAsia" w:ascii="仿宋_GB2312" w:hAnsi="ˎ̥" w:eastAsia="仿宋_GB2312"/>
          <w:color w:val="auto"/>
          <w:sz w:val="32"/>
          <w:szCs w:val="32"/>
          <w:highlight w:val="none"/>
        </w:rPr>
        <w:t>%，主要原因：一是</w:t>
      </w:r>
      <w:r>
        <w:rPr>
          <w:rFonts w:hint="eastAsia" w:ascii="仿宋_GB2312" w:hAnsi="ˎ̥" w:eastAsia="仿宋_GB2312"/>
          <w:color w:val="auto"/>
          <w:sz w:val="32"/>
          <w:szCs w:val="32"/>
          <w:highlight w:val="none"/>
          <w:lang w:val="en-US" w:eastAsia="zh-CN"/>
        </w:rPr>
        <w:t>社保减少，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val="en-US" w:eastAsia="zh-CN"/>
        </w:rPr>
        <w:t>公积金减少，三是</w:t>
      </w:r>
      <w:r>
        <w:rPr>
          <w:rFonts w:hint="eastAsia" w:ascii="仿宋_GB2312" w:hAnsi="ˎ̥" w:eastAsia="仿宋_GB2312"/>
          <w:color w:val="auto"/>
          <w:sz w:val="32"/>
          <w:szCs w:val="32"/>
          <w:highlight w:val="none"/>
        </w:rPr>
        <w:t>年初结转结余</w:t>
      </w:r>
      <w:r>
        <w:rPr>
          <w:rFonts w:hint="eastAsia" w:ascii="仿宋_GB2312" w:hAnsi="ˎ̥" w:eastAsia="仿宋_GB2312"/>
          <w:color w:val="auto"/>
          <w:sz w:val="32"/>
          <w:szCs w:val="32"/>
          <w:highlight w:val="none"/>
          <w:lang w:val="en-US" w:eastAsia="zh-CN"/>
        </w:rPr>
        <w:t>减少</w:t>
      </w:r>
      <w:r>
        <w:rPr>
          <w:rFonts w:hint="eastAsia" w:ascii="仿宋_GB2312" w:hAnsi="ˎ̥" w:eastAsia="仿宋_GB2312"/>
          <w:color w:val="auto"/>
          <w:sz w:val="32"/>
          <w:szCs w:val="32"/>
          <w:highlight w:val="none"/>
        </w:rPr>
        <w:t>。支出减少2424.58</w:t>
      </w:r>
      <w:r>
        <w:rPr>
          <w:rFonts w:hint="eastAsia" w:ascii="仿宋_GB2312" w:hAnsi="ˎ̥" w:eastAsia="仿宋_GB2312"/>
          <w:color w:val="auto"/>
          <w:sz w:val="32"/>
          <w:szCs w:val="32"/>
          <w:highlight w:val="none"/>
          <w:lang w:val="en-US" w:eastAsia="zh-CN"/>
        </w:rPr>
        <w:t>万</w:t>
      </w:r>
      <w:r>
        <w:rPr>
          <w:rFonts w:hint="eastAsia" w:ascii="仿宋_GB2312" w:hAnsi="ˎ̥" w:eastAsia="仿宋_GB2312"/>
          <w:color w:val="auto"/>
          <w:sz w:val="32"/>
          <w:szCs w:val="32"/>
          <w:highlight w:val="none"/>
        </w:rPr>
        <w:t>元，下降</w:t>
      </w:r>
      <w:r>
        <w:rPr>
          <w:rFonts w:hint="eastAsia" w:ascii="仿宋_GB2312" w:hAnsi="ˎ̥" w:eastAsia="仿宋_GB2312"/>
          <w:color w:val="auto"/>
          <w:sz w:val="32"/>
          <w:szCs w:val="32"/>
          <w:highlight w:val="none"/>
          <w:lang w:val="en-US" w:eastAsia="zh-CN"/>
        </w:rPr>
        <w:t>2.56</w:t>
      </w:r>
      <w:r>
        <w:rPr>
          <w:rFonts w:hint="eastAsia" w:ascii="仿宋_GB2312" w:hAnsi="ˎ̥" w:eastAsia="仿宋_GB2312"/>
          <w:color w:val="auto"/>
          <w:sz w:val="32"/>
          <w:szCs w:val="32"/>
          <w:highlight w:val="none"/>
        </w:rPr>
        <w:t>%，主要原因：</w:t>
      </w:r>
      <w:r>
        <w:rPr>
          <w:rFonts w:hint="eastAsia" w:ascii="仿宋_GB2312" w:hAnsi="ˎ̥" w:eastAsia="仿宋_GB2312"/>
          <w:color w:val="auto"/>
          <w:sz w:val="32"/>
          <w:szCs w:val="32"/>
          <w:highlight w:val="none"/>
          <w:lang w:val="en-US" w:eastAsia="zh-CN"/>
        </w:rPr>
        <w:t>社保减少，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val="en-US" w:eastAsia="zh-CN"/>
        </w:rPr>
        <w:t>公积金减少，三是</w:t>
      </w:r>
      <w:r>
        <w:rPr>
          <w:rFonts w:hint="eastAsia" w:ascii="仿宋_GB2312" w:hAnsi="ˎ̥" w:eastAsia="仿宋_GB2312"/>
          <w:color w:val="auto"/>
          <w:sz w:val="32"/>
          <w:szCs w:val="32"/>
          <w:highlight w:val="none"/>
        </w:rPr>
        <w:t>年初结转结余</w:t>
      </w:r>
      <w:r>
        <w:rPr>
          <w:rFonts w:hint="eastAsia" w:ascii="仿宋_GB2312" w:hAnsi="ˎ̥" w:eastAsia="仿宋_GB2312"/>
          <w:color w:val="auto"/>
          <w:sz w:val="32"/>
          <w:szCs w:val="32"/>
          <w:highlight w:val="none"/>
          <w:lang w:val="en-US" w:eastAsia="zh-CN"/>
        </w:rPr>
        <w:t>减少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财政拨款年初结转结余</w:t>
      </w:r>
      <w:r>
        <w:rPr>
          <w:rFonts w:hint="default" w:ascii="仿宋_GB2312" w:hAnsi="ˎ̥" w:eastAsia="仿宋_GB2312"/>
          <w:color w:val="auto"/>
          <w:sz w:val="32"/>
          <w:szCs w:val="32"/>
          <w:highlight w:val="none"/>
          <w:lang w:val="en-US"/>
        </w:rPr>
        <w:t>11.50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年度决算数减少</w:t>
      </w:r>
      <w:r>
        <w:rPr>
          <w:rFonts w:hint="eastAsia" w:ascii="仿宋_GB2312" w:hAnsi="ˎ̥" w:eastAsia="仿宋_GB2312"/>
          <w:color w:val="auto"/>
          <w:sz w:val="32"/>
          <w:szCs w:val="32"/>
          <w:highlight w:val="none"/>
          <w:lang w:val="en-US" w:eastAsia="zh-CN"/>
        </w:rPr>
        <w:t>1.05</w:t>
      </w:r>
      <w:r>
        <w:rPr>
          <w:rFonts w:hint="eastAsia" w:ascii="仿宋_GB2312" w:hAnsi="ˎ̥" w:eastAsia="仿宋_GB2312"/>
          <w:color w:val="auto"/>
          <w:sz w:val="32"/>
          <w:szCs w:val="32"/>
          <w:highlight w:val="none"/>
        </w:rPr>
        <w:t>万元，下降</w:t>
      </w:r>
      <w:r>
        <w:rPr>
          <w:rFonts w:hint="eastAsia" w:ascii="仿宋_GB2312" w:hAnsi="ˎ̥" w:eastAsia="仿宋_GB2312"/>
          <w:color w:val="auto"/>
          <w:sz w:val="32"/>
          <w:szCs w:val="32"/>
          <w:highlight w:val="none"/>
          <w:lang w:val="en-US" w:eastAsia="zh-CN"/>
        </w:rPr>
        <w:t>8.37</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财政拨款年末结转结余</w:t>
      </w:r>
      <w:r>
        <w:rPr>
          <w:rFonts w:hint="default" w:ascii="仿宋_GB2312" w:hAnsi="ˎ̥" w:eastAsia="仿宋_GB2312"/>
          <w:color w:val="auto"/>
          <w:sz w:val="32"/>
          <w:szCs w:val="32"/>
          <w:highlight w:val="none"/>
          <w:lang w:val="en-US"/>
        </w:rPr>
        <w:t>5.20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年度决算数减少</w:t>
      </w:r>
      <w:r>
        <w:rPr>
          <w:rFonts w:hint="eastAsia" w:ascii="仿宋_GB2312" w:hAnsi="ˎ̥" w:eastAsia="仿宋_GB2312"/>
          <w:color w:val="auto"/>
          <w:sz w:val="32"/>
          <w:szCs w:val="32"/>
          <w:highlight w:val="none"/>
          <w:lang w:val="en-US" w:eastAsia="zh-CN"/>
        </w:rPr>
        <w:t>6.3</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下降</w:t>
      </w:r>
      <w:r>
        <w:rPr>
          <w:rFonts w:hint="eastAsia" w:ascii="仿宋_GB2312" w:hAnsi="ˎ̥" w:eastAsia="仿宋_GB2312"/>
          <w:color w:val="auto"/>
          <w:sz w:val="32"/>
          <w:szCs w:val="32"/>
          <w:highlight w:val="none"/>
          <w:lang w:val="en-US" w:eastAsia="zh-CN"/>
        </w:rPr>
        <w:t>54.78</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年度决算相关数据可取自财决公开04表。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年度决算相关数据可取自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年度部门决算报表财决01-1表《财政拨款收入支出决算总表》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77" w:name="_Toc21737_WPSOffice_Level2"/>
      <w:bookmarkStart w:id="78" w:name="_Toc23005_WPSOffice_Level2"/>
      <w:bookmarkStart w:id="79" w:name="_Toc13694_WPSOffice_Level2"/>
      <w:bookmarkStart w:id="80" w:name="_Toc9989_WPSOffice_Level2"/>
      <w:bookmarkStart w:id="81" w:name="_Toc17398_WPSOffice_Level2"/>
      <w:bookmarkStart w:id="82" w:name="_Toc19665_WPSOffice_Level2"/>
      <w:r>
        <w:rPr>
          <w:rFonts w:hint="eastAsia" w:ascii="楷体" w:hAnsi="楷体" w:eastAsia="楷体" w:cs="楷体"/>
          <w:color w:val="auto"/>
          <w:sz w:val="32"/>
          <w:szCs w:val="32"/>
          <w:highlight w:val="none"/>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w:t>
      </w:r>
      <w:r>
        <w:rPr>
          <w:rFonts w:hint="default" w:ascii="仿宋_GB2312" w:hAnsi="ˎ̥" w:eastAsia="仿宋_GB2312"/>
          <w:color w:val="auto"/>
          <w:sz w:val="32"/>
          <w:szCs w:val="32"/>
          <w:highlight w:val="none"/>
          <w:lang w:val="en-US"/>
        </w:rPr>
        <w:t>92,260.97</w:t>
      </w:r>
      <w:r>
        <w:rPr>
          <w:rFonts w:hint="eastAsia" w:ascii="仿宋_GB2312" w:hAnsi="ˎ̥" w:eastAsia="仿宋_GB2312"/>
          <w:color w:val="auto"/>
          <w:sz w:val="32"/>
          <w:szCs w:val="32"/>
          <w:highlight w:val="none"/>
        </w:rPr>
        <w:t>万元，占本年支出合计的</w:t>
      </w:r>
      <w:r>
        <w:rPr>
          <w:rFonts w:hint="eastAsia" w:ascii="仿宋_GB2312" w:hAnsi="ˎ̥" w:eastAsia="仿宋_GB2312"/>
          <w:color w:val="auto"/>
          <w:sz w:val="32"/>
          <w:szCs w:val="32"/>
          <w:highlight w:val="none"/>
          <w:lang w:val="en-US" w:eastAsia="zh-CN"/>
        </w:rPr>
        <w:t>99.99</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年度相比，一般公共预算财政拨款支出减少2309.12万元，下降</w:t>
      </w:r>
      <w:r>
        <w:rPr>
          <w:rFonts w:hint="eastAsia" w:ascii="仿宋_GB2312" w:hAnsi="ˎ̥" w:eastAsia="仿宋_GB2312"/>
          <w:color w:val="auto"/>
          <w:sz w:val="32"/>
          <w:szCs w:val="32"/>
          <w:highlight w:val="none"/>
          <w:lang w:val="en-US" w:eastAsia="zh-CN"/>
        </w:rPr>
        <w:t>2.56</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val="en-US" w:eastAsia="zh-CN"/>
        </w:rPr>
        <w:t>社保、公积金支出减少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83" w:name="_Toc23864_WPSOffice_Level2"/>
      <w:bookmarkStart w:id="84" w:name="_Toc19075_WPSOffice_Level2"/>
      <w:bookmarkStart w:id="85" w:name="_Toc19535_WPSOffice_Level2"/>
      <w:bookmarkStart w:id="86" w:name="_Toc27767_WPSOffice_Level2"/>
      <w:bookmarkStart w:id="87" w:name="_Toc2711_WPSOffice_Level2"/>
      <w:bookmarkStart w:id="88" w:name="_Toc18793_WPSOffice_Level2"/>
      <w:r>
        <w:rPr>
          <w:rFonts w:hint="eastAsia" w:ascii="楷体" w:hAnsi="楷体" w:eastAsia="楷体" w:cs="楷体"/>
          <w:color w:val="auto"/>
          <w:sz w:val="32"/>
          <w:szCs w:val="32"/>
          <w:highlight w:val="none"/>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w:t>
      </w:r>
      <w:r>
        <w:rPr>
          <w:rFonts w:hint="default" w:ascii="仿宋_GB2312" w:hAnsi="ˎ̥" w:eastAsia="仿宋_GB2312"/>
          <w:color w:val="auto"/>
          <w:sz w:val="32"/>
          <w:szCs w:val="32"/>
          <w:highlight w:val="none"/>
          <w:lang w:val="en-US"/>
        </w:rPr>
        <w:t>92,260.97</w:t>
      </w:r>
      <w:r>
        <w:rPr>
          <w:rFonts w:hint="eastAsia" w:ascii="仿宋_GB2312" w:hAnsi="ˎ̥" w:eastAsia="仿宋_GB2312"/>
          <w:color w:val="auto"/>
          <w:sz w:val="32"/>
          <w:szCs w:val="32"/>
          <w:highlight w:val="none"/>
        </w:rPr>
        <w:t>万元，主要用于以下方面：</w:t>
      </w:r>
      <w:r>
        <w:rPr>
          <w:rFonts w:hint="eastAsia" w:ascii="仿宋_GB2312" w:hAnsi="ˎ̥" w:eastAsia="仿宋_GB2312"/>
          <w:b/>
          <w:color w:val="auto"/>
          <w:sz w:val="32"/>
          <w:szCs w:val="32"/>
          <w:highlight w:val="none"/>
        </w:rPr>
        <w:t>一般公共服务（类）</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37.47</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0.04</w:t>
      </w:r>
      <w:r>
        <w:rPr>
          <w:rFonts w:hint="eastAsia" w:ascii="仿宋_GB2312" w:hAnsi="ˎ̥" w:eastAsia="仿宋_GB2312"/>
          <w:color w:val="auto"/>
          <w:sz w:val="32"/>
          <w:szCs w:val="32"/>
          <w:highlight w:val="none"/>
        </w:rPr>
        <w:t>%；</w:t>
      </w:r>
      <w:r>
        <w:rPr>
          <w:rFonts w:hint="eastAsia" w:ascii="仿宋_GB2312" w:hAnsi="ˎ̥" w:eastAsia="仿宋_GB2312" w:cs="仿宋_GB2312"/>
          <w:b/>
          <w:kern w:val="0"/>
          <w:sz w:val="32"/>
          <w:szCs w:val="32"/>
          <w:highlight w:val="none"/>
          <w:shd w:val="clear" w:fill="FFFFFF"/>
        </w:rPr>
        <w:t>教育支出（类）</w:t>
      </w:r>
      <w:r>
        <w:rPr>
          <w:rFonts w:hint="eastAsia" w:ascii="仿宋_GB2312" w:hAnsi="ˎ̥" w:eastAsia="仿宋_GB2312" w:cs="仿宋_GB2312"/>
          <w:kern w:val="0"/>
          <w:sz w:val="32"/>
          <w:szCs w:val="32"/>
          <w:highlight w:val="none"/>
          <w:shd w:val="clear" w:fill="FFFFFF"/>
        </w:rPr>
        <w:t>支出69,954.17万元，占</w:t>
      </w:r>
      <w:r>
        <w:rPr>
          <w:rFonts w:hint="eastAsia" w:ascii="仿宋_GB2312" w:hAnsi="ˎ̥" w:eastAsia="仿宋_GB2312" w:cs="仿宋_GB2312"/>
          <w:kern w:val="0"/>
          <w:sz w:val="32"/>
          <w:szCs w:val="32"/>
          <w:highlight w:val="none"/>
          <w:shd w:val="clear" w:fill="FFFFFF"/>
          <w:lang w:val="en-US" w:eastAsia="zh-CN"/>
        </w:rPr>
        <w:t>75.82</w:t>
      </w:r>
      <w:r>
        <w:rPr>
          <w:rFonts w:hint="eastAsia" w:ascii="仿宋_GB2312" w:hAnsi="ˎ̥" w:eastAsia="仿宋_GB2312" w:cs="仿宋_GB2312"/>
          <w:kern w:val="0"/>
          <w:sz w:val="32"/>
          <w:szCs w:val="32"/>
          <w:highlight w:val="none"/>
          <w:shd w:val="clear" w:fill="FFFFFF"/>
        </w:rPr>
        <w:t>%；</w:t>
      </w:r>
      <w:r>
        <w:rPr>
          <w:rFonts w:hint="eastAsia" w:ascii="仿宋_GB2312" w:hAnsi="ˎ̥" w:eastAsia="仿宋_GB2312"/>
          <w:b/>
          <w:color w:val="auto"/>
          <w:sz w:val="32"/>
          <w:szCs w:val="32"/>
          <w:highlight w:val="none"/>
        </w:rPr>
        <w:t>社会保障和就业（类）</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9,641.25</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10.45</w:t>
      </w:r>
      <w:r>
        <w:rPr>
          <w:rFonts w:hint="eastAsia" w:ascii="仿宋_GB2312" w:hAnsi="ˎ̥" w:eastAsia="仿宋_GB2312"/>
          <w:color w:val="auto"/>
          <w:sz w:val="32"/>
          <w:szCs w:val="32"/>
          <w:highlight w:val="none"/>
        </w:rPr>
        <w:t>%；</w:t>
      </w:r>
      <w:r>
        <w:rPr>
          <w:rFonts w:hint="eastAsia" w:ascii="仿宋_GB2312" w:hAnsi="ˎ̥" w:eastAsia="仿宋_GB2312" w:cs="仿宋_GB2312"/>
          <w:b/>
          <w:kern w:val="0"/>
          <w:sz w:val="32"/>
          <w:szCs w:val="32"/>
          <w:highlight w:val="none"/>
          <w:shd w:val="clear" w:fill="FFFFFF"/>
        </w:rPr>
        <w:t>卫生健康支出（类）</w:t>
      </w:r>
      <w:r>
        <w:rPr>
          <w:rFonts w:hint="eastAsia" w:ascii="仿宋_GB2312" w:hAnsi="ˎ̥" w:eastAsia="仿宋_GB2312" w:cs="仿宋_GB2312"/>
          <w:kern w:val="0"/>
          <w:sz w:val="32"/>
          <w:szCs w:val="32"/>
          <w:highlight w:val="none"/>
          <w:shd w:val="clear" w:fill="FFFFFF"/>
        </w:rPr>
        <w:t>支出7,917.55万元，占</w:t>
      </w:r>
      <w:r>
        <w:rPr>
          <w:rFonts w:hint="eastAsia" w:ascii="仿宋_GB2312" w:hAnsi="ˎ̥" w:eastAsia="仿宋_GB2312" w:cs="仿宋_GB2312"/>
          <w:kern w:val="0"/>
          <w:sz w:val="32"/>
          <w:szCs w:val="32"/>
          <w:highlight w:val="none"/>
          <w:shd w:val="clear" w:fill="FFFFFF"/>
          <w:lang w:val="en-US" w:eastAsia="zh-CN"/>
        </w:rPr>
        <w:t>.58</w:t>
      </w:r>
      <w:r>
        <w:rPr>
          <w:rFonts w:hint="eastAsia" w:ascii="仿宋_GB2312" w:hAnsi="ˎ̥" w:eastAsia="仿宋_GB2312" w:cs="仿宋_GB2312"/>
          <w:kern w:val="0"/>
          <w:sz w:val="32"/>
          <w:szCs w:val="32"/>
          <w:highlight w:val="none"/>
          <w:shd w:val="clear" w:fill="FFFFFF"/>
        </w:rPr>
        <w:t>%；</w:t>
      </w:r>
      <w:r>
        <w:rPr>
          <w:rFonts w:hint="eastAsia" w:ascii="仿宋_GB2312" w:hAnsi="ˎ̥" w:eastAsia="仿宋_GB2312"/>
          <w:b/>
          <w:bCs/>
          <w:color w:val="auto"/>
          <w:sz w:val="32"/>
          <w:szCs w:val="32"/>
          <w:highlight w:val="none"/>
        </w:rPr>
        <w:t>住房保障（类）</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4,706.77</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5.2</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89" w:name="_Toc25136_WPSOffice_Level2"/>
      <w:bookmarkStart w:id="90" w:name="_Toc21701_WPSOffice_Level2"/>
      <w:bookmarkStart w:id="91" w:name="_Toc9502_WPSOffice_Level2"/>
      <w:bookmarkStart w:id="92" w:name="_Toc22318_WPSOffice_Level2"/>
      <w:bookmarkStart w:id="93" w:name="_Toc15415_WPSOffice_Level2"/>
      <w:bookmarkStart w:id="94" w:name="_Toc29364_WPSOffice_Level2"/>
      <w:r>
        <w:rPr>
          <w:rFonts w:hint="eastAsia" w:ascii="楷体" w:hAnsi="楷体" w:eastAsia="楷体" w:cs="楷体"/>
          <w:color w:val="auto"/>
          <w:sz w:val="32"/>
          <w:szCs w:val="32"/>
          <w:highlight w:val="none"/>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年度一般公共预算财政拨款支出年初预算为</w:t>
      </w:r>
      <w:r>
        <w:rPr>
          <w:rFonts w:hint="eastAsia" w:ascii="仿宋_GB2312" w:hAnsi="黑体" w:eastAsia="仿宋_GB2312" w:cs="仿宋_GB2312"/>
          <w:sz w:val="32"/>
          <w:szCs w:val="32"/>
          <w:highlight w:val="none"/>
          <w:lang w:val="en-US" w:eastAsia="zh-CN"/>
        </w:rPr>
        <w:t>93395.57</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92,260.97</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98.78</w:t>
      </w:r>
      <w:r>
        <w:rPr>
          <w:rFonts w:hint="eastAsia" w:ascii="仿宋_GB2312" w:hAnsi="ˎ̥" w:eastAsia="仿宋_GB2312"/>
          <w:color w:val="auto"/>
          <w:sz w:val="32"/>
          <w:szCs w:val="32"/>
          <w:highlight w:val="none"/>
        </w:rPr>
        <w:t>%。其中：</w:t>
      </w:r>
    </w:p>
    <w:p>
      <w:pPr>
        <w:spacing w:line="578" w:lineRule="exact"/>
        <w:ind w:firstLine="640" w:firstLineChars="200"/>
        <w:rPr>
          <w:rFonts w:hint="eastAsia" w:ascii="仿宋_GB2312" w:hAnsi="ˎ̥" w:eastAsia="仿宋_GB2312"/>
          <w:b/>
          <w:sz w:val="32"/>
          <w:szCs w:val="32"/>
          <w:highlight w:val="none"/>
        </w:rPr>
      </w:pPr>
      <w:r>
        <w:rPr>
          <w:rFonts w:hint="eastAsia" w:ascii="仿宋_GB2312" w:hAnsi="ˎ̥" w:eastAsia="仿宋_GB2312"/>
          <w:sz w:val="32"/>
          <w:szCs w:val="32"/>
          <w:highlight w:val="none"/>
        </w:rPr>
        <w:t>1.</w:t>
      </w:r>
      <w:r>
        <w:rPr>
          <w:rFonts w:hint="eastAsia" w:ascii="仿宋_GB2312" w:hAnsi="ˎ̥" w:eastAsia="仿宋_GB2312" w:cs="仿宋_GB2312"/>
          <w:b/>
          <w:kern w:val="0"/>
          <w:sz w:val="32"/>
          <w:szCs w:val="32"/>
          <w:highlight w:val="none"/>
          <w:shd w:val="clear" w:fill="FFFFFF"/>
        </w:rPr>
        <w:t>一般公共服务（类）其他共产党事务支出（款）</w:t>
      </w:r>
      <w:r>
        <w:rPr>
          <w:rFonts w:hint="eastAsia" w:ascii="仿宋_GB2312" w:hAnsi="ˎ̥" w:eastAsia="仿宋_GB2312"/>
          <w:b/>
          <w:sz w:val="32"/>
          <w:szCs w:val="32"/>
          <w:highlight w:val="none"/>
        </w:rPr>
        <w:t>。</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黑体" w:eastAsia="仿宋_GB2312" w:cs="仿宋_GB2312"/>
          <w:sz w:val="32"/>
          <w:szCs w:val="32"/>
          <w:highlight w:val="none"/>
          <w:lang w:val="en-US" w:eastAsia="zh-CN"/>
        </w:rPr>
        <w:t>19.22</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19.94</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103.7</w:t>
      </w:r>
      <w:r>
        <w:rPr>
          <w:rFonts w:hint="eastAsia" w:ascii="仿宋_GB2312" w:hAnsi="ˎ̥" w:eastAsia="仿宋_GB2312"/>
          <w:sz w:val="32"/>
          <w:szCs w:val="32"/>
          <w:highlight w:val="none"/>
        </w:rPr>
        <w:t>%。决算数</w:t>
      </w:r>
      <w:r>
        <w:rPr>
          <w:rFonts w:hint="eastAsia" w:ascii="仿宋_GB2312" w:hAnsi="ˎ̥" w:eastAsia="仿宋_GB2312"/>
          <w:sz w:val="32"/>
          <w:szCs w:val="32"/>
          <w:highlight w:val="none"/>
          <w:lang w:val="en-US" w:eastAsia="zh-CN"/>
        </w:rPr>
        <w:t>大</w:t>
      </w:r>
      <w:r>
        <w:rPr>
          <w:rFonts w:hint="eastAsia" w:ascii="仿宋_GB2312" w:hAnsi="ˎ̥" w:eastAsia="仿宋_GB2312"/>
          <w:sz w:val="32"/>
          <w:szCs w:val="32"/>
          <w:highlight w:val="none"/>
        </w:rPr>
        <w:t>于预算数的主要原因</w:t>
      </w:r>
      <w:r>
        <w:rPr>
          <w:rFonts w:hint="eastAsia" w:ascii="仿宋_GB2312" w:hAnsi="ˎ̥" w:eastAsia="仿宋_GB2312"/>
          <w:sz w:val="32"/>
          <w:szCs w:val="32"/>
          <w:highlight w:val="none"/>
          <w:lang w:eastAsia="zh-CN"/>
        </w:rPr>
        <w:t>是</w:t>
      </w:r>
      <w:r>
        <w:rPr>
          <w:rFonts w:hint="eastAsia" w:ascii="仿宋_GB2312" w:hAnsi="ˎ̥" w:eastAsia="仿宋_GB2312"/>
          <w:sz w:val="32"/>
          <w:szCs w:val="32"/>
          <w:highlight w:val="none"/>
          <w:lang w:val="en-US" w:eastAsia="zh-CN"/>
        </w:rPr>
        <w:t>年中追加了党建经费</w:t>
      </w:r>
      <w:r>
        <w:rPr>
          <w:rFonts w:hint="eastAsia" w:ascii="仿宋_GB2312" w:hAnsi="ˎ̥" w:eastAsia="仿宋_GB2312"/>
          <w:sz w:val="32"/>
          <w:szCs w:val="32"/>
          <w:highlight w:val="none"/>
        </w:rPr>
        <w:t>。</w:t>
      </w:r>
    </w:p>
    <w:p>
      <w:pPr>
        <w:spacing w:line="578" w:lineRule="exact"/>
        <w:rPr>
          <w:rFonts w:hint="eastAsia" w:ascii="仿宋_GB2312" w:hAnsi="ˎ̥" w:eastAsia="仿宋_GB2312"/>
          <w:b/>
          <w:sz w:val="32"/>
          <w:szCs w:val="32"/>
          <w:highlight w:val="none"/>
        </w:rPr>
      </w:pPr>
      <w:r>
        <w:rPr>
          <w:rFonts w:hint="eastAsia" w:ascii="仿宋_GB2312" w:hAnsi="ˎ̥" w:eastAsia="仿宋_GB2312"/>
          <w:sz w:val="32"/>
          <w:szCs w:val="32"/>
          <w:highlight w:val="none"/>
        </w:rPr>
        <w:t xml:space="preserve">    2.</w:t>
      </w:r>
      <w:r>
        <w:rPr>
          <w:rFonts w:hint="eastAsia" w:ascii="仿宋_GB2312" w:hAnsi="ˎ̥" w:eastAsia="仿宋_GB2312" w:cs="仿宋_GB2312"/>
          <w:b/>
          <w:kern w:val="0"/>
          <w:sz w:val="32"/>
          <w:szCs w:val="32"/>
          <w:highlight w:val="none"/>
          <w:shd w:val="clear" w:fill="FFFFFF"/>
        </w:rPr>
        <w:t>教育支出（类）教育管理事务（款）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黑体" w:eastAsia="仿宋_GB2312"/>
          <w:sz w:val="32"/>
          <w:szCs w:val="32"/>
          <w:highlight w:val="none"/>
        </w:rPr>
        <w:t>4,029.46</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2,552.54</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63.34</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sz w:val="32"/>
          <w:szCs w:val="32"/>
          <w:highlight w:val="none"/>
          <w:lang w:val="en-US" w:eastAsia="zh-CN"/>
        </w:rPr>
        <w:t>财政库款不足，教育支出无法完成</w:t>
      </w:r>
      <w:r>
        <w:rPr>
          <w:rFonts w:hint="eastAsia" w:ascii="仿宋_GB2312" w:hAnsi="ˎ̥" w:eastAsia="仿宋_GB2312"/>
          <w:sz w:val="32"/>
          <w:szCs w:val="32"/>
          <w:highlight w:val="none"/>
        </w:rPr>
        <w:t>。</w:t>
      </w:r>
    </w:p>
    <w:p>
      <w:pPr>
        <w:keepNext w:val="0"/>
        <w:keepLines w:val="0"/>
        <w:widowControl/>
        <w:suppressLineNumbers w:val="0"/>
        <w:autoSpaceDE w:val="0"/>
        <w:autoSpaceDN/>
        <w:spacing w:line="590" w:lineRule="exact"/>
        <w:ind w:left="0" w:firstLine="643" w:firstLineChars="200"/>
        <w:jc w:val="both"/>
        <w:rPr>
          <w:rFonts w:hint="eastAsia" w:ascii="仿宋_GB2312" w:hAnsi="ˎ̥" w:eastAsia="仿宋_GB2312" w:cs="仿宋_GB2312"/>
          <w:b/>
          <w:kern w:val="0"/>
          <w:sz w:val="32"/>
          <w:szCs w:val="32"/>
          <w:highlight w:val="none"/>
          <w:shd w:val="clear" w:fill="FFFFFF"/>
        </w:rPr>
      </w:pPr>
      <w:r>
        <w:rPr>
          <w:rFonts w:hint="eastAsia" w:ascii="仿宋_GB2312" w:hAnsi="ˎ̥" w:eastAsia="仿宋_GB2312" w:cs="仿宋_GB2312"/>
          <w:b/>
          <w:kern w:val="0"/>
          <w:sz w:val="32"/>
          <w:szCs w:val="32"/>
          <w:highlight w:val="none"/>
          <w:shd w:val="clear" w:fill="FFFFFF"/>
          <w:lang w:val="en-US" w:eastAsia="zh-CN"/>
        </w:rPr>
        <w:t>3.</w:t>
      </w:r>
      <w:r>
        <w:rPr>
          <w:rFonts w:hint="eastAsia" w:ascii="仿宋_GB2312" w:hAnsi="ˎ̥" w:eastAsia="仿宋_GB2312" w:cs="仿宋_GB2312"/>
          <w:b/>
          <w:kern w:val="0"/>
          <w:sz w:val="32"/>
          <w:szCs w:val="32"/>
          <w:highlight w:val="none"/>
          <w:shd w:val="clear" w:fill="FFFFFF"/>
        </w:rPr>
        <w:t>教育支出（类）普通教育（款）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w:t>
      </w:r>
      <w:r>
        <w:rPr>
          <w:rFonts w:hint="eastAsia" w:ascii="仿宋_GB2312" w:hAnsi="ˎ̥" w:eastAsia="仿宋_GB2312"/>
          <w:sz w:val="32"/>
          <w:szCs w:val="32"/>
          <w:highlight w:val="none"/>
          <w:lang w:val="en-US" w:eastAsia="zh-CN"/>
        </w:rPr>
        <w:t>算为63,469.38万元，支出决算为67,263.25万元，完成年初预算的105.98%</w:t>
      </w:r>
      <w:r>
        <w:rPr>
          <w:rFonts w:hint="eastAsia" w:ascii="仿宋_GB2312" w:hAnsi="ˎ̥" w:eastAsia="仿宋_GB2312"/>
          <w:sz w:val="32"/>
          <w:szCs w:val="32"/>
          <w:highlight w:val="none"/>
        </w:rPr>
        <w:t>。决算数</w:t>
      </w:r>
      <w:r>
        <w:rPr>
          <w:rFonts w:hint="eastAsia" w:ascii="仿宋_GB2312" w:hAnsi="ˎ̥" w:eastAsia="仿宋_GB2312"/>
          <w:sz w:val="32"/>
          <w:szCs w:val="32"/>
          <w:highlight w:val="none"/>
          <w:lang w:val="en-US" w:eastAsia="zh-CN"/>
        </w:rPr>
        <w:t>大</w:t>
      </w:r>
      <w:r>
        <w:rPr>
          <w:rFonts w:hint="eastAsia" w:ascii="仿宋_GB2312" w:hAnsi="ˎ̥" w:eastAsia="仿宋_GB2312"/>
          <w:sz w:val="32"/>
          <w:szCs w:val="32"/>
          <w:highlight w:val="none"/>
        </w:rPr>
        <w:t>于预算数的主要原因</w:t>
      </w:r>
      <w:r>
        <w:rPr>
          <w:rFonts w:hint="eastAsia" w:ascii="仿宋_GB2312" w:hAnsi="ˎ̥" w:eastAsia="仿宋_GB2312"/>
          <w:sz w:val="32"/>
          <w:szCs w:val="32"/>
          <w:highlight w:val="none"/>
          <w:lang w:eastAsia="zh-CN"/>
        </w:rPr>
        <w:t>是</w:t>
      </w:r>
      <w:r>
        <w:rPr>
          <w:rFonts w:hint="eastAsia" w:ascii="仿宋_GB2312" w:hAnsi="ˎ̥" w:eastAsia="仿宋_GB2312"/>
          <w:sz w:val="32"/>
          <w:szCs w:val="32"/>
          <w:highlight w:val="none"/>
          <w:lang w:val="en-US" w:eastAsia="zh-CN"/>
        </w:rPr>
        <w:t>年中追加了预算资金</w:t>
      </w:r>
      <w:r>
        <w:rPr>
          <w:rFonts w:hint="eastAsia" w:ascii="仿宋_GB2312" w:hAnsi="ˎ̥" w:eastAsia="仿宋_GB2312"/>
          <w:sz w:val="32"/>
          <w:szCs w:val="32"/>
          <w:highlight w:val="none"/>
        </w:rPr>
        <w:t>。</w:t>
      </w:r>
    </w:p>
    <w:p>
      <w:pPr>
        <w:spacing w:line="578" w:lineRule="exact"/>
        <w:ind w:firstLine="643" w:firstLineChars="200"/>
        <w:rPr>
          <w:rFonts w:hint="default" w:ascii="仿宋_GB2312" w:hAnsi="ˎ̥" w:eastAsia="仿宋_GB2312"/>
          <w:sz w:val="32"/>
          <w:szCs w:val="32"/>
          <w:highlight w:val="none"/>
          <w:lang w:val="en-US" w:eastAsia="zh-CN"/>
        </w:rPr>
      </w:pPr>
      <w:r>
        <w:rPr>
          <w:rFonts w:hint="eastAsia" w:ascii="仿宋_GB2312" w:hAnsi="ˎ̥" w:eastAsia="仿宋_GB2312" w:cs="仿宋_GB2312"/>
          <w:b/>
          <w:kern w:val="0"/>
          <w:sz w:val="32"/>
          <w:szCs w:val="32"/>
          <w:highlight w:val="none"/>
          <w:shd w:val="clear" w:fill="FFFFFF"/>
          <w:lang w:val="en-US" w:eastAsia="zh-CN"/>
        </w:rPr>
        <w:t>4</w:t>
      </w:r>
      <w:r>
        <w:rPr>
          <w:rFonts w:hint="eastAsia" w:ascii="仿宋_GB2312" w:hAnsi="ˎ̥" w:eastAsia="仿宋_GB2312" w:cs="仿宋_GB2312"/>
          <w:b/>
          <w:kern w:val="0"/>
          <w:sz w:val="32"/>
          <w:szCs w:val="32"/>
          <w:highlight w:val="none"/>
          <w:shd w:val="clear" w:fill="FFFFFF"/>
        </w:rPr>
        <w:t>.教育支出（类）特殊教育（款）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黑体" w:eastAsia="仿宋_GB2312"/>
          <w:sz w:val="32"/>
          <w:szCs w:val="32"/>
          <w:highlight w:val="none"/>
        </w:rPr>
        <w:t>495.44</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573.27</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115.71</w:t>
      </w:r>
      <w:r>
        <w:rPr>
          <w:rFonts w:hint="eastAsia" w:ascii="仿宋_GB2312" w:hAnsi="ˎ̥" w:eastAsia="仿宋_GB2312"/>
          <w:sz w:val="32"/>
          <w:szCs w:val="32"/>
          <w:highlight w:val="none"/>
        </w:rPr>
        <w:t>%。决算数</w:t>
      </w:r>
      <w:r>
        <w:rPr>
          <w:rFonts w:hint="eastAsia" w:ascii="仿宋_GB2312" w:hAnsi="ˎ̥" w:eastAsia="仿宋_GB2312"/>
          <w:sz w:val="32"/>
          <w:szCs w:val="32"/>
          <w:highlight w:val="none"/>
          <w:lang w:val="en-US" w:eastAsia="zh-CN"/>
        </w:rPr>
        <w:t>大</w:t>
      </w:r>
      <w:r>
        <w:rPr>
          <w:rFonts w:hint="eastAsia" w:ascii="仿宋_GB2312" w:hAnsi="ˎ̥" w:eastAsia="仿宋_GB2312"/>
          <w:sz w:val="32"/>
          <w:szCs w:val="32"/>
          <w:highlight w:val="none"/>
        </w:rPr>
        <w:t>于预算数的主要原因</w:t>
      </w:r>
      <w:r>
        <w:rPr>
          <w:rFonts w:hint="eastAsia" w:ascii="仿宋_GB2312" w:hAnsi="ˎ̥" w:eastAsia="仿宋_GB2312"/>
          <w:sz w:val="32"/>
          <w:szCs w:val="32"/>
          <w:highlight w:val="none"/>
          <w:lang w:eastAsia="zh-CN"/>
        </w:rPr>
        <w:t>是</w:t>
      </w:r>
      <w:r>
        <w:rPr>
          <w:rFonts w:hint="eastAsia" w:ascii="仿宋_GB2312" w:hAnsi="ˎ̥" w:eastAsia="仿宋_GB2312"/>
          <w:sz w:val="32"/>
          <w:szCs w:val="32"/>
          <w:highlight w:val="none"/>
          <w:lang w:val="en-US" w:eastAsia="zh-CN"/>
        </w:rPr>
        <w:t>特殊教育学校年中追加了特殊教育补助资金</w:t>
      </w:r>
      <w:r>
        <w:rPr>
          <w:rFonts w:hint="eastAsia" w:ascii="仿宋_GB2312" w:hAnsi="ˎ̥" w:eastAsia="仿宋_GB2312"/>
          <w:sz w:val="32"/>
          <w:szCs w:val="32"/>
          <w:highlight w:val="none"/>
        </w:rPr>
        <w:t>。</w:t>
      </w:r>
    </w:p>
    <w:p>
      <w:pPr>
        <w:spacing w:line="578" w:lineRule="exact"/>
        <w:ind w:firstLine="643" w:firstLineChars="200"/>
        <w:rPr>
          <w:rFonts w:hint="eastAsia" w:ascii="仿宋_GB2312" w:hAnsi="ˎ̥" w:eastAsia="仿宋_GB2312"/>
          <w:sz w:val="32"/>
          <w:szCs w:val="32"/>
          <w:highlight w:val="none"/>
        </w:rPr>
      </w:pPr>
      <w:r>
        <w:rPr>
          <w:rFonts w:hint="eastAsia" w:ascii="仿宋_GB2312" w:hAnsi="ˎ̥" w:eastAsia="仿宋_GB2312" w:cs="仿宋_GB2312"/>
          <w:b/>
          <w:kern w:val="0"/>
          <w:sz w:val="32"/>
          <w:szCs w:val="32"/>
          <w:highlight w:val="none"/>
          <w:shd w:val="clear" w:fill="FFFFFF"/>
          <w:lang w:val="en-US" w:eastAsia="zh-CN"/>
        </w:rPr>
        <w:t>5.</w:t>
      </w:r>
      <w:r>
        <w:rPr>
          <w:rFonts w:hint="eastAsia" w:ascii="仿宋_GB2312" w:hAnsi="ˎ̥" w:eastAsia="仿宋_GB2312" w:cs="仿宋_GB2312"/>
          <w:b/>
          <w:kern w:val="0"/>
          <w:sz w:val="32"/>
          <w:szCs w:val="32"/>
          <w:highlight w:val="none"/>
          <w:shd w:val="clear" w:fill="FFFFFF"/>
        </w:rPr>
        <w:t>教育支出（类）其他教育支出（款）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宋体" w:eastAsia="仿宋_GB2312" w:cs="仿宋_GB2312"/>
          <w:kern w:val="0"/>
          <w:sz w:val="32"/>
          <w:szCs w:val="32"/>
          <w:highlight w:val="none"/>
          <w:lang w:val="en-US" w:eastAsia="zh-CN"/>
        </w:rPr>
        <w:t>年初</w:t>
      </w:r>
      <w:r>
        <w:rPr>
          <w:rFonts w:hint="eastAsia" w:ascii="仿宋_GB2312" w:hAnsi="宋体" w:eastAsia="仿宋_GB2312" w:cs="仿宋_GB2312"/>
          <w:kern w:val="0"/>
          <w:sz w:val="32"/>
          <w:szCs w:val="32"/>
          <w:highlight w:val="none"/>
        </w:rPr>
        <w:t>预算数为</w:t>
      </w:r>
      <w:r>
        <w:rPr>
          <w:rFonts w:hint="eastAsia" w:ascii="仿宋_GB2312" w:hAnsi="宋体" w:eastAsia="仿宋_GB2312" w:cs="仿宋_GB2312"/>
          <w:kern w:val="0"/>
          <w:sz w:val="32"/>
          <w:szCs w:val="32"/>
          <w:highlight w:val="none"/>
          <w:lang w:val="en-US" w:eastAsia="zh-CN"/>
        </w:rPr>
        <w:t>94</w:t>
      </w:r>
      <w:r>
        <w:rPr>
          <w:rFonts w:hint="eastAsia" w:ascii="仿宋_GB2312" w:hAnsi="宋体" w:eastAsia="仿宋_GB2312" w:cs="仿宋_GB2312"/>
          <w:kern w:val="0"/>
          <w:sz w:val="32"/>
          <w:szCs w:val="32"/>
          <w:highlight w:val="none"/>
        </w:rPr>
        <w:t>万元，</w:t>
      </w:r>
      <w:r>
        <w:rPr>
          <w:rFonts w:hint="eastAsia" w:ascii="仿宋_GB2312" w:hAnsi="ˎ̥" w:eastAsia="仿宋_GB2312" w:cs="仿宋_GB2312"/>
          <w:kern w:val="0"/>
          <w:sz w:val="32"/>
          <w:szCs w:val="32"/>
          <w:highlight w:val="none"/>
          <w:shd w:val="clear" w:fill="FFFFFF"/>
        </w:rPr>
        <w:t>支出决算为1,206.78万元，完成年初预算的</w:t>
      </w:r>
      <w:r>
        <w:rPr>
          <w:rFonts w:hint="eastAsia" w:ascii="仿宋_GB2312" w:hAnsi="ˎ̥" w:eastAsia="仿宋_GB2312" w:cs="仿宋_GB2312"/>
          <w:kern w:val="0"/>
          <w:sz w:val="32"/>
          <w:szCs w:val="32"/>
          <w:highlight w:val="none"/>
          <w:shd w:val="clear" w:fill="FFFFFF"/>
          <w:lang w:val="en-US" w:eastAsia="zh-CN"/>
        </w:rPr>
        <w:t>1283.8</w:t>
      </w:r>
      <w:r>
        <w:rPr>
          <w:rFonts w:hint="eastAsia" w:ascii="仿宋_GB2312" w:hAnsi="ˎ̥" w:eastAsia="仿宋_GB2312" w:cs="仿宋_GB2312"/>
          <w:kern w:val="0"/>
          <w:sz w:val="32"/>
          <w:szCs w:val="32"/>
          <w:highlight w:val="none"/>
          <w:shd w:val="clear" w:fill="FFFFFF"/>
        </w:rPr>
        <w:t>%。决算数</w:t>
      </w:r>
      <w:r>
        <w:rPr>
          <w:rFonts w:hint="eastAsia" w:ascii="仿宋_GB2312" w:hAnsi="ˎ̥" w:eastAsia="仿宋_GB2312" w:cs="仿宋_GB2312"/>
          <w:kern w:val="0"/>
          <w:sz w:val="32"/>
          <w:szCs w:val="32"/>
          <w:highlight w:val="none"/>
          <w:shd w:val="clear" w:fill="FFFFFF"/>
          <w:lang w:val="en-US" w:eastAsia="zh-CN"/>
        </w:rPr>
        <w:t>大</w:t>
      </w:r>
      <w:r>
        <w:rPr>
          <w:rFonts w:hint="eastAsia" w:ascii="仿宋_GB2312" w:hAnsi="ˎ̥" w:eastAsia="仿宋_GB2312" w:cs="仿宋_GB2312"/>
          <w:kern w:val="0"/>
          <w:sz w:val="32"/>
          <w:szCs w:val="32"/>
          <w:highlight w:val="none"/>
          <w:shd w:val="clear" w:fill="FFFFFF"/>
        </w:rPr>
        <w:t>于</w:t>
      </w:r>
      <w:r>
        <w:rPr>
          <w:rFonts w:hint="eastAsia" w:ascii="仿宋_GB2312" w:hAnsi="ˎ̥" w:eastAsia="仿宋_GB2312"/>
          <w:sz w:val="32"/>
          <w:szCs w:val="32"/>
          <w:highlight w:val="none"/>
        </w:rPr>
        <w:t>预算数的主要原因</w:t>
      </w:r>
      <w:r>
        <w:rPr>
          <w:rFonts w:hint="eastAsia" w:ascii="仿宋_GB2312" w:hAnsi="ˎ̥" w:eastAsia="仿宋_GB2312"/>
          <w:sz w:val="32"/>
          <w:szCs w:val="32"/>
          <w:highlight w:val="none"/>
          <w:lang w:val="en-US" w:eastAsia="zh-CN"/>
        </w:rPr>
        <w:t>是年中追加预算资金</w:t>
      </w:r>
      <w:r>
        <w:rPr>
          <w:rFonts w:hint="eastAsia" w:ascii="仿宋_GB2312" w:hAnsi="ˎ̥" w:eastAsia="仿宋_GB2312"/>
          <w:sz w:val="32"/>
          <w:szCs w:val="32"/>
          <w:highlight w:val="none"/>
        </w:rPr>
        <w:t>。</w:t>
      </w:r>
    </w:p>
    <w:p>
      <w:pPr>
        <w:spacing w:line="578" w:lineRule="exact"/>
        <w:ind w:firstLine="643" w:firstLineChars="200"/>
        <w:rPr>
          <w:rFonts w:hint="eastAsia" w:ascii="仿宋_GB2312" w:hAnsi="ˎ̥" w:eastAsia="仿宋_GB2312"/>
          <w:sz w:val="32"/>
          <w:szCs w:val="32"/>
          <w:highlight w:val="none"/>
        </w:rPr>
      </w:pPr>
      <w:r>
        <w:rPr>
          <w:rFonts w:hint="eastAsia" w:ascii="仿宋_GB2312" w:hAnsi="ˎ̥" w:eastAsia="仿宋_GB2312" w:cs="仿宋_GB2312"/>
          <w:b/>
          <w:kern w:val="0"/>
          <w:sz w:val="32"/>
          <w:szCs w:val="32"/>
          <w:highlight w:val="none"/>
          <w:shd w:val="clear" w:fill="FFFFFF"/>
          <w:lang w:val="en-US" w:eastAsia="zh-CN"/>
        </w:rPr>
        <w:t>6.</w:t>
      </w:r>
      <w:r>
        <w:rPr>
          <w:rFonts w:hint="eastAsia" w:ascii="仿宋_GB2312" w:hAnsi="ˎ̥" w:eastAsia="仿宋_GB2312" w:cs="仿宋_GB2312"/>
          <w:b/>
          <w:kern w:val="0"/>
          <w:sz w:val="32"/>
          <w:szCs w:val="32"/>
          <w:highlight w:val="none"/>
          <w:shd w:val="clear" w:fill="FFFFFF"/>
        </w:rPr>
        <w:t>社会保障和就业支出（类）行政事业单位养老支出（款）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黑体" w:eastAsia="仿宋_GB2312" w:cs="仿宋_GB2312"/>
          <w:sz w:val="32"/>
          <w:szCs w:val="32"/>
          <w:highlight w:val="none"/>
        </w:rPr>
        <w:t>9,797.22</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9,474.87</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96.71</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cs="仿宋_GB2312"/>
          <w:kern w:val="0"/>
          <w:sz w:val="32"/>
          <w:szCs w:val="32"/>
          <w:highlight w:val="none"/>
          <w:shd w:val="clear" w:fill="FFFFFF"/>
        </w:rPr>
        <w:t>因人员减少，养老支出也减少</w:t>
      </w:r>
      <w:r>
        <w:rPr>
          <w:rFonts w:hint="eastAsia" w:ascii="仿宋_GB2312" w:hAnsi="ˎ̥" w:eastAsia="仿宋_GB2312"/>
          <w:sz w:val="32"/>
          <w:szCs w:val="32"/>
          <w:highlight w:val="none"/>
        </w:rPr>
        <w:t>。</w:t>
      </w:r>
    </w:p>
    <w:p>
      <w:pPr>
        <w:spacing w:line="578" w:lineRule="exact"/>
        <w:ind w:firstLine="643" w:firstLineChars="200"/>
        <w:rPr>
          <w:rFonts w:hint="eastAsia" w:ascii="仿宋_GB2312" w:hAnsi="ˎ̥" w:eastAsia="仿宋_GB2312"/>
          <w:sz w:val="32"/>
          <w:szCs w:val="32"/>
          <w:highlight w:val="none"/>
        </w:rPr>
      </w:pPr>
      <w:r>
        <w:rPr>
          <w:rFonts w:hint="eastAsia" w:ascii="仿宋_GB2312" w:hAnsi="ˎ̥" w:eastAsia="仿宋_GB2312" w:cs="仿宋_GB2312"/>
          <w:b/>
          <w:kern w:val="0"/>
          <w:sz w:val="32"/>
          <w:szCs w:val="32"/>
          <w:highlight w:val="none"/>
          <w:shd w:val="clear" w:fill="FFFFFF"/>
          <w:lang w:val="en-US" w:eastAsia="zh-CN"/>
        </w:rPr>
        <w:t>7.</w:t>
      </w:r>
      <w:r>
        <w:rPr>
          <w:rFonts w:hint="eastAsia" w:ascii="仿宋_GB2312" w:hAnsi="ˎ̥" w:eastAsia="仿宋_GB2312" w:cs="仿宋_GB2312"/>
          <w:b/>
          <w:kern w:val="0"/>
          <w:sz w:val="32"/>
          <w:szCs w:val="32"/>
          <w:highlight w:val="none"/>
          <w:shd w:val="clear" w:fill="FFFFFF"/>
        </w:rPr>
        <w:t>卫生健康支出（类）行政事业单位医疗（款）</w:t>
      </w:r>
    </w:p>
    <w:p>
      <w:pPr>
        <w:spacing w:line="578" w:lineRule="exact"/>
        <w:ind w:firstLine="640" w:firstLineChars="200"/>
        <w:rPr>
          <w:rFonts w:hint="eastAsia" w:ascii="仿宋_GB2312" w:hAnsi="ˎ̥" w:eastAsia="仿宋_GB2312" w:cs="仿宋_GB2312"/>
          <w:kern w:val="0"/>
          <w:sz w:val="32"/>
          <w:szCs w:val="32"/>
          <w:highlight w:val="none"/>
          <w:shd w:val="clear" w:fill="FFFFFF"/>
        </w:rPr>
      </w:pPr>
      <w:r>
        <w:rPr>
          <w:rFonts w:hint="eastAsia" w:ascii="仿宋_GB2312" w:hAnsi="ˎ̥" w:eastAsia="仿宋_GB2312"/>
          <w:sz w:val="32"/>
          <w:szCs w:val="32"/>
          <w:highlight w:val="none"/>
        </w:rPr>
        <w:t>年初预算为</w:t>
      </w:r>
      <w:r>
        <w:rPr>
          <w:rFonts w:hint="eastAsia" w:ascii="仿宋_GB2312" w:hAnsi="黑体" w:eastAsia="仿宋_GB2312"/>
          <w:sz w:val="32"/>
          <w:szCs w:val="32"/>
          <w:highlight w:val="none"/>
        </w:rPr>
        <w:t>9286.43</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7917.55</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85.28</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cs="仿宋_GB2312"/>
          <w:kern w:val="0"/>
          <w:sz w:val="32"/>
          <w:szCs w:val="32"/>
          <w:highlight w:val="none"/>
          <w:shd w:val="clear" w:fill="FFFFFF"/>
        </w:rPr>
        <w:t>人员减少，医疗保险也减少。</w:t>
      </w:r>
    </w:p>
    <w:p>
      <w:pPr>
        <w:spacing w:line="578" w:lineRule="exact"/>
        <w:ind w:firstLine="643" w:firstLineChars="200"/>
        <w:rPr>
          <w:rFonts w:hint="eastAsia" w:ascii="仿宋_GB2312" w:hAnsi="ˎ̥" w:eastAsia="仿宋_GB2312" w:cs="仿宋_GB2312"/>
          <w:kern w:val="0"/>
          <w:sz w:val="32"/>
          <w:szCs w:val="32"/>
          <w:highlight w:val="none"/>
          <w:shd w:val="clear" w:fill="FFFFFF"/>
        </w:rPr>
      </w:pPr>
      <w:r>
        <w:rPr>
          <w:rFonts w:hint="eastAsia" w:ascii="仿宋_GB2312" w:hAnsi="ˎ̥" w:eastAsia="仿宋_GB2312" w:cs="仿宋_GB2312"/>
          <w:b/>
          <w:kern w:val="0"/>
          <w:sz w:val="32"/>
          <w:szCs w:val="32"/>
          <w:highlight w:val="none"/>
          <w:shd w:val="clear" w:fill="FFFFFF"/>
          <w:lang w:val="en-US" w:eastAsia="zh-CN"/>
        </w:rPr>
        <w:t>8.</w:t>
      </w:r>
      <w:r>
        <w:rPr>
          <w:rFonts w:hint="eastAsia" w:ascii="仿宋_GB2312" w:hAnsi="ˎ̥" w:eastAsia="仿宋_GB2312" w:cs="仿宋_GB2312"/>
          <w:b/>
          <w:kern w:val="0"/>
          <w:sz w:val="32"/>
          <w:szCs w:val="32"/>
          <w:highlight w:val="none"/>
          <w:shd w:val="clear" w:fill="FFFFFF"/>
        </w:rPr>
        <w:t>住房保障支出（类）住房改革支出（款）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仿宋_GB2312"/>
          <w:kern w:val="0"/>
          <w:sz w:val="32"/>
          <w:szCs w:val="32"/>
          <w:highlight w:val="none"/>
          <w:shd w:val="clear" w:fill="FFFFFF"/>
        </w:rPr>
      </w:pPr>
      <w:r>
        <w:rPr>
          <w:rFonts w:hint="eastAsia" w:ascii="仿宋_GB2312" w:hAnsi="ˎ̥" w:eastAsia="仿宋_GB2312"/>
          <w:sz w:val="32"/>
          <w:szCs w:val="32"/>
          <w:highlight w:val="none"/>
        </w:rPr>
        <w:t>年初预算为</w:t>
      </w:r>
      <w:r>
        <w:rPr>
          <w:rFonts w:hint="eastAsia" w:ascii="仿宋_GB2312" w:hAnsi="黑体" w:eastAsia="仿宋_GB2312" w:cs="仿宋_GB2312"/>
          <w:sz w:val="32"/>
          <w:szCs w:val="32"/>
          <w:highlight w:val="none"/>
        </w:rPr>
        <w:t>5,584.43</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4,706.77</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84.28</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cs="仿宋_GB2312"/>
          <w:kern w:val="0"/>
          <w:sz w:val="32"/>
          <w:szCs w:val="32"/>
          <w:highlight w:val="none"/>
          <w:shd w:val="clear" w:fill="FFFFFF"/>
        </w:rPr>
        <w:t>人员减少，</w:t>
      </w:r>
      <w:r>
        <w:rPr>
          <w:rFonts w:hint="eastAsia" w:ascii="仿宋_GB2312" w:hAnsi="ˎ̥" w:eastAsia="仿宋_GB2312" w:cs="仿宋_GB2312"/>
          <w:kern w:val="0"/>
          <w:sz w:val="32"/>
          <w:szCs w:val="32"/>
          <w:highlight w:val="none"/>
          <w:shd w:val="clear" w:fill="FFFFFF"/>
          <w:lang w:val="en-US" w:eastAsia="zh-CN"/>
        </w:rPr>
        <w:t>住房公积金</w:t>
      </w:r>
      <w:r>
        <w:rPr>
          <w:rFonts w:hint="eastAsia" w:ascii="仿宋_GB2312" w:hAnsi="ˎ̥" w:eastAsia="仿宋_GB2312" w:cs="仿宋_GB2312"/>
          <w:kern w:val="0"/>
          <w:sz w:val="32"/>
          <w:szCs w:val="32"/>
          <w:highlight w:val="none"/>
          <w:shd w:val="clear" w:fill="FFFFFF"/>
        </w:rPr>
        <w:t>也减少。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本部分支出决算数可取自财决公开05表，年初预算数可取自各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单位年初预算大本，根据实际支出涉及的支出功能分类项级科目填列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highlight w:val="none"/>
        </w:rPr>
      </w:pPr>
      <w:r>
        <w:rPr>
          <w:rFonts w:hint="eastAsia" w:ascii="黑体" w:hAnsi="黑体" w:eastAsia="黑体" w:cs="黑体"/>
          <w:bCs/>
          <w:color w:val="auto"/>
          <w:sz w:val="32"/>
          <w:szCs w:val="32"/>
          <w:highlight w:val="none"/>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年度财政拨款基本支出</w:t>
      </w:r>
      <w:r>
        <w:rPr>
          <w:rFonts w:hint="eastAsia" w:ascii="仿宋_GB2312" w:hAnsi="ˎ̥" w:eastAsia="仿宋_GB2312"/>
          <w:color w:val="auto"/>
          <w:sz w:val="32"/>
          <w:szCs w:val="32"/>
          <w:highlight w:val="none"/>
          <w:lang w:val="en-US"/>
        </w:rPr>
        <w:t>67,111.65</w:t>
      </w:r>
      <w:r>
        <w:rPr>
          <w:rFonts w:hint="eastAsia" w:ascii="仿宋_GB2312" w:hAnsi="ˎ̥" w:eastAsia="仿宋_GB2312"/>
          <w:color w:val="auto"/>
          <w:sz w:val="32"/>
          <w:szCs w:val="32"/>
          <w:highlight w:val="none"/>
        </w:rPr>
        <w:t>万元，其中：人员经费</w:t>
      </w:r>
      <w:r>
        <w:rPr>
          <w:rFonts w:ascii="仿宋_GB2312" w:hAnsi="ˎ̥" w:eastAsia="仿宋_GB2312"/>
          <w:color w:val="auto"/>
          <w:sz w:val="32"/>
          <w:szCs w:val="32"/>
          <w:highlight w:val="none"/>
          <w:lang w:val="en-US"/>
        </w:rPr>
        <w:t>66,139.09</w:t>
      </w:r>
      <w:r>
        <w:rPr>
          <w:rFonts w:hint="eastAsia" w:ascii="仿宋_GB2312" w:hAnsi="ˎ̥" w:eastAsia="仿宋_GB2312"/>
          <w:color w:val="auto"/>
          <w:sz w:val="32"/>
          <w:szCs w:val="32"/>
          <w:highlight w:val="none"/>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highlight w:val="none"/>
          <w:lang w:val="en-US"/>
        </w:rPr>
        <w:t>968.88</w:t>
      </w:r>
      <w:r>
        <w:rPr>
          <w:rFonts w:hint="eastAsia" w:ascii="仿宋_GB2312" w:hAnsi="ˎ̥" w:eastAsia="仿宋_GB2312"/>
          <w:color w:val="auto"/>
          <w:sz w:val="32"/>
          <w:szCs w:val="32"/>
          <w:highlight w:val="none"/>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highlight w:val="none"/>
          <w:lang w:val="en-US" w:eastAsia="zh-CN"/>
        </w:rPr>
        <w:t>购</w:t>
      </w:r>
      <w:r>
        <w:rPr>
          <w:rFonts w:hint="eastAsia" w:ascii="仿宋_GB2312" w:hAnsi="ˎ̥" w:eastAsia="仿宋_GB2312"/>
          <w:color w:val="auto"/>
          <w:sz w:val="32"/>
          <w:szCs w:val="32"/>
          <w:highlight w:val="none"/>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w:t>
      </w:r>
      <w:r>
        <w:rPr>
          <w:rFonts w:hint="eastAsia" w:ascii="仿宋_GB2312" w:hAnsi="ˎ̥" w:eastAsia="仿宋_GB2312"/>
          <w:color w:val="auto"/>
          <w:sz w:val="32"/>
          <w:szCs w:val="32"/>
          <w:highlight w:val="none"/>
          <w:lang w:val="en-US" w:eastAsia="zh-CN"/>
        </w:rPr>
        <w:t>数据</w:t>
      </w:r>
      <w:r>
        <w:rPr>
          <w:rFonts w:hint="eastAsia" w:ascii="仿宋_GB2312" w:hAnsi="ˎ̥" w:eastAsia="仿宋_GB2312"/>
          <w:color w:val="auto"/>
          <w:sz w:val="32"/>
          <w:szCs w:val="32"/>
          <w:highlight w:val="none"/>
        </w:rPr>
        <w:t>可取自财决公开06表，各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年度政府性基金预算财政拨款支出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年度政府性基金预算财政拨款支出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年度政府性基金预算财政拨款支出年初预算为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单位实际支出涉及的支出功能分类项级科目填列，本部分</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w:t>
      </w:r>
      <w:r>
        <w:rPr>
          <w:rFonts w:hint="eastAsia" w:ascii="仿宋_GB2312" w:hAnsi="ˎ̥" w:eastAsia="仿宋_GB2312"/>
          <w:color w:val="auto"/>
          <w:sz w:val="32"/>
          <w:szCs w:val="32"/>
          <w:highlight w:val="none"/>
          <w:lang w:val="en-US" w:eastAsia="zh-CN"/>
        </w:rPr>
        <w:t>度</w:t>
      </w:r>
      <w:r>
        <w:rPr>
          <w:rFonts w:hint="eastAsia" w:ascii="仿宋_GB2312" w:hAnsi="ˎ̥" w:eastAsia="仿宋_GB2312"/>
          <w:color w:val="auto"/>
          <w:sz w:val="32"/>
          <w:szCs w:val="32"/>
          <w:highlight w:val="none"/>
        </w:rPr>
        <w:t>决算相关数据取自财决公开07表；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w:t>
      </w:r>
      <w:r>
        <w:rPr>
          <w:rFonts w:hint="eastAsia" w:ascii="仿宋_GB2312" w:hAnsi="ˎ̥" w:eastAsia="仿宋_GB2312"/>
          <w:color w:val="auto"/>
          <w:sz w:val="32"/>
          <w:szCs w:val="32"/>
          <w:highlight w:val="none"/>
          <w:lang w:val="en-US" w:eastAsia="zh-CN"/>
        </w:rPr>
        <w:t>度</w:t>
      </w:r>
      <w:r>
        <w:rPr>
          <w:rFonts w:hint="eastAsia" w:ascii="仿宋_GB2312" w:hAnsi="ˎ̥" w:eastAsia="仿宋_GB2312"/>
          <w:color w:val="auto"/>
          <w:sz w:val="32"/>
          <w:szCs w:val="32"/>
          <w:highlight w:val="none"/>
        </w:rPr>
        <w:t>决算相关数据取自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lang w:val="en-US" w:eastAsia="zh-CN"/>
        </w:rPr>
        <w:t>年度部门决算报表</w:t>
      </w:r>
      <w:r>
        <w:rPr>
          <w:rFonts w:hint="eastAsia" w:ascii="仿宋_GB2312" w:hAnsi="ˎ̥" w:eastAsia="仿宋_GB2312"/>
          <w:color w:val="auto"/>
          <w:sz w:val="32"/>
          <w:szCs w:val="32"/>
          <w:highlight w:val="none"/>
        </w:rPr>
        <w:t>财决09表《政府性基金预算财政拨款收入支出决算表》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年度国有资本经营预算财政拨款支出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lang w:eastAsia="zh-CN"/>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年度国有资本经营预算财政拨款支出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lang w:eastAsia="zh-CN"/>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年度国有资本经营预算财政拨款支出年初预算为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单位实际支出涉及的支出功能分类项级科目填列，本部分</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w:t>
      </w:r>
      <w:r>
        <w:rPr>
          <w:rFonts w:hint="eastAsia" w:ascii="仿宋_GB2312" w:hAnsi="ˎ̥" w:eastAsia="仿宋_GB2312"/>
          <w:color w:val="auto"/>
          <w:sz w:val="32"/>
          <w:szCs w:val="32"/>
          <w:highlight w:val="none"/>
          <w:lang w:val="en-US" w:eastAsia="zh-CN"/>
        </w:rPr>
        <w:t>度</w:t>
      </w:r>
      <w:r>
        <w:rPr>
          <w:rFonts w:hint="eastAsia" w:ascii="仿宋_GB2312" w:hAnsi="ˎ̥" w:eastAsia="仿宋_GB2312"/>
          <w:color w:val="auto"/>
          <w:sz w:val="32"/>
          <w:szCs w:val="32"/>
          <w:highlight w:val="none"/>
        </w:rPr>
        <w:t>决算相关数据取自财决公开08表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highlight w:val="none"/>
        </w:rPr>
      </w:pPr>
      <w:r>
        <w:rPr>
          <w:rFonts w:hint="eastAsia" w:ascii="黑体" w:hAnsi="黑体" w:eastAsia="黑体" w:cs="黑体"/>
          <w:bCs/>
          <w:color w:val="auto"/>
          <w:sz w:val="32"/>
          <w:szCs w:val="32"/>
          <w:highlight w:val="none"/>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年度财政拨款“三公”经费支出预算为</w:t>
      </w:r>
      <w:r>
        <w:rPr>
          <w:rFonts w:hint="default" w:ascii="仿宋_GB2312" w:hAnsi="ˎ̥" w:eastAsia="仿宋_GB2312"/>
          <w:color w:val="auto"/>
          <w:sz w:val="32"/>
          <w:szCs w:val="32"/>
          <w:highlight w:val="none"/>
          <w:lang w:val="en-US"/>
        </w:rPr>
        <w:t>4</w:t>
      </w:r>
      <w:r>
        <w:rPr>
          <w:rFonts w:hint="eastAsia" w:ascii="仿宋_GB2312" w:hAnsi="ˎ̥" w:eastAsia="仿宋_GB2312"/>
          <w:color w:val="auto"/>
          <w:sz w:val="32"/>
          <w:szCs w:val="32"/>
          <w:highlight w:val="none"/>
          <w:lang w:val="en-US" w:eastAsia="zh-CN"/>
        </w:rPr>
        <w:t>.8</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4.43</w:t>
      </w:r>
      <w:r>
        <w:rPr>
          <w:rFonts w:hint="eastAsia" w:ascii="仿宋_GB2312" w:hAnsi="ˎ̥" w:eastAsia="仿宋_GB2312"/>
          <w:color w:val="auto"/>
          <w:sz w:val="32"/>
          <w:szCs w:val="32"/>
          <w:highlight w:val="none"/>
        </w:rPr>
        <w:t>万元，完成预算的</w:t>
      </w:r>
      <w:r>
        <w:rPr>
          <w:rFonts w:hint="eastAsia" w:ascii="仿宋_GB2312" w:hAnsi="ˎ̥" w:eastAsia="仿宋_GB2312"/>
          <w:color w:val="auto"/>
          <w:sz w:val="32"/>
          <w:szCs w:val="32"/>
          <w:highlight w:val="none"/>
          <w:lang w:val="en-US" w:eastAsia="zh-CN"/>
        </w:rPr>
        <w:t>92.29</w:t>
      </w:r>
      <w:r>
        <w:rPr>
          <w:rFonts w:hint="eastAsia" w:ascii="仿宋_GB2312" w:hAnsi="ˎ̥" w:eastAsia="仿宋_GB2312"/>
          <w:color w:val="auto"/>
          <w:sz w:val="32"/>
          <w:szCs w:val="32"/>
          <w:highlight w:val="none"/>
        </w:rPr>
        <w:t>%，</w:t>
      </w:r>
      <w:r>
        <w:rPr>
          <w:rFonts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color w:val="auto"/>
          <w:sz w:val="32"/>
          <w:szCs w:val="32"/>
          <w:highlight w:val="none"/>
        </w:rPr>
        <w:t>“三公”经费支出</w:t>
      </w:r>
      <w:r>
        <w:rPr>
          <w:rFonts w:hint="eastAsia" w:ascii="仿宋_GB2312" w:hAnsi="ˎ̥" w:eastAsia="仿宋_GB2312"/>
          <w:color w:val="auto"/>
          <w:sz w:val="32"/>
          <w:szCs w:val="32"/>
          <w:highlight w:val="none"/>
          <w:lang w:val="en-US" w:eastAsia="zh-CN"/>
        </w:rPr>
        <w:t>增加1.57</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增加54.9</w:t>
      </w:r>
      <w:r>
        <w:rPr>
          <w:rFonts w:hint="eastAsia" w:ascii="仿宋_GB2312" w:hAnsi="ˎ̥" w:eastAsia="仿宋_GB2312"/>
          <w:color w:val="auto"/>
          <w:sz w:val="32"/>
          <w:szCs w:val="32"/>
          <w:highlight w:val="none"/>
        </w:rPr>
        <w:t>%，</w:t>
      </w:r>
      <w:r>
        <w:rPr>
          <w:rFonts w:ascii="仿宋_GB2312" w:hAnsi="ˎ̥" w:eastAsia="仿宋_GB2312"/>
          <w:color w:val="auto"/>
          <w:sz w:val="32"/>
          <w:szCs w:val="32"/>
          <w:highlight w:val="none"/>
        </w:rPr>
        <w:t>主要原因是</w:t>
      </w:r>
      <w:r>
        <w:rPr>
          <w:rFonts w:hint="eastAsia" w:ascii="仿宋_GB2312" w:hAnsi="ˎ̥" w:eastAsia="仿宋_GB2312"/>
          <w:sz w:val="32"/>
          <w:szCs w:val="32"/>
          <w:highlight w:val="none"/>
          <w:lang w:val="en-US" w:eastAsia="zh-CN"/>
        </w:rPr>
        <w:t>公务用车支出较大</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highlight w:val="none"/>
        </w:rPr>
      </w:pPr>
      <w:r>
        <w:rPr>
          <w:rFonts w:hint="eastAsia" w:ascii="楷体" w:hAnsi="楷体" w:eastAsia="楷体" w:cs="楷体"/>
          <w:b/>
          <w:bCs/>
          <w:color w:val="auto"/>
          <w:sz w:val="32"/>
          <w:szCs w:val="32"/>
          <w:highlight w:val="none"/>
        </w:rPr>
        <w:t xml:space="preserve">   </w:t>
      </w:r>
      <w:r>
        <w:rPr>
          <w:rFonts w:hint="eastAsia" w:ascii="楷体" w:hAnsi="楷体" w:eastAsia="楷体" w:cs="楷体"/>
          <w:color w:val="auto"/>
          <w:sz w:val="32"/>
          <w:szCs w:val="32"/>
          <w:highlight w:val="none"/>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年度财政拨款“三公”经费支出决算中，因公出国（境）费支出决算</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万元；公务用车购置及运行维护费支出决算</w:t>
      </w:r>
      <w:r>
        <w:rPr>
          <w:rFonts w:hint="default" w:ascii="仿宋_GB2312" w:hAnsi="ˎ̥" w:eastAsia="仿宋_GB2312"/>
          <w:color w:val="auto"/>
          <w:sz w:val="32"/>
          <w:szCs w:val="32"/>
          <w:highlight w:val="none"/>
          <w:lang w:val="en-US"/>
        </w:rPr>
        <w:t>3.64</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81.26</w:t>
      </w:r>
      <w:r>
        <w:rPr>
          <w:rFonts w:hint="eastAsia" w:ascii="仿宋_GB2312" w:hAnsi="ˎ̥" w:eastAsia="仿宋_GB2312"/>
          <w:color w:val="auto"/>
          <w:sz w:val="32"/>
          <w:szCs w:val="32"/>
          <w:highlight w:val="none"/>
        </w:rPr>
        <w:t>%；公务接待费支出决算</w:t>
      </w:r>
      <w:r>
        <w:rPr>
          <w:rFonts w:hint="default" w:ascii="仿宋_GB2312" w:hAnsi="ˎ̥" w:eastAsia="仿宋_GB2312"/>
          <w:color w:val="auto"/>
          <w:sz w:val="32"/>
          <w:szCs w:val="32"/>
          <w:highlight w:val="none"/>
          <w:lang w:val="en-US"/>
        </w:rPr>
        <w:t>0.80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18.74</w:t>
      </w:r>
      <w:r>
        <w:rPr>
          <w:rFonts w:hint="eastAsia" w:ascii="仿宋_GB2312" w:hAnsi="ˎ̥" w:eastAsia="仿宋_GB2312"/>
          <w:color w:val="auto"/>
          <w:sz w:val="32"/>
          <w:szCs w:val="32"/>
          <w:highlight w:val="none"/>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1.因公出国（境）费</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万元。全年安排因公出国（境）团组</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个，因公出国（境）</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因公出国（境）费支出决算</w:t>
      </w:r>
      <w:r>
        <w:rPr>
          <w:rFonts w:hint="eastAsia" w:ascii="仿宋_GB2312" w:hAnsi="ˎ̥" w:eastAsia="仿宋_GB2312"/>
          <w:color w:val="auto"/>
          <w:sz w:val="32"/>
          <w:szCs w:val="32"/>
          <w:highlight w:val="none"/>
          <w:lang w:val="en-US" w:eastAsia="zh-CN"/>
        </w:rPr>
        <w:t>数</w:t>
      </w:r>
      <w:r>
        <w:rPr>
          <w:rFonts w:hint="eastAsia" w:ascii="仿宋_GB2312" w:hAnsi="ˎ̥" w:eastAsia="仿宋_GB2312"/>
          <w:color w:val="auto"/>
          <w:sz w:val="32"/>
          <w:szCs w:val="32"/>
          <w:highlight w:val="none"/>
        </w:rPr>
        <w:t>比预算数</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 xml:space="preserve">    2.公务用车购置及运行维护费</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3.64</w:t>
      </w:r>
      <w:r>
        <w:rPr>
          <w:rFonts w:hint="eastAsia" w:ascii="仿宋_GB2312" w:hAnsi="ˎ̥" w:eastAsia="仿宋_GB2312"/>
          <w:color w:val="auto"/>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公务用车购置</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万元，全年购置公务用车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辆，年末公务用车保有量</w:t>
      </w:r>
      <w:r>
        <w:rPr>
          <w:rFonts w:hint="eastAsia" w:ascii="仿宋_GB2312" w:hAnsi="ˎ̥" w:eastAsia="仿宋_GB2312"/>
          <w:color w:val="auto"/>
          <w:sz w:val="32"/>
          <w:szCs w:val="32"/>
          <w:highlight w:val="none"/>
          <w:lang w:val="en-US" w:eastAsia="zh-CN"/>
        </w:rPr>
        <w:t>2</w:t>
      </w:r>
      <w:r>
        <w:rPr>
          <w:rFonts w:hint="eastAsia" w:ascii="仿宋_GB2312" w:hAnsi="ˎ̥" w:eastAsia="仿宋_GB2312"/>
          <w:color w:val="auto"/>
          <w:sz w:val="32"/>
          <w:szCs w:val="32"/>
          <w:highlight w:val="none"/>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公务用车运行维护费</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3.64</w:t>
      </w:r>
      <w:r>
        <w:rPr>
          <w:rFonts w:hint="eastAsia" w:ascii="仿宋_GB2312" w:hAnsi="ˎ̥" w:eastAsia="仿宋_GB2312"/>
          <w:color w:val="auto"/>
          <w:sz w:val="32"/>
          <w:szCs w:val="32"/>
          <w:highlight w:val="none"/>
        </w:rPr>
        <w:t>万元，主要用于</w:t>
      </w:r>
      <w:r>
        <w:rPr>
          <w:rFonts w:hint="eastAsia" w:ascii="仿宋_GB2312" w:hAnsi="ˎ̥" w:eastAsia="仿宋_GB2312" w:cs="仿宋_GB2312"/>
          <w:kern w:val="0"/>
          <w:sz w:val="32"/>
          <w:szCs w:val="32"/>
          <w:highlight w:val="none"/>
          <w:shd w:val="clear" w:fill="FFFFFF"/>
        </w:rPr>
        <w:t>维护公务用车及日常工作加油</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highlight w:val="none"/>
        </w:rPr>
      </w:pPr>
      <w:r>
        <w:rPr>
          <w:rFonts w:hint="eastAsia" w:ascii="仿宋_GB2312" w:hAnsi="ˎ̥" w:eastAsia="仿宋_GB2312"/>
          <w:bCs/>
          <w:color w:val="auto"/>
          <w:sz w:val="32"/>
          <w:szCs w:val="32"/>
          <w:highlight w:val="none"/>
        </w:rPr>
        <w:t>公务用车购置及运行维护费支出决算数</w:t>
      </w:r>
      <w:r>
        <w:rPr>
          <w:rFonts w:hint="eastAsia" w:ascii="仿宋_GB2312" w:hAnsi="ˎ̥" w:eastAsia="仿宋_GB2312"/>
          <w:color w:val="auto"/>
          <w:sz w:val="32"/>
          <w:szCs w:val="32"/>
          <w:highlight w:val="none"/>
        </w:rPr>
        <w:t>比预算数</w:t>
      </w:r>
      <w:r>
        <w:rPr>
          <w:rFonts w:hint="eastAsia" w:ascii="仿宋_GB2312" w:hAnsi="ˎ̥" w:eastAsia="仿宋_GB2312"/>
          <w:color w:val="auto"/>
          <w:sz w:val="32"/>
          <w:szCs w:val="32"/>
          <w:highlight w:val="none"/>
          <w:lang w:val="en-US" w:eastAsia="zh-CN"/>
        </w:rPr>
        <w:t>减少0.08</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val="en-US" w:eastAsia="zh-CN"/>
        </w:rPr>
        <w:t>完成预算的97.85</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bCs/>
          <w:color w:val="auto"/>
          <w:sz w:val="32"/>
          <w:szCs w:val="32"/>
          <w:highlight w:val="none"/>
        </w:rPr>
        <w:t>公务用车购置及运行维护费</w:t>
      </w:r>
      <w:r>
        <w:rPr>
          <w:rFonts w:hint="eastAsia" w:ascii="仿宋_GB2312" w:hAnsi="ˎ̥" w:eastAsia="仿宋_GB2312"/>
          <w:color w:val="auto"/>
          <w:sz w:val="32"/>
          <w:szCs w:val="32"/>
          <w:highlight w:val="none"/>
        </w:rPr>
        <w:t>支出增加</w:t>
      </w:r>
      <w:r>
        <w:rPr>
          <w:rFonts w:hint="eastAsia" w:ascii="仿宋_GB2312" w:hAnsi="ˎ̥" w:eastAsia="仿宋_GB2312"/>
          <w:color w:val="auto"/>
          <w:sz w:val="32"/>
          <w:szCs w:val="32"/>
          <w:highlight w:val="none"/>
          <w:lang w:val="en-US" w:eastAsia="zh-CN"/>
        </w:rPr>
        <w:t>1.13</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，增长</w:t>
      </w:r>
      <w:r>
        <w:rPr>
          <w:rFonts w:hint="eastAsia" w:ascii="仿宋_GB2312" w:hAnsi="ˎ̥" w:eastAsia="仿宋_GB2312"/>
          <w:color w:val="auto"/>
          <w:sz w:val="32"/>
          <w:szCs w:val="32"/>
          <w:highlight w:val="none"/>
          <w:lang w:val="en-US" w:eastAsia="zh-CN"/>
        </w:rPr>
        <w:t>45.02</w:t>
      </w:r>
      <w:r>
        <w:rPr>
          <w:rFonts w:hint="eastAsia" w:ascii="仿宋_GB2312" w:hAnsi="ˎ̥" w:eastAsia="仿宋_GB2312"/>
          <w:color w:val="auto"/>
          <w:sz w:val="32"/>
          <w:szCs w:val="32"/>
          <w:highlight w:val="none"/>
        </w:rPr>
        <w:t>%，主要原因是</w:t>
      </w:r>
      <w:r>
        <w:rPr>
          <w:rFonts w:hint="eastAsia" w:ascii="仿宋_GB2312" w:hAnsi="ˎ̥" w:eastAsia="仿宋_GB2312"/>
          <w:sz w:val="32"/>
          <w:szCs w:val="32"/>
          <w:highlight w:val="none"/>
          <w:lang w:val="en-US" w:eastAsia="zh-CN"/>
        </w:rPr>
        <w:t>因财政库款不足无法报销差旅费，公事开公车的次数就相应增加了</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 xml:space="preserve">    3.公务接待费</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0.80</w:t>
      </w:r>
      <w:r>
        <w:rPr>
          <w:rFonts w:hint="eastAsia" w:ascii="仿宋_GB2312" w:hAnsi="ˎ̥" w:eastAsia="仿宋_GB2312"/>
          <w:color w:val="auto"/>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国内接待费</w:t>
      </w:r>
      <w:r>
        <w:rPr>
          <w:rFonts w:hint="eastAsia" w:ascii="仿宋_GB2312" w:hAnsi="ˎ̥" w:eastAsia="仿宋_GB2312"/>
          <w:color w:val="auto"/>
          <w:sz w:val="32"/>
          <w:szCs w:val="32"/>
          <w:highlight w:val="none"/>
        </w:rPr>
        <w:t>支出</w:t>
      </w:r>
      <w:r>
        <w:rPr>
          <w:rFonts w:hint="eastAsia" w:ascii="仿宋_GB2312" w:hAnsi="ˎ̥" w:eastAsia="仿宋_GB2312"/>
          <w:color w:val="auto"/>
          <w:sz w:val="32"/>
          <w:szCs w:val="32"/>
          <w:highlight w:val="none"/>
          <w:lang w:val="en-US" w:eastAsia="zh-CN"/>
        </w:rPr>
        <w:t>0.8</w:t>
      </w:r>
      <w:r>
        <w:rPr>
          <w:rFonts w:hint="eastAsia" w:ascii="仿宋_GB2312" w:hAnsi="ˎ̥" w:eastAsia="仿宋_GB2312"/>
          <w:color w:val="auto"/>
          <w:sz w:val="32"/>
          <w:szCs w:val="32"/>
          <w:highlight w:val="none"/>
        </w:rPr>
        <w:t>万元，国内公务</w:t>
      </w:r>
      <w:r>
        <w:rPr>
          <w:rFonts w:hint="eastAsia" w:ascii="仿宋_GB2312" w:hAnsi="ˎ̥" w:eastAsia="仿宋_GB2312"/>
          <w:color w:val="auto"/>
          <w:sz w:val="32"/>
          <w:szCs w:val="32"/>
          <w:highlight w:val="none"/>
          <w:lang w:val="en-US" w:eastAsia="zh-CN"/>
        </w:rPr>
        <w:t>接待12批次，接待80</w:t>
      </w:r>
      <w:r>
        <w:rPr>
          <w:rFonts w:hint="eastAsia" w:ascii="仿宋_GB2312" w:hAnsi="ˎ̥" w:eastAsia="仿宋_GB2312"/>
          <w:color w:val="auto"/>
          <w:sz w:val="32"/>
          <w:szCs w:val="32"/>
          <w:highlight w:val="none"/>
        </w:rPr>
        <w:t>人次；主要用于</w:t>
      </w:r>
      <w:r>
        <w:rPr>
          <w:rFonts w:hint="eastAsia" w:ascii="仿宋_GB2312" w:hAnsi="ˎ̥" w:eastAsia="仿宋_GB2312" w:cs="仿宋_GB2312"/>
          <w:kern w:val="0"/>
          <w:sz w:val="32"/>
          <w:szCs w:val="32"/>
          <w:highlight w:val="none"/>
          <w:shd w:val="clear" w:fill="FFFFFF"/>
        </w:rPr>
        <w:t>省教育厅和其他单位来我县工作检查和调研</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bCs/>
          <w:color w:val="auto"/>
          <w:sz w:val="32"/>
          <w:szCs w:val="32"/>
          <w:highlight w:val="none"/>
        </w:rPr>
        <w:t>国（境）外接待费</w:t>
      </w:r>
      <w:r>
        <w:rPr>
          <w:rFonts w:hint="eastAsia" w:ascii="仿宋_GB2312" w:hAnsi="ˎ̥" w:eastAsia="仿宋_GB2312"/>
          <w:color w:val="auto"/>
          <w:sz w:val="32"/>
          <w:szCs w:val="32"/>
          <w:highlight w:val="none"/>
        </w:rPr>
        <w:t>支出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万元，国（境）外公务接待</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批次，接待</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公务接待费支出决算数</w:t>
      </w:r>
      <w:r>
        <w:rPr>
          <w:rFonts w:hint="eastAsia" w:ascii="仿宋_GB2312" w:hAnsi="ˎ̥" w:eastAsia="仿宋_GB2312"/>
          <w:color w:val="auto"/>
          <w:sz w:val="32"/>
          <w:szCs w:val="32"/>
          <w:highlight w:val="none"/>
          <w:lang w:val="en-US" w:eastAsia="zh-CN"/>
        </w:rPr>
        <w:t>和</w:t>
      </w:r>
      <w:r>
        <w:rPr>
          <w:rFonts w:hint="eastAsia" w:ascii="仿宋_GB2312" w:hAnsi="ˎ̥" w:eastAsia="仿宋_GB2312"/>
          <w:color w:val="auto"/>
          <w:sz w:val="32"/>
          <w:szCs w:val="32"/>
          <w:highlight w:val="none"/>
        </w:rPr>
        <w:t>预算数</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完成预算的100</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bCs/>
          <w:color w:val="auto"/>
          <w:sz w:val="32"/>
          <w:szCs w:val="32"/>
          <w:highlight w:val="none"/>
        </w:rPr>
        <w:t>公务接待费</w:t>
      </w:r>
      <w:r>
        <w:rPr>
          <w:rFonts w:hint="eastAsia" w:ascii="仿宋_GB2312" w:hAnsi="ˎ̥" w:eastAsia="仿宋_GB2312"/>
          <w:color w:val="auto"/>
          <w:sz w:val="32"/>
          <w:szCs w:val="32"/>
          <w:highlight w:val="none"/>
        </w:rPr>
        <w:t>支出增加</w:t>
      </w:r>
      <w:r>
        <w:rPr>
          <w:rFonts w:hint="eastAsia" w:ascii="仿宋_GB2312" w:hAnsi="ˎ̥" w:eastAsia="仿宋_GB2312"/>
          <w:color w:val="auto"/>
          <w:sz w:val="32"/>
          <w:szCs w:val="32"/>
          <w:highlight w:val="none"/>
          <w:lang w:val="en-US" w:eastAsia="zh-CN"/>
        </w:rPr>
        <w:t>1.44</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，增长</w:t>
      </w:r>
      <w:r>
        <w:rPr>
          <w:rFonts w:hint="eastAsia" w:ascii="仿宋_GB2312" w:hAnsi="ˎ̥" w:eastAsia="仿宋_GB2312"/>
          <w:color w:val="auto"/>
          <w:sz w:val="32"/>
          <w:szCs w:val="32"/>
          <w:highlight w:val="none"/>
          <w:lang w:val="en-US" w:eastAsia="zh-CN"/>
        </w:rPr>
        <w:t>122.22</w:t>
      </w:r>
      <w:r>
        <w:rPr>
          <w:rFonts w:hint="eastAsia" w:ascii="仿宋_GB2312" w:hAnsi="ˎ̥" w:eastAsia="仿宋_GB2312"/>
          <w:color w:val="auto"/>
          <w:sz w:val="32"/>
          <w:szCs w:val="32"/>
          <w:highlight w:val="none"/>
        </w:rPr>
        <w:t>%，主要原因是</w:t>
      </w:r>
      <w:r>
        <w:rPr>
          <w:rFonts w:hint="eastAsia" w:ascii="仿宋_GB2312" w:hAnsi="ˎ̥" w:eastAsia="仿宋_GB2312" w:cs="仿宋_GB2312"/>
          <w:kern w:val="0"/>
          <w:sz w:val="32"/>
          <w:szCs w:val="32"/>
          <w:highlight w:val="none"/>
          <w:shd w:val="clear" w:fill="FFFFFF"/>
        </w:rPr>
        <w:t>检查和调研</w:t>
      </w:r>
      <w:r>
        <w:rPr>
          <w:rFonts w:hint="eastAsia" w:ascii="仿宋_GB2312" w:hAnsi="ˎ̥" w:eastAsia="仿宋_GB2312" w:cs="仿宋_GB2312"/>
          <w:kern w:val="0"/>
          <w:sz w:val="32"/>
          <w:szCs w:val="32"/>
          <w:highlight w:val="none"/>
          <w:shd w:val="clear" w:fill="FFFFFF"/>
          <w:lang w:val="en-US" w:eastAsia="zh-CN"/>
        </w:rPr>
        <w:t>次数增加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年度相关</w:t>
      </w:r>
      <w:r>
        <w:rPr>
          <w:rFonts w:ascii="仿宋_GB2312" w:hAnsi="ˎ̥" w:eastAsia="仿宋_GB2312"/>
          <w:color w:val="auto"/>
          <w:sz w:val="32"/>
          <w:szCs w:val="32"/>
          <w:highlight w:val="none"/>
        </w:rPr>
        <w:t>数据</w:t>
      </w:r>
      <w:r>
        <w:rPr>
          <w:rFonts w:hint="eastAsia" w:ascii="仿宋_GB2312" w:hAnsi="ˎ̥" w:eastAsia="仿宋_GB2312"/>
          <w:color w:val="auto"/>
          <w:sz w:val="32"/>
          <w:szCs w:val="32"/>
          <w:highlight w:val="none"/>
        </w:rPr>
        <w:t>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部门决算报表</w:t>
      </w:r>
      <w:r>
        <w:rPr>
          <w:rFonts w:hint="eastAsia" w:ascii="仿宋_GB2312" w:hAnsi="ˎ̥" w:eastAsia="仿宋_GB2312"/>
          <w:color w:val="auto"/>
          <w:sz w:val="32"/>
          <w:szCs w:val="32"/>
          <w:highlight w:val="none"/>
        </w:rPr>
        <w:t>F03表《机构</w:t>
      </w:r>
      <w:r>
        <w:rPr>
          <w:rFonts w:ascii="仿宋_GB2312" w:hAnsi="ˎ̥" w:eastAsia="仿宋_GB2312"/>
          <w:color w:val="auto"/>
          <w:sz w:val="32"/>
          <w:szCs w:val="32"/>
          <w:highlight w:val="none"/>
        </w:rPr>
        <w:t>运行信息表》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根据预算管理要求，我</w:t>
      </w:r>
      <w:r>
        <w:rPr>
          <w:rFonts w:hint="eastAsia" w:ascii="仿宋_GB2312" w:hAnsi="ˎ̥" w:eastAsia="仿宋_GB2312"/>
          <w:color w:val="auto"/>
          <w:sz w:val="32"/>
          <w:szCs w:val="32"/>
          <w:highlight w:val="none"/>
          <w:lang w:eastAsia="zh-CN"/>
        </w:rPr>
        <w:t>部门</w:t>
      </w:r>
      <w:r>
        <w:rPr>
          <w:rFonts w:hint="eastAsia" w:ascii="仿宋_GB2312" w:hAnsi="ˎ̥" w:eastAsia="仿宋_GB2312"/>
          <w:color w:val="auto"/>
          <w:sz w:val="32"/>
          <w:szCs w:val="32"/>
          <w:highlight w:val="none"/>
        </w:rPr>
        <w:t>组织对</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年度一般公共预算项目支出全面开展绩效自评</w:t>
      </w:r>
      <w:r>
        <w:rPr>
          <w:rFonts w:hint="default" w:ascii="仿宋_GB2312" w:hAnsi="ˎ̥" w:eastAsia="仿宋_GB2312"/>
          <w:color w:val="auto"/>
          <w:sz w:val="32"/>
          <w:szCs w:val="32"/>
          <w:highlight w:val="none"/>
          <w:lang w:val="en-US"/>
        </w:rPr>
        <w:t>,</w:t>
      </w:r>
      <w:r>
        <w:rPr>
          <w:rFonts w:hint="eastAsia" w:ascii="仿宋_GB2312" w:hAnsi="ˎ̥" w:eastAsia="仿宋_GB2312"/>
          <w:color w:val="auto"/>
          <w:sz w:val="32"/>
          <w:szCs w:val="32"/>
          <w:highlight w:val="none"/>
          <w:lang w:val="en-US" w:eastAsia="zh-CN"/>
        </w:rPr>
        <w:t>共涉及资金104644.37万元，占一般公共预算项目支出总额的100%</w:t>
      </w:r>
      <w:r>
        <w:rPr>
          <w:rFonts w:hint="eastAsia" w:ascii="仿宋_GB2312" w:hAnsi="ˎ̥" w:eastAsia="仿宋_GB2312"/>
          <w:color w:val="auto"/>
          <w:sz w:val="32"/>
          <w:szCs w:val="32"/>
          <w:highlight w:val="none"/>
        </w:rPr>
        <w:t>。组织对</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个政府性基金预算项目开展绩效自评，共涉及资金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万元，占政府性基金预算项目支出总额的</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%。组织对</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个国有资本经营预算项目开展绩效自评，共涉及资金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万元，占国有资本经营预算项目支出总额的</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共组织对“</w:t>
      </w:r>
      <w:r>
        <w:rPr>
          <w:rFonts w:hint="default" w:ascii="仿宋_GB2312" w:hAnsi="ˎ̥" w:eastAsia="仿宋_GB2312"/>
          <w:color w:val="auto"/>
          <w:sz w:val="32"/>
          <w:szCs w:val="32"/>
          <w:highlight w:val="none"/>
        </w:rPr>
        <w:t>义务教育薄弱环节改善与能力提升补助资金</w:t>
      </w:r>
      <w:r>
        <w:rPr>
          <w:rFonts w:hint="eastAsia" w:ascii="仿宋_GB2312" w:hAnsi="ˎ̥" w:eastAsia="仿宋_GB2312"/>
          <w:color w:val="auto"/>
          <w:sz w:val="32"/>
          <w:szCs w:val="32"/>
          <w:highlight w:val="none"/>
        </w:rPr>
        <w:t>”等</w:t>
      </w:r>
      <w:r>
        <w:rPr>
          <w:rFonts w:hint="eastAsia" w:ascii="仿宋_GB2312" w:hAnsi="ˎ̥" w:eastAsia="仿宋_GB2312"/>
          <w:color w:val="auto"/>
          <w:sz w:val="32"/>
          <w:szCs w:val="32"/>
          <w:highlight w:val="none"/>
          <w:lang w:val="en-US" w:eastAsia="zh-CN"/>
        </w:rPr>
        <w:t>1096</w:t>
      </w:r>
      <w:r>
        <w:rPr>
          <w:rFonts w:hint="eastAsia" w:ascii="仿宋_GB2312" w:hAnsi="ˎ̥" w:eastAsia="仿宋_GB2312"/>
          <w:color w:val="auto"/>
          <w:sz w:val="32"/>
          <w:szCs w:val="32"/>
          <w:highlight w:val="none"/>
        </w:rPr>
        <w:t>个项目开展了部门评价，涉及一般公共预算支出</w:t>
      </w:r>
      <w:r>
        <w:rPr>
          <w:rFonts w:hint="eastAsia" w:ascii="仿宋_GB2312" w:hAnsi="ˎ̥" w:eastAsia="仿宋_GB2312"/>
          <w:color w:val="auto"/>
          <w:sz w:val="32"/>
          <w:szCs w:val="32"/>
          <w:highlight w:val="none"/>
          <w:lang w:val="en-US" w:eastAsia="zh-CN"/>
        </w:rPr>
        <w:t>104644.37</w:t>
      </w:r>
      <w:r>
        <w:rPr>
          <w:rFonts w:hint="eastAsia" w:ascii="仿宋_GB2312" w:hAnsi="ˎ̥" w:eastAsia="仿宋_GB2312"/>
          <w:color w:val="auto"/>
          <w:sz w:val="32"/>
          <w:szCs w:val="32"/>
          <w:highlight w:val="none"/>
        </w:rPr>
        <w:t>万元，政府性基金预算支出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万元，国有资本经营预算支出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万元。从评价情况来看，</w:t>
      </w:r>
      <w:r>
        <w:rPr>
          <w:rFonts w:hint="default" w:ascii="仿宋_GB2312" w:hAnsi="ˎ̥" w:eastAsia="仿宋_GB2312"/>
          <w:color w:val="auto"/>
          <w:sz w:val="32"/>
          <w:szCs w:val="32"/>
          <w:highlight w:val="none"/>
        </w:rPr>
        <w:t>对</w:t>
      </w:r>
      <w:r>
        <w:rPr>
          <w:rFonts w:hint="eastAsia" w:ascii="仿宋_GB2312" w:hAnsi="ˎ̥" w:eastAsia="仿宋_GB2312"/>
          <w:color w:val="auto"/>
          <w:sz w:val="32"/>
          <w:szCs w:val="32"/>
          <w:highlight w:val="none"/>
          <w:lang w:val="en-US" w:eastAsia="zh-CN"/>
        </w:rPr>
        <w:t>部门</w:t>
      </w:r>
      <w:r>
        <w:rPr>
          <w:rFonts w:hint="default" w:ascii="仿宋_GB2312" w:hAnsi="ˎ̥" w:eastAsia="仿宋_GB2312"/>
          <w:color w:val="auto"/>
          <w:sz w:val="32"/>
          <w:szCs w:val="32"/>
          <w:highlight w:val="none"/>
        </w:rPr>
        <w:t>的所有项目进行了全覆盖评价。</w:t>
      </w:r>
      <w:r>
        <w:rPr>
          <w:rFonts w:hint="eastAsia" w:ascii="仿宋_GB2312" w:hAnsi="ˎ̥" w:eastAsia="仿宋_GB2312"/>
          <w:color w:val="auto"/>
          <w:sz w:val="32"/>
          <w:szCs w:val="32"/>
          <w:highlight w:val="none"/>
        </w:rPr>
        <w:t>（预算部门如有，请对预算绩效评价情况进行简单说明；没有，则简要说明本年没有进行相关工作及理由。部门所属单位不需填写此项）。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我</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在部门决算中反映“</w:t>
      </w:r>
      <w:r>
        <w:rPr>
          <w:rFonts w:hint="default" w:ascii="仿宋_GB2312" w:eastAsia="仿宋_GB2312"/>
          <w:color w:val="auto"/>
          <w:sz w:val="32"/>
          <w:szCs w:val="32"/>
          <w:highlight w:val="none"/>
        </w:rPr>
        <w:t>义务教育薄弱环节改善与能力提升补助资金</w:t>
      </w:r>
      <w:r>
        <w:rPr>
          <w:rFonts w:hint="eastAsia" w:ascii="仿宋_GB2312" w:eastAsia="仿宋_GB2312"/>
          <w:color w:val="auto"/>
          <w:sz w:val="32"/>
          <w:szCs w:val="32"/>
          <w:highlight w:val="none"/>
        </w:rPr>
        <w:t>”等个项目绩效自评结果（包括项目绩效自评表和项目绩效自评报告）。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default" w:ascii="仿宋_GB2312" w:eastAsia="仿宋_GB2312"/>
          <w:color w:val="auto"/>
          <w:sz w:val="32"/>
          <w:szCs w:val="32"/>
          <w:highlight w:val="none"/>
        </w:rPr>
        <w:t>义务教育薄弱环节改善与能力提升补助资金</w:t>
      </w:r>
      <w:r>
        <w:rPr>
          <w:rFonts w:hint="eastAsia" w:ascii="仿宋_GB2312" w:eastAsia="仿宋_GB2312"/>
          <w:color w:val="auto"/>
          <w:sz w:val="32"/>
          <w:szCs w:val="32"/>
          <w:highlight w:val="none"/>
        </w:rPr>
        <w:t>”项目绩效自评表：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可作为附件附后</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default" w:ascii="仿宋_GB2312" w:eastAsia="仿宋_GB2312"/>
          <w:color w:val="auto"/>
          <w:sz w:val="32"/>
          <w:szCs w:val="32"/>
          <w:highlight w:val="none"/>
        </w:rPr>
        <w:t>义务教育薄弱环节改善与能力提升补助资金</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97</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2344</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1452.79</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75.08</w:t>
      </w:r>
      <w:r>
        <w:rPr>
          <w:rFonts w:hint="eastAsia" w:ascii="仿宋_GB2312" w:eastAsia="仿宋_GB2312"/>
          <w:color w:val="auto"/>
          <w:sz w:val="32"/>
          <w:szCs w:val="32"/>
          <w:highlight w:val="none"/>
        </w:rPr>
        <w:t>%。项目绩效目标完成情况：一是新建改扩建工程验收合格率</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；二是办学条件得到改善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。发现的主要问题及原因：</w:t>
      </w:r>
      <w:r>
        <w:rPr>
          <w:rFonts w:hint="eastAsia" w:ascii="仿宋_GB2312" w:eastAsia="仿宋_GB2312"/>
          <w:color w:val="auto"/>
          <w:sz w:val="32"/>
          <w:szCs w:val="32"/>
          <w:highlight w:val="none"/>
          <w:lang w:val="en-US" w:eastAsia="zh-CN"/>
        </w:rPr>
        <w:t>预算执行缓慢</w:t>
      </w:r>
      <w:r>
        <w:rPr>
          <w:rFonts w:hint="eastAsia" w:ascii="仿宋_GB2312" w:eastAsia="仿宋_GB2312"/>
          <w:color w:val="auto"/>
          <w:sz w:val="32"/>
          <w:szCs w:val="32"/>
          <w:highlight w:val="none"/>
        </w:rPr>
        <w:t>。下一步改进措施：</w:t>
      </w:r>
      <w:r>
        <w:rPr>
          <w:rFonts w:hint="eastAsia" w:ascii="仿宋_GB2312" w:eastAsia="仿宋_GB2312"/>
          <w:color w:val="auto"/>
          <w:sz w:val="32"/>
          <w:szCs w:val="32"/>
          <w:highlight w:val="none"/>
          <w:lang w:val="en-US" w:eastAsia="zh-CN"/>
        </w:rPr>
        <w:t>预算执行</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（四）财政评价结果</w:t>
      </w:r>
    </w:p>
    <w:p>
      <w:pPr>
        <w:keepNext w:val="0"/>
        <w:keepLines w:val="0"/>
        <w:pageBreakBefore w:val="0"/>
        <w:widowControl w:val="0"/>
        <w:kinsoku/>
        <w:wordWrap/>
        <w:overflowPunct/>
        <w:topLinePunct w:val="0"/>
        <w:autoSpaceDE/>
        <w:autoSpaceDN/>
        <w:bidi w:val="0"/>
        <w:adjustRightInd/>
        <w:snapToGrid/>
        <w:spacing w:line="578" w:lineRule="exact"/>
        <w:ind w:firstLine="960" w:firstLineChars="3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bookmarkStart w:id="95" w:name="_Toc23598_WPSOffice_Level2"/>
      <w:bookmarkStart w:id="96" w:name="_Toc15565_WPSOffice_Level2"/>
      <w:bookmarkStart w:id="97" w:name="_Toc5978_WPSOffice_Level2"/>
      <w:bookmarkStart w:id="98" w:name="_Toc32639_WPSOffice_Level2"/>
      <w:bookmarkStart w:id="99" w:name="_Toc18325_WPSOffice_Level2"/>
      <w:bookmarkStart w:id="100" w:name="_Toc15262_WPSOffice_Level2"/>
      <w:r>
        <w:rPr>
          <w:rFonts w:hint="eastAsia" w:ascii="楷体" w:hAnsi="楷体" w:eastAsia="楷体" w:cs="楷体"/>
          <w:bCs/>
          <w:color w:val="auto"/>
          <w:sz w:val="32"/>
          <w:szCs w:val="32"/>
          <w:highlight w:val="none"/>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教育</w:t>
      </w:r>
      <w:r>
        <w:rPr>
          <w:rFonts w:hint="eastAsia" w:ascii="仿宋_GB2312" w:hAnsi="ˎ̥" w:eastAsia="仿宋_GB2312"/>
          <w:color w:val="auto"/>
          <w:sz w:val="32"/>
          <w:szCs w:val="32"/>
          <w:highlight w:val="none"/>
          <w:lang w:eastAsia="zh-CN"/>
        </w:rPr>
        <w:t>部门</w:t>
      </w:r>
      <w:r>
        <w:rPr>
          <w:rFonts w:hint="eastAsia" w:ascii="仿宋_GB2312" w:hAnsi="ˎ̥" w:eastAsia="仿宋_GB2312"/>
          <w:color w:val="auto"/>
          <w:sz w:val="32"/>
          <w:szCs w:val="32"/>
          <w:highlight w:val="none"/>
        </w:rPr>
        <w:t>机关运行经费</w:t>
      </w:r>
      <w:r>
        <w:rPr>
          <w:rFonts w:ascii="仿宋_GB2312" w:hAnsi="ˎ̥" w:eastAsia="仿宋_GB2312"/>
          <w:color w:val="auto"/>
          <w:sz w:val="32"/>
          <w:szCs w:val="32"/>
          <w:highlight w:val="none"/>
          <w:lang w:val="en-US"/>
        </w:rPr>
        <w:t>968.88</w:t>
      </w:r>
      <w:r>
        <w:rPr>
          <w:rFonts w:hint="eastAsia" w:ascii="仿宋_GB2312" w:hAnsi="ˎ̥" w:eastAsia="仿宋_GB2312"/>
          <w:color w:val="auto"/>
          <w:sz w:val="32"/>
          <w:szCs w:val="32"/>
          <w:highlight w:val="none"/>
        </w:rPr>
        <w:t>万元（为部门决算中行政单位和参公事业单位财政拨款基本支出中公用经费支出之和，事业单位没有机关运行经费支出），比年初预算增加</w:t>
      </w:r>
      <w:r>
        <w:rPr>
          <w:rFonts w:hint="eastAsia" w:ascii="仿宋_GB2312" w:hAnsi="ˎ̥" w:eastAsia="仿宋_GB2312"/>
          <w:color w:val="auto"/>
          <w:sz w:val="32"/>
          <w:szCs w:val="32"/>
          <w:highlight w:val="none"/>
          <w:lang w:val="en-US" w:eastAsia="zh-CN"/>
        </w:rPr>
        <w:t>425.08</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val="en-US" w:eastAsia="zh-CN"/>
        </w:rPr>
        <w:t>完成预算的178.17</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与2023年度相比，机关运行经费</w:t>
      </w:r>
      <w:r>
        <w:rPr>
          <w:rFonts w:hint="eastAsia" w:ascii="仿宋_GB2312" w:hAnsi="ˎ̥" w:eastAsia="仿宋_GB2312"/>
          <w:color w:val="auto"/>
          <w:sz w:val="32"/>
          <w:szCs w:val="32"/>
          <w:highlight w:val="none"/>
        </w:rPr>
        <w:t>减少</w:t>
      </w:r>
      <w:r>
        <w:rPr>
          <w:rFonts w:hint="eastAsia" w:ascii="仿宋_GB2312" w:hAnsi="ˎ̥" w:eastAsia="仿宋_GB2312"/>
          <w:color w:val="auto"/>
          <w:sz w:val="32"/>
          <w:szCs w:val="32"/>
          <w:highlight w:val="none"/>
          <w:lang w:val="en-US" w:eastAsia="zh-CN"/>
        </w:rPr>
        <w:t>1.81</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下降0.19%。</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bidi="ar"/>
        </w:rPr>
        <w:t>人员编制数量减少</w:t>
      </w:r>
      <w:r>
        <w:rPr>
          <w:rFonts w:hint="eastAsia" w:ascii="仿宋_GB2312" w:hAnsi="ˎ̥" w:eastAsia="仿宋_GB2312"/>
          <w:color w:val="auto"/>
          <w:sz w:val="32"/>
          <w:szCs w:val="32"/>
          <w:highlight w:val="none"/>
          <w:lang w:eastAsia="zh-CN" w:bidi="ar"/>
        </w:rPr>
        <w:t>，</w:t>
      </w:r>
      <w:r>
        <w:rPr>
          <w:rFonts w:hint="eastAsia" w:ascii="仿宋_GB2312" w:hAnsi="ˎ̥" w:eastAsia="仿宋_GB2312"/>
          <w:color w:val="auto"/>
          <w:sz w:val="32"/>
          <w:szCs w:val="32"/>
          <w:highlight w:val="none"/>
          <w:lang w:bidi="ar"/>
        </w:rPr>
        <w:t>落实过紧日子要求压减支出</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bookmarkStart w:id="101" w:name="_Toc32689_WPSOffice_Level2"/>
      <w:bookmarkStart w:id="102" w:name="_Toc30383_WPSOffice_Level2"/>
      <w:bookmarkStart w:id="103" w:name="_Toc25333_WPSOffice_Level2"/>
      <w:bookmarkStart w:id="104" w:name="_Toc23966_WPSOffice_Level2"/>
      <w:bookmarkStart w:id="105" w:name="_Toc3131_WPSOffice_Level2"/>
      <w:bookmarkStart w:id="106" w:name="_Toc13084_WPSOffice_Level2"/>
      <w:r>
        <w:rPr>
          <w:rFonts w:hint="eastAsia" w:ascii="楷体" w:hAnsi="楷体" w:eastAsia="楷体" w:cs="楷体"/>
          <w:bCs/>
          <w:color w:val="auto"/>
          <w:sz w:val="32"/>
          <w:szCs w:val="32"/>
          <w:highlight w:val="none"/>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教育</w:t>
      </w:r>
      <w:r>
        <w:rPr>
          <w:rFonts w:hint="eastAsia" w:ascii="仿宋_GB2312" w:hAnsi="ˎ̥" w:eastAsia="仿宋_GB2312"/>
          <w:color w:val="auto"/>
          <w:sz w:val="32"/>
          <w:szCs w:val="32"/>
          <w:highlight w:val="none"/>
          <w:lang w:eastAsia="zh-CN"/>
        </w:rPr>
        <w:t>部门</w:t>
      </w:r>
      <w:r>
        <w:rPr>
          <w:rFonts w:hint="eastAsia" w:ascii="仿宋_GB2312" w:hAnsi="ˎ̥" w:eastAsia="仿宋_GB2312"/>
          <w:color w:val="auto"/>
          <w:sz w:val="32"/>
          <w:szCs w:val="32"/>
          <w:highlight w:val="none"/>
        </w:rPr>
        <w:t>政府采购支出总额</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上述政府采购支出相关</w:t>
      </w:r>
      <w:r>
        <w:rPr>
          <w:rFonts w:hint="eastAsia" w:ascii="仿宋_GB2312" w:hAnsi="ˎ̥" w:eastAsia="仿宋_GB2312"/>
          <w:color w:val="auto"/>
          <w:sz w:val="32"/>
          <w:szCs w:val="32"/>
          <w:highlight w:val="none"/>
          <w:lang w:val="en-US" w:eastAsia="zh-CN"/>
        </w:rPr>
        <w:t>数据</w:t>
      </w:r>
      <w:r>
        <w:rPr>
          <w:rFonts w:hint="eastAsia" w:ascii="仿宋_GB2312" w:hAnsi="ˎ̥" w:eastAsia="仿宋_GB2312"/>
          <w:color w:val="auto"/>
          <w:sz w:val="32"/>
          <w:szCs w:val="32"/>
          <w:highlight w:val="none"/>
        </w:rPr>
        <w:t>取自</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bookmarkStart w:id="107" w:name="_Toc527_WPSOffice_Level2"/>
      <w:bookmarkStart w:id="108" w:name="_Toc10902_WPSOffice_Level2"/>
      <w:bookmarkStart w:id="109" w:name="_Toc6016_WPSOffice_Level2"/>
      <w:bookmarkStart w:id="110" w:name="_Toc15129_WPSOffice_Level2"/>
      <w:bookmarkStart w:id="111" w:name="_Toc19989_WPSOffice_Level2"/>
      <w:bookmarkStart w:id="112" w:name="_Toc29584_WPSOffice_Level2"/>
      <w:r>
        <w:rPr>
          <w:rFonts w:hint="eastAsia" w:ascii="楷体" w:hAnsi="楷体" w:eastAsia="楷体" w:cs="楷体"/>
          <w:bCs/>
          <w:color w:val="auto"/>
          <w:sz w:val="32"/>
          <w:szCs w:val="32"/>
          <w:highlight w:val="none"/>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bCs/>
          <w:color w:val="auto"/>
          <w:sz w:val="32"/>
          <w:szCs w:val="32"/>
          <w:highlight w:val="none"/>
        </w:rPr>
        <w:t>截至</w:t>
      </w:r>
      <w:r>
        <w:rPr>
          <w:rFonts w:hint="default" w:ascii="仿宋_GB2312" w:hAnsi="ˎ̥" w:eastAsia="仿宋_GB2312"/>
          <w:bCs/>
          <w:color w:val="auto"/>
          <w:sz w:val="32"/>
          <w:szCs w:val="32"/>
          <w:highlight w:val="none"/>
          <w:lang w:val="en-US"/>
        </w:rPr>
        <w:t>2024</w:t>
      </w:r>
      <w:r>
        <w:rPr>
          <w:rFonts w:hint="eastAsia" w:ascii="仿宋_GB2312" w:hAnsi="ˎ̥" w:eastAsia="仿宋_GB2312"/>
          <w:bCs/>
          <w:color w:val="auto"/>
          <w:sz w:val="32"/>
          <w:szCs w:val="32"/>
          <w:highlight w:val="none"/>
        </w:rPr>
        <w:t>年12月31日，本部门拥有</w:t>
      </w:r>
      <w:r>
        <w:rPr>
          <w:rFonts w:hint="eastAsia" w:ascii="仿宋_GB2312" w:hAnsi="ˎ̥" w:eastAsia="仿宋_GB2312"/>
          <w:color w:val="auto"/>
          <w:sz w:val="32"/>
          <w:szCs w:val="32"/>
          <w:highlight w:val="none"/>
        </w:rPr>
        <w:t>房屋面积</w:t>
      </w:r>
      <w:r>
        <w:rPr>
          <w:rFonts w:hint="eastAsia" w:ascii="仿宋_GB2312" w:hAnsi="ˎ̥" w:eastAsia="仿宋_GB2312"/>
          <w:color w:val="auto"/>
          <w:sz w:val="32"/>
          <w:szCs w:val="32"/>
          <w:highlight w:val="none"/>
          <w:lang w:val="en-US" w:eastAsia="zh-CN"/>
        </w:rPr>
        <w:t>322324.33</w:t>
      </w:r>
      <w:r>
        <w:rPr>
          <w:rFonts w:hint="eastAsia" w:ascii="仿宋_GB2312" w:hAnsi="ˎ̥" w:eastAsia="仿宋_GB2312"/>
          <w:color w:val="auto"/>
          <w:sz w:val="32"/>
          <w:szCs w:val="32"/>
          <w:highlight w:val="none"/>
        </w:rPr>
        <w:t>平</w:t>
      </w:r>
      <w:r>
        <w:rPr>
          <w:rFonts w:hint="eastAsia" w:ascii="仿宋_GB2312" w:hAnsi="ˎ̥" w:eastAsia="仿宋_GB2312"/>
          <w:color w:val="auto"/>
          <w:sz w:val="32"/>
          <w:szCs w:val="32"/>
          <w:highlight w:val="none"/>
        </w:rPr>
        <w:t>方米</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本部门共有车辆</w:t>
      </w:r>
      <w:r>
        <w:rPr>
          <w:rFonts w:hint="eastAsia" w:ascii="仿宋_GB2312" w:hAnsi="ˎ̥" w:eastAsia="仿宋_GB2312"/>
          <w:color w:val="auto"/>
          <w:sz w:val="32"/>
          <w:szCs w:val="32"/>
          <w:highlight w:val="none"/>
          <w:lang w:val="en-US" w:eastAsia="zh-CN"/>
        </w:rPr>
        <w:t>2</w:t>
      </w:r>
      <w:r>
        <w:rPr>
          <w:rFonts w:hint="eastAsia" w:ascii="仿宋_GB2312" w:hAnsi="ˎ̥" w:eastAsia="仿宋_GB2312"/>
          <w:color w:val="auto"/>
          <w:sz w:val="32"/>
          <w:szCs w:val="32"/>
          <w:highlight w:val="none"/>
        </w:rPr>
        <w:t>辆，</w:t>
      </w:r>
      <w:r>
        <w:rPr>
          <w:rFonts w:hint="eastAsia" w:ascii="仿宋_GB2312" w:hAnsi="ˎ̥" w:eastAsia="仿宋_GB2312" w:cs="仿宋_GB2312"/>
          <w:kern w:val="0"/>
          <w:sz w:val="32"/>
          <w:szCs w:val="32"/>
          <w:highlight w:val="none"/>
        </w:rPr>
        <w:t>其中：从车辆种类说明：轿车</w:t>
      </w:r>
      <w:r>
        <w:rPr>
          <w:rFonts w:hint="eastAsia" w:ascii="仿宋_GB2312" w:hAnsi="ˎ̥" w:eastAsia="仿宋_GB2312" w:cs="仿宋_GB2312"/>
          <w:kern w:val="0"/>
          <w:sz w:val="32"/>
          <w:szCs w:val="32"/>
          <w:highlight w:val="none"/>
          <w:lang w:val="en-US" w:eastAsia="zh-CN"/>
        </w:rPr>
        <w:t>4</w:t>
      </w:r>
      <w:r>
        <w:rPr>
          <w:rFonts w:hint="eastAsia" w:ascii="仿宋_GB2312" w:hAnsi="ˎ̥" w:eastAsia="仿宋_GB2312" w:cs="仿宋_GB2312"/>
          <w:kern w:val="0"/>
          <w:sz w:val="32"/>
          <w:szCs w:val="32"/>
          <w:highlight w:val="none"/>
        </w:rPr>
        <w:t>辆；从车辆使用情况说明：其他用车</w:t>
      </w:r>
      <w:r>
        <w:rPr>
          <w:rFonts w:hint="eastAsia" w:ascii="仿宋_GB2312" w:hAnsi="ˎ̥" w:eastAsia="仿宋_GB2312" w:cs="仿宋_GB2312"/>
          <w:kern w:val="0"/>
          <w:sz w:val="32"/>
          <w:szCs w:val="32"/>
          <w:highlight w:val="none"/>
          <w:lang w:val="en-US" w:eastAsia="zh-CN"/>
        </w:rPr>
        <w:t>4</w:t>
      </w:r>
      <w:r>
        <w:rPr>
          <w:rFonts w:hint="eastAsia" w:ascii="仿宋_GB2312" w:hAnsi="ˎ̥" w:eastAsia="仿宋_GB2312" w:cs="仿宋_GB2312"/>
          <w:kern w:val="0"/>
          <w:sz w:val="32"/>
          <w:szCs w:val="32"/>
          <w:highlight w:val="none"/>
        </w:rPr>
        <w:t>辆</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单价100万元（含）以上设备（不含车辆）</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上述国有资产占用情况相关数</w:t>
      </w:r>
      <w:r>
        <w:rPr>
          <w:rFonts w:hint="eastAsia" w:ascii="仿宋_GB2312" w:hAnsi="ˎ̥" w:eastAsia="仿宋_GB2312"/>
          <w:color w:val="auto"/>
          <w:sz w:val="32"/>
          <w:szCs w:val="32"/>
          <w:highlight w:val="none"/>
          <w:lang w:val="en-US" w:eastAsia="zh-CN"/>
        </w:rPr>
        <w:t>据</w:t>
      </w:r>
      <w:r>
        <w:rPr>
          <w:rFonts w:hint="eastAsia" w:ascii="仿宋_GB2312" w:hAnsi="ˎ̥" w:eastAsia="仿宋_GB2312"/>
          <w:color w:val="auto"/>
          <w:sz w:val="32"/>
          <w:szCs w:val="32"/>
          <w:highlight w:val="none"/>
        </w:rPr>
        <w:t>取自</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年度部门决算F0</w:t>
      </w:r>
      <w:r>
        <w:rPr>
          <w:rFonts w:hint="default" w:ascii="仿宋_GB2312" w:hAnsi="ˎ̥" w:eastAsia="仿宋_GB2312"/>
          <w:color w:val="auto"/>
          <w:sz w:val="32"/>
          <w:szCs w:val="32"/>
          <w:highlight w:val="none"/>
          <w:lang w:val="en-US"/>
        </w:rPr>
        <w:t>2</w:t>
      </w:r>
      <w:r>
        <w:rPr>
          <w:rFonts w:hint="eastAsia" w:ascii="仿宋_GB2312" w:hAnsi="ˎ̥" w:eastAsia="仿宋_GB2312"/>
          <w:color w:val="auto"/>
          <w:sz w:val="32"/>
          <w:szCs w:val="32"/>
          <w:highlight w:val="none"/>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bookmarkStart w:id="113" w:name="_Toc17580_WPSOffice_Level1"/>
      <w:bookmarkStart w:id="114" w:name="_Toc4398_WPSOffice_Level1"/>
      <w:bookmarkStart w:id="115" w:name="_Toc8808_WPSOffice_Level1"/>
      <w:bookmarkStart w:id="116" w:name="_Toc11039_WPSOffice_Level1"/>
      <w:bookmarkStart w:id="117" w:name="_Toc15425_WPSOffice_Level1"/>
      <w:bookmarkStart w:id="118" w:name="_Toc8874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r>
        <w:rPr>
          <w:rFonts w:hint="eastAsia" w:ascii="黑体" w:hAnsi="ˎ̥" w:eastAsia="黑体"/>
          <w:color w:val="auto"/>
          <w:sz w:val="32"/>
          <w:szCs w:val="32"/>
          <w:highlight w:val="none"/>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十六、</w:t>
      </w:r>
      <w:r>
        <w:rPr>
          <w:rFonts w:ascii="仿宋_GB2312" w:hAnsi="ˎ̥" w:eastAsia="仿宋_GB2312"/>
          <w:color w:val="auto"/>
          <w:sz w:val="32"/>
          <w:szCs w:val="32"/>
          <w:highlight w:val="none"/>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XXXX（类）XXXX（款）XXXX（项），</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XXXX（类）XXXX（款）XXXX（项），</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支出功能分类的名词解释，各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单位根据实际支出情况填列，可参阅财政部印发的《</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年政府收支分类科目》</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pStyle w:val="2"/>
        <w:rPr>
          <w:rFonts w:hint="eastAsia" w:ascii="仿宋_GB2312" w:hAnsi="ˎ̥" w:eastAsia="仿宋_GB2312"/>
          <w:color w:val="auto"/>
          <w:sz w:val="32"/>
          <w:szCs w:val="32"/>
          <w:highlight w:val="none"/>
        </w:rPr>
      </w:pPr>
    </w:p>
    <w:p>
      <w:pPr>
        <w:pStyle w:val="3"/>
        <w:rPr>
          <w:rFonts w:hint="eastAsia" w:ascii="仿宋_GB2312" w:hAnsi="ˎ̥" w:eastAsia="仿宋_GB2312"/>
          <w:color w:val="auto"/>
          <w:sz w:val="32"/>
          <w:szCs w:val="32"/>
          <w:highlight w:val="none"/>
        </w:rPr>
      </w:pPr>
    </w:p>
    <w:p>
      <w:pPr>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br w:type="page"/>
      </w:r>
    </w:p>
    <w:p>
      <w:pPr>
        <w:pStyle w:val="7"/>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line="600" w:lineRule="exact"/>
        <w:ind w:left="0" w:right="0" w:firstLine="0"/>
        <w:jc w:val="left"/>
        <w:textAlignment w:val="auto"/>
        <w:rPr>
          <w:rFonts w:hint="eastAsia"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lang w:val="en-US" w:eastAsia="zh-CN"/>
        </w:rPr>
        <w:t>附件1</w:t>
      </w:r>
      <w:bookmarkStart w:id="119" w:name="OLE_LINK2"/>
    </w:p>
    <w:p>
      <w:pPr>
        <w:pStyle w:val="7"/>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line="720" w:lineRule="exact"/>
        <w:ind w:left="0" w:right="0" w:firstLine="0"/>
        <w:jc w:val="center"/>
        <w:textAlignment w:val="auto"/>
        <w:rPr>
          <w:rFonts w:hint="eastAsia" w:ascii="方正小标宋_GBK" w:hAnsi="方正小标宋_GBK" w:eastAsia="方正小标宋_GBK" w:cs="方正小标宋_GBK"/>
          <w:b w:val="0"/>
          <w:bCs/>
          <w:i w:val="0"/>
          <w:caps w:val="0"/>
          <w:color w:val="000000"/>
          <w:spacing w:val="0"/>
          <w:sz w:val="44"/>
          <w:szCs w:val="44"/>
          <w:highlight w:val="none"/>
          <w:shd w:val="clear" w:fill="FFFFFF"/>
        </w:rPr>
      </w:pPr>
      <w:r>
        <w:rPr>
          <w:rFonts w:hint="eastAsia" w:ascii="方正小标宋_GBK" w:hAnsi="方正小标宋_GBK" w:eastAsia="方正小标宋_GBK" w:cs="方正小标宋_GBK"/>
          <w:b w:val="0"/>
          <w:bCs/>
          <w:i w:val="0"/>
          <w:caps w:val="0"/>
          <w:spacing w:val="0"/>
          <w:kern w:val="0"/>
          <w:sz w:val="44"/>
          <w:szCs w:val="44"/>
          <w:highlight w:val="none"/>
          <w:shd w:val="clear" w:fill="FFFFFF"/>
          <w:lang w:val="en-US" w:eastAsia="zh-CN" w:bidi="ar"/>
        </w:rPr>
        <w:t>2024年</w:t>
      </w:r>
      <w:r>
        <w:rPr>
          <w:rFonts w:hint="default" w:ascii="方正小标宋_GBK" w:hAnsi="方正小标宋_GBK" w:eastAsia="方正小标宋_GBK" w:cs="方正小标宋_GBK"/>
          <w:b w:val="0"/>
          <w:bCs/>
          <w:i w:val="0"/>
          <w:caps w:val="0"/>
          <w:spacing w:val="0"/>
          <w:kern w:val="0"/>
          <w:sz w:val="44"/>
          <w:szCs w:val="44"/>
          <w:highlight w:val="none"/>
          <w:shd w:val="clear" w:fill="FFFFFF"/>
          <w:lang w:eastAsia="zh-CN" w:bidi="ar"/>
        </w:rPr>
        <w:t>屯昌县</w:t>
      </w:r>
      <w:bookmarkStart w:id="120" w:name="OLE_LINK5"/>
      <w:r>
        <w:rPr>
          <w:rFonts w:hint="eastAsia" w:ascii="方正小标宋_GBK" w:hAnsi="方正小标宋_GBK" w:eastAsia="方正小标宋_GBK" w:cs="方正小标宋_GBK"/>
          <w:b w:val="0"/>
          <w:bCs/>
          <w:i w:val="0"/>
          <w:caps w:val="0"/>
          <w:spacing w:val="0"/>
          <w:kern w:val="0"/>
          <w:sz w:val="44"/>
          <w:szCs w:val="44"/>
          <w:highlight w:val="none"/>
          <w:shd w:val="clear" w:fill="FFFFFF"/>
          <w:lang w:val="en-US" w:eastAsia="zh-CN" w:bidi="ar"/>
        </w:rPr>
        <w:t>义务教育薄弱环节改善与能力提升补助资金</w:t>
      </w:r>
      <w:bookmarkEnd w:id="120"/>
      <w:r>
        <w:rPr>
          <w:rFonts w:hint="eastAsia" w:ascii="方正小标宋_GBK" w:hAnsi="方正小标宋_GBK" w:eastAsia="方正小标宋_GBK" w:cs="方正小标宋_GBK"/>
          <w:b w:val="0"/>
          <w:bCs/>
          <w:i w:val="0"/>
          <w:caps w:val="0"/>
          <w:color w:val="000000"/>
          <w:spacing w:val="0"/>
          <w:sz w:val="44"/>
          <w:szCs w:val="44"/>
          <w:highlight w:val="none"/>
          <w:shd w:val="clear" w:fill="FFFFFF"/>
        </w:rPr>
        <w:t>部门绩效</w:t>
      </w:r>
      <w:r>
        <w:rPr>
          <w:rFonts w:hint="eastAsia" w:ascii="方正小标宋_GBK" w:hAnsi="方正小标宋_GBK" w:eastAsia="方正小标宋_GBK" w:cs="方正小标宋_GBK"/>
          <w:b w:val="0"/>
          <w:bCs/>
          <w:i w:val="0"/>
          <w:caps w:val="0"/>
          <w:color w:val="000000"/>
          <w:spacing w:val="0"/>
          <w:sz w:val="44"/>
          <w:szCs w:val="44"/>
          <w:highlight w:val="none"/>
          <w:shd w:val="clear" w:fill="FFFFFF"/>
          <w:lang w:val="en-US" w:eastAsia="zh-CN"/>
        </w:rPr>
        <w:t>自评</w:t>
      </w:r>
      <w:r>
        <w:rPr>
          <w:rFonts w:hint="eastAsia" w:ascii="方正小标宋_GBK" w:hAnsi="方正小标宋_GBK" w:eastAsia="方正小标宋_GBK" w:cs="方正小标宋_GBK"/>
          <w:b w:val="0"/>
          <w:bCs/>
          <w:i w:val="0"/>
          <w:caps w:val="0"/>
          <w:color w:val="000000"/>
          <w:spacing w:val="0"/>
          <w:sz w:val="44"/>
          <w:szCs w:val="44"/>
          <w:highlight w:val="none"/>
          <w:shd w:val="clear" w:fill="FFFFFF"/>
        </w:rPr>
        <w:t>报告</w:t>
      </w: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shd w:val="clear" w:fill="FFFFFF"/>
        </w:rPr>
      </w:pP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一、项目概况</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（一）项目基本情况</w:t>
      </w:r>
    </w:p>
    <w:p>
      <w:pPr>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仿宋_GB2312" w:hAnsi="仿宋_GB2312" w:eastAsia="仿宋_GB2312" w:cs="仿宋_GB2312"/>
          <w:i w:val="0"/>
          <w:caps w:val="0"/>
          <w:spacing w:val="0"/>
          <w:sz w:val="32"/>
          <w:szCs w:val="32"/>
          <w:highlight w:val="none"/>
          <w:lang w:val="en-US" w:eastAsia="zh-CN"/>
        </w:rPr>
      </w:pPr>
      <w:bookmarkStart w:id="121" w:name="OLE_LINK1"/>
      <w:r>
        <w:rPr>
          <w:rFonts w:hint="default" w:ascii="仿宋_GB2312" w:hAnsi="仿宋_GB2312" w:eastAsia="仿宋_GB2312" w:cs="仿宋_GB2312"/>
          <w:i w:val="0"/>
          <w:caps w:val="0"/>
          <w:spacing w:val="0"/>
          <w:kern w:val="0"/>
          <w:sz w:val="32"/>
          <w:szCs w:val="32"/>
          <w:highlight w:val="none"/>
          <w:shd w:val="clear" w:fill="FFFFFF"/>
          <w:lang w:eastAsia="zh-CN" w:bidi="ar"/>
        </w:rPr>
        <w:t>省教育厅下</w:t>
      </w:r>
      <w:r>
        <w:rPr>
          <w:rFonts w:hint="eastAsia" w:ascii="仿宋_GB2312" w:hAnsi="仿宋_GB2312" w:eastAsia="仿宋_GB2312" w:cs="仿宋_GB2312"/>
          <w:i w:val="0"/>
          <w:caps w:val="0"/>
          <w:spacing w:val="0"/>
          <w:kern w:val="0"/>
          <w:sz w:val="32"/>
          <w:szCs w:val="32"/>
          <w:highlight w:val="none"/>
          <w:shd w:val="clear" w:fill="FFFFFF"/>
          <w:lang w:eastAsia="zh-CN" w:bidi="ar"/>
        </w:rPr>
        <w:t>达</w:t>
      </w:r>
      <w:r>
        <w:rPr>
          <w:rFonts w:hint="default" w:ascii="仿宋_GB2312" w:hAnsi="仿宋_GB2312" w:eastAsia="仿宋_GB2312" w:cs="仿宋_GB2312"/>
          <w:i w:val="0"/>
          <w:caps w:val="0"/>
          <w:spacing w:val="0"/>
          <w:kern w:val="0"/>
          <w:sz w:val="32"/>
          <w:szCs w:val="32"/>
          <w:highlight w:val="none"/>
          <w:shd w:val="clear" w:fill="FFFFFF"/>
          <w:lang w:eastAsia="zh-CN" w:bidi="ar"/>
        </w:rPr>
        <w:t>我县</w:t>
      </w:r>
      <w:r>
        <w:rPr>
          <w:rFonts w:hint="eastAsia" w:ascii="仿宋_GB2312" w:hAnsi="仿宋_GB2312" w:eastAsia="仿宋_GB2312" w:cs="仿宋_GB2312"/>
          <w:i w:val="0"/>
          <w:caps w:val="0"/>
          <w:spacing w:val="0"/>
          <w:kern w:val="0"/>
          <w:sz w:val="32"/>
          <w:szCs w:val="32"/>
          <w:highlight w:val="none"/>
          <w:shd w:val="clear" w:fill="FFFFFF"/>
          <w:lang w:val="en-US" w:eastAsia="zh-CN" w:bidi="ar"/>
        </w:rPr>
        <w:t>2024年义务教育薄弱环节改善与能力提升补助资金</w:t>
      </w:r>
      <w:bookmarkEnd w:id="121"/>
      <w:r>
        <w:rPr>
          <w:rFonts w:hint="eastAsia" w:ascii="仿宋_GB2312" w:hAnsi="仿宋_GB2312" w:eastAsia="仿宋_GB2312" w:cs="仿宋_GB2312"/>
          <w:i w:val="0"/>
          <w:caps w:val="0"/>
          <w:spacing w:val="0"/>
          <w:kern w:val="0"/>
          <w:sz w:val="32"/>
          <w:szCs w:val="32"/>
          <w:highlight w:val="none"/>
          <w:shd w:val="clear" w:fill="FFFFFF"/>
          <w:lang w:val="en-US" w:eastAsia="zh-CN" w:bidi="ar"/>
        </w:rPr>
        <w:t>2344万元</w:t>
      </w:r>
      <w:r>
        <w:rPr>
          <w:rFonts w:hint="default" w:ascii="仿宋_GB2312" w:hAnsi="仿宋_GB2312" w:eastAsia="仿宋_GB2312" w:cs="仿宋_GB2312"/>
          <w:i w:val="0"/>
          <w:caps w:val="0"/>
          <w:spacing w:val="0"/>
          <w:kern w:val="0"/>
          <w:sz w:val="32"/>
          <w:szCs w:val="32"/>
          <w:highlight w:val="none"/>
          <w:shd w:val="clear" w:fill="FFFFFF"/>
          <w:lang w:eastAsia="zh-CN" w:bidi="ar"/>
        </w:rPr>
        <w:t>（中央资金1727万元，省级资金627万元）</w:t>
      </w:r>
      <w:r>
        <w:rPr>
          <w:rFonts w:hint="eastAsia" w:ascii="仿宋_GB2312" w:hAnsi="仿宋_GB2312" w:eastAsia="仿宋_GB2312" w:cs="仿宋_GB2312"/>
          <w:i w:val="0"/>
          <w:caps w:val="0"/>
          <w:spacing w:val="0"/>
          <w:kern w:val="0"/>
          <w:sz w:val="32"/>
          <w:szCs w:val="32"/>
          <w:highlight w:val="none"/>
          <w:shd w:val="clear" w:fill="FFFFFF"/>
          <w:lang w:val="en-US" w:eastAsia="zh-CN" w:bidi="ar"/>
        </w:rPr>
        <w:t>，</w:t>
      </w:r>
      <w:r>
        <w:rPr>
          <w:rFonts w:hint="eastAsia" w:ascii="仿宋_GB2312" w:hAnsi="Calibri" w:eastAsia="仿宋_GB2312" w:cs="仿宋_GB2312"/>
          <w:kern w:val="2"/>
          <w:sz w:val="32"/>
          <w:szCs w:val="32"/>
          <w:highlight w:val="none"/>
          <w:lang w:val="en-US" w:eastAsia="zh-CN" w:bidi="ar"/>
        </w:rPr>
        <w:t>其中用于校舍类建设1935万元，屯城镇向阳中心小学四区（光明小学）学生食堂宿舍楼和南吕镇南吕中心小学、屯昌县枫木镇枫木中心小学综合教学楼、坡心镇中建学校教学综合楼等4个项目；409万元用于设备采购。目前城镇向阳中心小学四区（光明小学）学生食堂宿舍楼和南吕镇南吕中心小学已完工并交付使用；坡心镇中建学校教学综合楼已完工待验收；屯昌县枫木镇枫木中心小学综合教学楼已完成主体分部验收，正在进行室内外整修，计划7月完工，设备采购已全部交付使用。</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（二）项目绩效目标设定情况</w:t>
      </w:r>
    </w:p>
    <w:p>
      <w:pPr>
        <w:pStyle w:val="27"/>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总体目标为：义务教育薄弱环节改善与能力提升补助资金支出比例不少75%，</w:t>
      </w:r>
      <w:r>
        <w:rPr>
          <w:rFonts w:hint="eastAsia" w:ascii="仿宋_GB2312" w:hAnsi="仿宋_GB2312" w:eastAsia="仿宋_GB2312" w:cs="仿宋_GB2312"/>
          <w:color w:val="auto"/>
          <w:sz w:val="32"/>
          <w:szCs w:val="32"/>
          <w:highlight w:val="none"/>
          <w:lang w:val="en-US" w:eastAsia="zh-CN"/>
        </w:rPr>
        <w:t>截至2024年12月底已支出1834万元（校舍类1133.47万元，设备类575万元），未支出511.23万元，支出率78.2%；</w:t>
      </w:r>
      <w:r>
        <w:rPr>
          <w:rFonts w:hint="eastAsia" w:ascii="仿宋_GB2312" w:hAnsi="仿宋_GB2312" w:eastAsia="仿宋_GB2312" w:cs="仿宋_GB2312"/>
          <w:i w:val="0"/>
          <w:caps w:val="0"/>
          <w:spacing w:val="0"/>
          <w:kern w:val="0"/>
          <w:sz w:val="32"/>
          <w:szCs w:val="32"/>
          <w:highlight w:val="none"/>
          <w:shd w:val="clear" w:fill="FFFFFF"/>
          <w:lang w:val="en-US" w:eastAsia="zh-CN" w:bidi="ar"/>
        </w:rPr>
        <w:t>义务教育薄弱环节改善与能力提升补助资金项目验收合格率达100%；服务对象满意度指标（学校满意度、学校老师满意度、学校学生满意度）不少85%。</w:t>
      </w: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二、项目决策及资金使用管理情况</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（一）项目决策情况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firstLine="640" w:firstLineChars="200"/>
        <w:jc w:val="both"/>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项目决策遵循义务教育薄弱环节改善与能力提升项</w:t>
      </w:r>
      <w:r>
        <w:rPr>
          <w:rFonts w:hint="default" w:ascii="仿宋_GB2312" w:hAnsi="仿宋_GB2312" w:eastAsia="仿宋_GB2312" w:cs="仿宋_GB2312"/>
          <w:i w:val="0"/>
          <w:caps w:val="0"/>
          <w:spacing w:val="0"/>
          <w:kern w:val="0"/>
          <w:sz w:val="32"/>
          <w:szCs w:val="32"/>
          <w:highlight w:val="none"/>
          <w:shd w:val="clear" w:fill="FFFFFF"/>
          <w:lang w:eastAsia="zh-CN" w:bidi="ar"/>
        </w:rPr>
        <w:t>目</w:t>
      </w:r>
      <w:r>
        <w:rPr>
          <w:rFonts w:hint="eastAsia" w:ascii="仿宋_GB2312" w:hAnsi="仿宋_GB2312" w:eastAsia="仿宋_GB2312" w:cs="仿宋_GB2312"/>
          <w:i w:val="0"/>
          <w:caps w:val="0"/>
          <w:spacing w:val="0"/>
          <w:kern w:val="0"/>
          <w:sz w:val="32"/>
          <w:szCs w:val="32"/>
          <w:highlight w:val="none"/>
          <w:shd w:val="clear" w:fill="FFFFFF"/>
          <w:lang w:val="en-US" w:eastAsia="zh-CN" w:bidi="ar"/>
        </w:rPr>
        <w:t>规划，先由教育部门编制好规划，根据省教育厅下达资金进行二次分配，经征求财政局、发改委等部门意见，再报县政府专题会议研究，最后报县政府常务会审定。</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（二）项目资金到位及使用情况</w:t>
      </w:r>
    </w:p>
    <w:tbl>
      <w:tblPr>
        <w:tblStyle w:val="16"/>
        <w:tblW w:w="8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902"/>
        <w:gridCol w:w="2189"/>
        <w:gridCol w:w="2274"/>
        <w:gridCol w:w="2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rPr>
        <w:tc>
          <w:tcPr>
            <w:tcW w:w="1902"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both"/>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lang w:val="en-US" w:eastAsia="zh-CN" w:bidi="ar"/>
              </w:rPr>
              <w:t>资金类型</w:t>
            </w:r>
          </w:p>
        </w:tc>
        <w:tc>
          <w:tcPr>
            <w:tcW w:w="2189"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both"/>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lang w:val="en-US" w:eastAsia="zh-CN" w:bidi="ar"/>
              </w:rPr>
              <w:t>年初预算数</w:t>
            </w:r>
          </w:p>
        </w:tc>
        <w:tc>
          <w:tcPr>
            <w:tcW w:w="2274"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both"/>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lang w:val="en-US" w:eastAsia="zh-CN" w:bidi="ar"/>
              </w:rPr>
              <w:t>全年预算数</w:t>
            </w:r>
          </w:p>
        </w:tc>
        <w:tc>
          <w:tcPr>
            <w:tcW w:w="2261"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both"/>
              <w:textAlignment w:val="auto"/>
              <w:rPr>
                <w:rFonts w:hint="default" w:ascii="仿宋_GB2312" w:hAnsi="仿宋_GB2312" w:eastAsia="仿宋_GB2312" w:cs="仿宋_GB2312"/>
                <w:b/>
                <w:kern w:val="0"/>
                <w:sz w:val="32"/>
                <w:szCs w:val="32"/>
                <w:highlight w:val="none"/>
                <w:lang w:val="en-US" w:eastAsia="zh-CN" w:bidi="ar"/>
              </w:rPr>
            </w:pPr>
            <w:r>
              <w:rPr>
                <w:rFonts w:hint="eastAsia" w:ascii="仿宋_GB2312" w:hAnsi="仿宋_GB2312" w:eastAsia="仿宋_GB2312" w:cs="仿宋_GB2312"/>
                <w:b/>
                <w:kern w:val="0"/>
                <w:sz w:val="32"/>
                <w:szCs w:val="32"/>
                <w:highlight w:val="none"/>
                <w:lang w:val="en-US" w:eastAsia="zh-CN" w:bidi="ar"/>
              </w:rPr>
              <w:t>全年执行数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c>
          <w:tcPr>
            <w:tcW w:w="1902"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资金总额</w:t>
            </w:r>
          </w:p>
        </w:tc>
        <w:tc>
          <w:tcPr>
            <w:tcW w:w="2189"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bookmarkStart w:id="122" w:name="OLE_LINK3"/>
            <w:r>
              <w:rPr>
                <w:rFonts w:hint="eastAsia" w:ascii="仿宋_GB2312" w:hAnsi="仿宋_GB2312" w:eastAsia="仿宋_GB2312" w:cs="仿宋_GB2312"/>
                <w:kern w:val="0"/>
                <w:sz w:val="32"/>
                <w:szCs w:val="32"/>
                <w:highlight w:val="none"/>
                <w:lang w:val="en-US" w:eastAsia="zh-CN" w:bidi="ar"/>
              </w:rPr>
              <w:t>23440000</w:t>
            </w:r>
            <w:bookmarkEnd w:id="122"/>
          </w:p>
        </w:tc>
        <w:tc>
          <w:tcPr>
            <w:tcW w:w="2274"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23440000</w:t>
            </w:r>
          </w:p>
        </w:tc>
        <w:tc>
          <w:tcPr>
            <w:tcW w:w="2261"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default" w:ascii="仿宋_GB2312" w:hAnsi="仿宋_GB2312" w:eastAsia="仿宋_GB2312" w:cs="仿宋_GB2312"/>
                <w:kern w:val="0"/>
                <w:sz w:val="32"/>
                <w:szCs w:val="32"/>
                <w:highlight w:val="none"/>
                <w:lang w:val="en-US" w:eastAsia="zh-CN" w:bidi="ar"/>
              </w:rPr>
            </w:pPr>
            <w:bookmarkStart w:id="123" w:name="OLE_LINK4"/>
            <w:r>
              <w:rPr>
                <w:rFonts w:hint="eastAsia" w:ascii="仿宋_GB2312" w:hAnsi="仿宋_GB2312" w:eastAsia="仿宋_GB2312" w:cs="仿宋_GB2312"/>
                <w:kern w:val="0"/>
                <w:sz w:val="32"/>
                <w:szCs w:val="32"/>
                <w:highlight w:val="none"/>
                <w:lang w:val="en-US" w:eastAsia="zh-CN" w:bidi="ar"/>
              </w:rPr>
              <w:t>18341553.58</w:t>
            </w:r>
            <w:bookmarkEnd w:id="1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c>
          <w:tcPr>
            <w:tcW w:w="1902"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财政资金</w:t>
            </w:r>
          </w:p>
        </w:tc>
        <w:tc>
          <w:tcPr>
            <w:tcW w:w="2189"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23440000</w:t>
            </w:r>
          </w:p>
        </w:tc>
        <w:tc>
          <w:tcPr>
            <w:tcW w:w="2274"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23440000</w:t>
            </w:r>
          </w:p>
        </w:tc>
        <w:tc>
          <w:tcPr>
            <w:tcW w:w="2261"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kern w:val="0"/>
                <w:sz w:val="32"/>
                <w:szCs w:val="32"/>
                <w:highlight w:val="none"/>
                <w:lang w:val="en-US" w:eastAsia="zh-CN" w:bidi="ar"/>
              </w:rPr>
            </w:pPr>
            <w:r>
              <w:rPr>
                <w:rFonts w:hint="eastAsia" w:ascii="仿宋_GB2312" w:hAnsi="仿宋_GB2312" w:eastAsia="仿宋_GB2312" w:cs="仿宋_GB2312"/>
                <w:kern w:val="0"/>
                <w:sz w:val="32"/>
                <w:szCs w:val="32"/>
                <w:highlight w:val="none"/>
                <w:lang w:val="en-US" w:eastAsia="zh-CN" w:bidi="ar"/>
              </w:rPr>
              <w:t>18341553.58</w:t>
            </w:r>
          </w:p>
        </w:tc>
      </w:tr>
    </w:tbl>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eastAsia" w:ascii="仿宋_GB2312" w:hAnsi="仿宋_GB2312" w:eastAsia="仿宋_GB2312" w:cs="仿宋_GB2312"/>
          <w:sz w:val="32"/>
          <w:szCs w:val="32"/>
          <w:highlight w:val="none"/>
        </w:rPr>
      </w:pP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三、项目组织实施情况</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（一）项目组织情况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该项目在组织方面采用公开招标的方式选聘施工单位和设备采购单位，确保项目参与方的专业性和公正性，引入具备良好资质和能力的单位参与项目建设和设备采购，为项目的顺利实施奠定基础。按合同约定进行施工和设备采购工作，并分阶段完成验收工作，能够及时发现和解决项目实施过程中出现的问题，保证工程质量和设备符合要求。同时，及时调整项目资金到相关学校，并按工程进展和设备采购进度拨付资金，体现了资金管理的合理性和科学性，有助于保障项目的顺利推进，避免因资金问题影响项目进度。</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（二）项目实施情况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项目通过公开招标选聘相关单位后，报党委会审定，再在县政府网站公示，最后签订好合同，按照相关程序进行工作，在实施过程中，需要组织相关部门进行分部验收、初步验收，竣工验收、联合验收。</w:t>
      </w: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四、项目绩效分析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default" w:ascii="仿宋_GB2312" w:hAnsi="仿宋_GB2312" w:eastAsia="仿宋_GB2312" w:cs="仿宋_GB2312"/>
          <w:i w:val="0"/>
          <w:caps w:val="0"/>
          <w:spacing w:val="0"/>
          <w:kern w:val="0"/>
          <w:sz w:val="32"/>
          <w:szCs w:val="32"/>
          <w:highlight w:val="none"/>
          <w:shd w:val="clear" w:fill="FFFFFF"/>
          <w:lang w:val="en-US" w:eastAsia="zh-CN" w:bidi="ar"/>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项目在绩效目标达成方面表现良好，各项经费产出指标、效益指标以及成本指标均已全部实现。产出指标：义务教育薄弱环节改善与能力提升补助资金支出比例目标75%，实际支持比例为78%；工程质量达标率目标100%，实际完成率为100%。效益指标为提升农村薄弱学校办学条件明显提高，实际已完全明显提供。满意度指标（学校满意度、学校老师满意度、学校学生满意度）不少85%，实际满意度为98%。</w:t>
      </w: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五、综合评价与建议</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（一）综合评价</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整体来看，该义务教育薄弱环节改善与能力提升补助资金项目在项目决策、资金使用管理、组织实施以及绩效目标完成等方面都表现良好。项目决策过程科学全面，充分考虑了多方面因素；资金使用管理较为规范，虽然全年预算有所调整，但在可追溯和合理的范围内；组织实施过程通过公开招标保证了项目的专业性和公正性，且顺利完成验收工作；绩效目标全部实现，达到了改善办学条件的预期效果。</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（二）建议</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rPr>
        <w:t>）加快项目资金支出，针对支出缓慢的项目，通过项目调剂等方式加快支出进度。</w:t>
      </w:r>
    </w:p>
    <w:p>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rPr>
        <w:t>）合理规划，资源整合，尽可能提高资金使用效益</w:t>
      </w:r>
      <w:r>
        <w:rPr>
          <w:rFonts w:hint="eastAsia" w:ascii="仿宋_GB2312" w:hAnsi="仿宋_GB2312" w:eastAsia="仿宋_GB2312" w:cs="仿宋_GB2312"/>
          <w:color w:val="auto"/>
          <w:sz w:val="32"/>
          <w:szCs w:val="32"/>
          <w:highlight w:val="none"/>
          <w:lang w:eastAsia="zh-CN"/>
        </w:rPr>
        <w:t>。</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rPr>
        <w:t>）优化</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简化</w:t>
      </w:r>
      <w:r>
        <w:rPr>
          <w:rFonts w:hint="eastAsia" w:ascii="仿宋_GB2312" w:hAnsi="仿宋_GB2312" w:eastAsia="仿宋_GB2312" w:cs="仿宋_GB2312"/>
          <w:color w:val="auto"/>
          <w:sz w:val="32"/>
          <w:szCs w:val="32"/>
          <w:highlight w:val="none"/>
        </w:rPr>
        <w:t>项目前期手续，加快项目推进。</w:t>
      </w:r>
    </w:p>
    <w:p>
      <w:pP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p>
    <w:p>
      <w:pPr>
        <w:pStyle w:val="3"/>
        <w:ind w:left="0" w:leftChars="0" w:firstLine="0" w:firstLineChars="0"/>
        <w:rPr>
          <w:rFonts w:hint="eastAsia" w:hAnsi="仿宋_GB2312" w:cs="仿宋_GB2312"/>
          <w:color w:val="auto"/>
          <w:sz w:val="32"/>
          <w:szCs w:val="32"/>
          <w:highlight w:val="none"/>
          <w:lang w:val="en-US" w:eastAsia="zh-CN"/>
        </w:rPr>
      </w:pPr>
      <w:r>
        <w:rPr>
          <w:rFonts w:hint="eastAsia" w:hAnsi="仿宋_GB2312" w:cs="仿宋_GB2312"/>
          <w:color w:val="auto"/>
          <w:sz w:val="32"/>
          <w:szCs w:val="32"/>
          <w:highlight w:val="none"/>
          <w:lang w:val="en-US" w:eastAsia="zh-CN"/>
        </w:rPr>
        <w:t>附件2</w:t>
      </w:r>
    </w:p>
    <w:p>
      <w:pPr>
        <w:pStyle w:val="3"/>
        <w:ind w:left="0" w:leftChars="0" w:firstLine="0" w:firstLineChars="0"/>
        <w:jc w:val="center"/>
        <w:rPr>
          <w:rFonts w:hint="eastAsia" w:ascii="仿宋_GB2312" w:hAnsi="仿宋_GB2312" w:eastAsia="仿宋_GB2312" w:cs="仿宋_GB2312"/>
          <w:color w:val="auto"/>
          <w:sz w:val="32"/>
          <w:szCs w:val="32"/>
          <w:highlight w:val="none"/>
        </w:rPr>
      </w:pPr>
      <w:r>
        <w:rPr>
          <w:rFonts w:hint="eastAsia" w:ascii="等线" w:hAnsi="等线" w:eastAsia="等线" w:cs="等线"/>
          <w:b/>
          <w:i w:val="0"/>
          <w:color w:val="000000"/>
          <w:kern w:val="0"/>
          <w:sz w:val="40"/>
          <w:szCs w:val="40"/>
          <w:highlight w:val="none"/>
          <w:u w:val="none"/>
          <w:lang w:val="en-US" w:eastAsia="zh-CN" w:bidi="ar"/>
        </w:rPr>
        <w:t>项目支出绩效自评表</w:t>
      </w: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sectPr>
          <w:footerReference r:id="rId3" w:type="default"/>
          <w:footerReference r:id="rId4" w:type="even"/>
          <w:pgSz w:w="11906" w:h="16838"/>
          <w:pgMar w:top="1928" w:right="1474" w:bottom="1701" w:left="1587" w:header="851" w:footer="992" w:gutter="0"/>
          <w:pgNumType w:fmt="decimal"/>
          <w:cols w:space="720" w:num="1"/>
          <w:docGrid w:type="lines" w:linePitch="312" w:charSpace="0"/>
        </w:sectPr>
      </w:pPr>
    </w:p>
    <w:bookmarkEnd w:id="119"/>
    <w:tbl>
      <w:tblPr>
        <w:tblStyle w:val="16"/>
        <w:tblpPr w:leftFromText="180" w:rightFromText="180" w:vertAnchor="text" w:horzAnchor="page" w:tblpXSpec="center" w:tblpY="1613"/>
        <w:tblOverlap w:val="never"/>
        <w:tblW w:w="1475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25"/>
        <w:gridCol w:w="1125"/>
        <w:gridCol w:w="1710"/>
        <w:gridCol w:w="1035"/>
        <w:gridCol w:w="1125"/>
        <w:gridCol w:w="1322"/>
        <w:gridCol w:w="703"/>
        <w:gridCol w:w="915"/>
        <w:gridCol w:w="900"/>
        <w:gridCol w:w="870"/>
        <w:gridCol w:w="870"/>
        <w:gridCol w:w="1305"/>
        <w:gridCol w:w="1095"/>
        <w:gridCol w:w="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jc w:val="center"/>
        </w:trPr>
        <w:tc>
          <w:tcPr>
            <w:tcW w:w="13005" w:type="dxa"/>
            <w:gridSpan w:val="1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ascii="等线" w:hAnsi="等线" w:eastAsia="等线" w:cs="等线"/>
                <w:b/>
                <w:i w:val="0"/>
                <w:color w:val="000000"/>
                <w:sz w:val="40"/>
                <w:szCs w:val="40"/>
                <w:highlight w:val="none"/>
                <w:u w:val="none"/>
              </w:rPr>
            </w:pPr>
            <w:r>
              <w:rPr>
                <w:rFonts w:hint="eastAsia" w:ascii="等线" w:hAnsi="等线" w:eastAsia="等线" w:cs="等线"/>
                <w:b/>
                <w:i w:val="0"/>
                <w:color w:val="000000"/>
                <w:kern w:val="0"/>
                <w:sz w:val="40"/>
                <w:szCs w:val="40"/>
                <w:highlight w:val="none"/>
                <w:u w:val="none"/>
                <w:lang w:val="en-US" w:eastAsia="zh-CN" w:bidi="ar"/>
              </w:rPr>
              <w:t xml:space="preserve">支出绩效自评表 </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bookmarkStart w:id="124" w:name="_GoBack"/>
            <w:bookmarkEnd w:id="124"/>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项目名称:</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46902222T000000676319-义务教育薄弱环节改善与能力提升补助资金</w:t>
            </w:r>
          </w:p>
        </w:tc>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填报人:</w:t>
            </w:r>
          </w:p>
        </w:tc>
        <w:tc>
          <w:tcPr>
            <w:tcW w:w="2940" w:type="dxa"/>
            <w:gridSpan w:val="3"/>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吴景灼</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联系方式:</w:t>
            </w:r>
          </w:p>
        </w:tc>
        <w:tc>
          <w:tcPr>
            <w:tcW w:w="3045" w:type="dxa"/>
            <w:gridSpan w:val="3"/>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089867815124</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主管部门:</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124-屯昌县教育局</w:t>
            </w:r>
          </w:p>
        </w:tc>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实施单位:</w:t>
            </w:r>
          </w:p>
        </w:tc>
        <w:tc>
          <w:tcPr>
            <w:tcW w:w="6885" w:type="dxa"/>
            <w:gridSpan w:val="7"/>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124001-屯昌县教育局本级</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5"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资金构成(元)</w:t>
            </w:r>
          </w:p>
        </w:tc>
        <w:tc>
          <w:tcPr>
            <w:tcW w:w="1710" w:type="dxa"/>
            <w:tcBorders>
              <w:top w:val="single" w:color="000000" w:sz="4" w:space="0"/>
              <w:left w:val="nil"/>
              <w:bottom w:val="single" w:color="000000" w:sz="4" w:space="0"/>
              <w:right w:val="nil"/>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全年预算数</w:t>
            </w:r>
          </w:p>
        </w:tc>
        <w:tc>
          <w:tcPr>
            <w:tcW w:w="3840" w:type="dxa"/>
            <w:gridSpan w:val="4"/>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执行数</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分值</w:t>
            </w:r>
          </w:p>
        </w:tc>
        <w:tc>
          <w:tcPr>
            <w:tcW w:w="870" w:type="dxa"/>
            <w:tcBorders>
              <w:top w:val="single" w:color="000000" w:sz="4" w:space="0"/>
              <w:left w:val="single" w:color="000000" w:sz="4" w:space="0"/>
              <w:bottom w:val="single" w:color="000000" w:sz="4" w:space="0"/>
              <w:right w:val="nil"/>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执行率（%）</w:t>
            </w:r>
          </w:p>
        </w:tc>
        <w:tc>
          <w:tcPr>
            <w:tcW w:w="130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得分</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资金总额：</w:t>
            </w:r>
          </w:p>
        </w:tc>
        <w:tc>
          <w:tcPr>
            <w:tcW w:w="171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23,440,000.00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19,350,000.00</w:t>
            </w:r>
          </w:p>
        </w:tc>
        <w:tc>
          <w:tcPr>
            <w:tcW w:w="3840" w:type="dxa"/>
            <w:gridSpan w:val="4"/>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14,527,929.50</w:t>
            </w:r>
          </w:p>
        </w:tc>
        <w:tc>
          <w:tcPr>
            <w:tcW w:w="870" w:type="dxa"/>
            <w:tcBorders>
              <w:top w:val="single" w:color="000000" w:sz="4" w:space="0"/>
              <w:left w:val="single" w:color="000000" w:sz="4" w:space="0"/>
              <w:bottom w:val="single" w:color="000000" w:sz="4" w:space="0"/>
              <w:right w:val="single" w:color="000000" w:sz="4" w:space="0"/>
            </w:tcBorders>
            <w:shd w:val="clear" w:color="auto" w:fill="C0C0C0"/>
            <w:noWrap/>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 xml:space="preserve">10.00 </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75.08</w:t>
            </w:r>
          </w:p>
        </w:tc>
        <w:tc>
          <w:tcPr>
            <w:tcW w:w="1305" w:type="dxa"/>
            <w:tcBorders>
              <w:top w:val="single" w:color="000000" w:sz="4" w:space="0"/>
              <w:left w:val="single" w:color="000000" w:sz="4" w:space="0"/>
              <w:bottom w:val="single" w:color="000000" w:sz="4" w:space="0"/>
              <w:right w:val="single" w:color="000000" w:sz="4" w:space="0"/>
            </w:tcBorders>
            <w:shd w:val="clear" w:color="auto" w:fill="C0C0C0"/>
            <w:noWrap/>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7.51</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其中：财政资金：</w:t>
            </w:r>
          </w:p>
        </w:tc>
        <w:tc>
          <w:tcPr>
            <w:tcW w:w="171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23,440,000.00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19,350,000.00</w:t>
            </w:r>
          </w:p>
        </w:tc>
        <w:tc>
          <w:tcPr>
            <w:tcW w:w="3840" w:type="dxa"/>
            <w:gridSpan w:val="4"/>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14,527,929.50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75.08</w:t>
            </w:r>
          </w:p>
        </w:tc>
        <w:tc>
          <w:tcPr>
            <w:tcW w:w="130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单位资金：</w:t>
            </w:r>
          </w:p>
        </w:tc>
        <w:tc>
          <w:tcPr>
            <w:tcW w:w="171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3840" w:type="dxa"/>
            <w:gridSpan w:val="4"/>
            <w:tcBorders>
              <w:top w:val="nil"/>
              <w:left w:val="nil"/>
              <w:bottom w:val="nil"/>
              <w:right w:val="nil"/>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w:t>
            </w:r>
          </w:p>
        </w:tc>
        <w:tc>
          <w:tcPr>
            <w:tcW w:w="130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财政专户管理资金：</w:t>
            </w:r>
          </w:p>
        </w:tc>
        <w:tc>
          <w:tcPr>
            <w:tcW w:w="171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3840" w:type="dxa"/>
            <w:gridSpan w:val="4"/>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w:t>
            </w:r>
          </w:p>
        </w:tc>
        <w:tc>
          <w:tcPr>
            <w:tcW w:w="130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6120" w:type="dxa"/>
            <w:gridSpan w:val="5"/>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年度目标</w:t>
            </w:r>
          </w:p>
        </w:tc>
        <w:tc>
          <w:tcPr>
            <w:tcW w:w="6885" w:type="dxa"/>
            <w:gridSpan w:val="7"/>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年度目标完成情况</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78" w:hRule="atLeast"/>
          <w:jc w:val="center"/>
        </w:trPr>
        <w:tc>
          <w:tcPr>
            <w:tcW w:w="6120" w:type="dxa"/>
            <w:gridSpan w:val="5"/>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top"/>
          </w:tcPr>
          <w:p>
            <w:pPr>
              <w:keepNext w:val="0"/>
              <w:keepLines w:val="0"/>
              <w:widowControl/>
              <w:suppressLineNumbers w:val="0"/>
              <w:jc w:val="left"/>
              <w:textAlignment w:val="top"/>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 xml:space="preserve">义务教育薄弱环节改善与能力提升补助资金 </w:t>
            </w:r>
          </w:p>
        </w:tc>
        <w:tc>
          <w:tcPr>
            <w:tcW w:w="6885" w:type="dxa"/>
            <w:gridSpan w:val="7"/>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top"/>
          </w:tcPr>
          <w:p>
            <w:pPr>
              <w:keepNext w:val="0"/>
              <w:keepLines w:val="0"/>
              <w:widowControl/>
              <w:suppressLineNumbers w:val="0"/>
              <w:jc w:val="left"/>
              <w:textAlignment w:val="top"/>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义务教育薄弱环节改善与能力提升补助资金项目验收合格率100%，进一步改善办学条件。</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一级指标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二级指标</w:t>
            </w:r>
          </w:p>
        </w:tc>
        <w:tc>
          <w:tcPr>
            <w:tcW w:w="2745"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三级指标</w:t>
            </w:r>
          </w:p>
        </w:tc>
        <w:tc>
          <w:tcPr>
            <w:tcW w:w="1125" w:type="dxa"/>
            <w:tcBorders>
              <w:top w:val="single" w:color="000000" w:sz="4" w:space="0"/>
              <w:left w:val="nil"/>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指标性质</w:t>
            </w:r>
          </w:p>
        </w:tc>
        <w:tc>
          <w:tcPr>
            <w:tcW w:w="132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年度指标值</w:t>
            </w:r>
          </w:p>
        </w:tc>
        <w:tc>
          <w:tcPr>
            <w:tcW w:w="70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度量单位</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实际完成值</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完成率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分值</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得分</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23"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产出指标</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质量指标</w:t>
            </w:r>
          </w:p>
        </w:tc>
        <w:tc>
          <w:tcPr>
            <w:tcW w:w="2745"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新建改扩建工程验收合格率</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w:t>
            </w:r>
          </w:p>
        </w:tc>
        <w:tc>
          <w:tcPr>
            <w:tcW w:w="1322"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w:t>
            </w:r>
          </w:p>
        </w:tc>
        <w:tc>
          <w:tcPr>
            <w:tcW w:w="703"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40</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rPr>
                <w:rFonts w:hint="eastAsia" w:ascii="等线" w:hAnsi="等线" w:eastAsia="等线" w:cs="等线"/>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效益指标</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社会效益指标</w:t>
            </w:r>
          </w:p>
        </w:tc>
        <w:tc>
          <w:tcPr>
            <w:tcW w:w="2745"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办学条件得到改善</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定性</w:t>
            </w:r>
          </w:p>
        </w:tc>
        <w:tc>
          <w:tcPr>
            <w:tcW w:w="1322"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优良中低差</w:t>
            </w:r>
          </w:p>
        </w:tc>
        <w:tc>
          <w:tcPr>
            <w:tcW w:w="703"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项</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优</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基本达成目标</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40</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rPr>
                <w:rFonts w:hint="eastAsia" w:ascii="等线" w:hAnsi="等线" w:eastAsia="等线" w:cs="等线"/>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成本指标</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经济成本指标</w:t>
            </w:r>
          </w:p>
        </w:tc>
        <w:tc>
          <w:tcPr>
            <w:tcW w:w="2745"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3374万元</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w:t>
            </w:r>
          </w:p>
        </w:tc>
        <w:tc>
          <w:tcPr>
            <w:tcW w:w="1322"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2344</w:t>
            </w:r>
          </w:p>
        </w:tc>
        <w:tc>
          <w:tcPr>
            <w:tcW w:w="703"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万元</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1452.79</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rPr>
                <w:rFonts w:hint="eastAsia" w:ascii="等线" w:hAnsi="等线" w:eastAsia="等线" w:cs="等线"/>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jc w:val="center"/>
        </w:trPr>
        <w:tc>
          <w:tcPr>
            <w:tcW w:w="9960" w:type="dxa"/>
            <w:gridSpan w:val="9"/>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合计</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97.51</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rPr>
                <w:rFonts w:hint="eastAsia" w:ascii="等线" w:hAnsi="等线" w:eastAsia="等线" w:cs="等线"/>
                <w:i w:val="0"/>
                <w:color w:val="000000"/>
                <w:sz w:val="22"/>
                <w:szCs w:val="22"/>
                <w:highlight w:val="none"/>
                <w:u w:val="none"/>
              </w:rPr>
            </w:pPr>
          </w:p>
        </w:tc>
      </w:tr>
    </w:tbl>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default" w:ascii="仿宋_GB2312" w:hAnsi="ˎ̥" w:eastAsia="仿宋_GB2312"/>
          <w:color w:val="auto"/>
          <w:sz w:val="32"/>
          <w:szCs w:val="32"/>
          <w:highlight w:val="none"/>
          <w:lang w:val="en-US" w:eastAsia="zh-CN"/>
        </w:rPr>
      </w:pPr>
    </w:p>
    <w:p>
      <w:pPr>
        <w:pStyle w:val="5"/>
        <w:rPr>
          <w:rFonts w:hint="eastAsia" w:ascii="仿宋_GB2312" w:hAnsi="ˎ̥" w:eastAsia="仿宋_GB2312"/>
          <w:color w:val="auto"/>
          <w:sz w:val="32"/>
          <w:szCs w:val="32"/>
          <w:highlight w:val="none"/>
        </w:rPr>
        <w:sectPr>
          <w:pgSz w:w="16838" w:h="11906" w:orient="landscape"/>
          <w:pgMar w:top="1587" w:right="1928" w:bottom="1474" w:left="1701" w:header="851" w:footer="992" w:gutter="0"/>
          <w:pgNumType w:fmt="decimal"/>
          <w:cols w:space="0" w:num="1"/>
          <w:rtlGutter w:val="0"/>
          <w:docGrid w:type="lines" w:linePitch="315" w:charSpace="0"/>
        </w:sectPr>
      </w:pPr>
    </w:p>
    <w:p>
      <w:pPr>
        <w:pStyle w:val="5"/>
        <w:rPr>
          <w:rFonts w:hint="eastAsia" w:ascii="仿宋_GB2312" w:hAnsi="ˎ̥" w:eastAsia="仿宋_GB2312"/>
          <w:color w:val="auto"/>
          <w:sz w:val="32"/>
          <w:szCs w:val="32"/>
          <w:highlight w:val="none"/>
        </w:rPr>
      </w:pPr>
    </w:p>
    <w:sectPr>
      <w:pgSz w:w="16838" w:h="11906" w:orient="landscape"/>
      <w:pgMar w:top="1587" w:right="1928" w:bottom="1474" w:left="1701" w:header="851"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81355" cy="2559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81355" cy="2559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0.15pt;width:53.65pt;mso-position-horizontal:outside;mso-position-horizontal-relative:margin;z-index:251659264;mso-width-relative:page;mso-height-relative:page;" filled="f" stroked="f" coordsize="21600,21600" o:gfxdata="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np1c0wAAAAQBAAAPAAAA&#10;AAAAAAEAIAAAACIAAABkcnMvZG93bnJldi54bWxQSwECFAAUAAAACACHTuJAprHV3RoCAAATBAAA&#10;DgAAAAAAAAABACAAAAAiAQAAZHJzL2Uyb0RvYy54bWxQSwUGAAAAAAYABgBZAQAArgUAAAAA&#10;">
              <v:fill on="f" focussize="0,0"/>
              <v:stroke on="f" weight="0.5pt"/>
              <v:imagedata o:title=""/>
              <o:lock v:ext="edit" aspectratio="f"/>
              <v:textbox inset="0mm,0mm,0mm,0mm">
                <w:txbxContent>
                  <w:p>
                    <w:pPr>
                      <w:pStyle w:val="1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8"/>
      </w:rPr>
    </w:pPr>
    <w:r>
      <w:fldChar w:fldCharType="begin"/>
    </w:r>
    <w:r>
      <w:rPr>
        <w:rStyle w:val="18"/>
      </w:rPr>
      <w:instrText xml:space="preserve">PAGE  </w:instrText>
    </w:r>
    <w:r>
      <w:fldChar w:fldCharType="separate"/>
    </w:r>
    <w: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B987E18D"/>
    <w:multiLevelType w:val="singleLevel"/>
    <w:tmpl w:val="B987E18D"/>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3C84685"/>
    <w:rsid w:val="17427E68"/>
    <w:rsid w:val="1755065F"/>
    <w:rsid w:val="1AFC29C9"/>
    <w:rsid w:val="1CA52F2E"/>
    <w:rsid w:val="1E3630B9"/>
    <w:rsid w:val="26EEC2B5"/>
    <w:rsid w:val="29472309"/>
    <w:rsid w:val="29C67941"/>
    <w:rsid w:val="2B406E77"/>
    <w:rsid w:val="2BAC2046"/>
    <w:rsid w:val="2C2A0C43"/>
    <w:rsid w:val="2D1E73A5"/>
    <w:rsid w:val="32717154"/>
    <w:rsid w:val="33DC0A9C"/>
    <w:rsid w:val="34B63260"/>
    <w:rsid w:val="37FDA7E2"/>
    <w:rsid w:val="39F746AF"/>
    <w:rsid w:val="3A314D88"/>
    <w:rsid w:val="3A746883"/>
    <w:rsid w:val="3C1D47AB"/>
    <w:rsid w:val="3CA15DE9"/>
    <w:rsid w:val="3FE61EE5"/>
    <w:rsid w:val="406508EE"/>
    <w:rsid w:val="408D6263"/>
    <w:rsid w:val="41B40CEE"/>
    <w:rsid w:val="48317291"/>
    <w:rsid w:val="485F7024"/>
    <w:rsid w:val="48E70666"/>
    <w:rsid w:val="4C6877E5"/>
    <w:rsid w:val="4D6A468D"/>
    <w:rsid w:val="4EA86137"/>
    <w:rsid w:val="4F310C93"/>
    <w:rsid w:val="50197CCE"/>
    <w:rsid w:val="53D9109E"/>
    <w:rsid w:val="56CA7FD0"/>
    <w:rsid w:val="57751DDB"/>
    <w:rsid w:val="57FA38D1"/>
    <w:rsid w:val="5F7D3333"/>
    <w:rsid w:val="61385890"/>
    <w:rsid w:val="645351DB"/>
    <w:rsid w:val="687436E1"/>
    <w:rsid w:val="6DA45C50"/>
    <w:rsid w:val="6E9A7825"/>
    <w:rsid w:val="6F670F9B"/>
    <w:rsid w:val="712207AB"/>
    <w:rsid w:val="737450E0"/>
    <w:rsid w:val="74054476"/>
    <w:rsid w:val="742F38C4"/>
    <w:rsid w:val="74AB66DC"/>
    <w:rsid w:val="74C4154C"/>
    <w:rsid w:val="75956FFF"/>
    <w:rsid w:val="779B1A4A"/>
    <w:rsid w:val="77AA2D01"/>
    <w:rsid w:val="78D43478"/>
    <w:rsid w:val="7B97529A"/>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8">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9">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7">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next w:val="3"/>
    <w:unhideWhenUsed/>
    <w:qFormat/>
    <w:uiPriority w:val="99"/>
    <w:pPr>
      <w:snapToGrid w:val="0"/>
      <w:jc w:val="left"/>
    </w:pPr>
    <w:rPr>
      <w:sz w:val="18"/>
      <w:szCs w:val="18"/>
    </w:rPr>
  </w:style>
  <w:style w:type="paragraph" w:styleId="3">
    <w:name w:val="Body Text First Indent 2"/>
    <w:basedOn w:val="4"/>
    <w:next w:val="5"/>
    <w:unhideWhenUsed/>
    <w:qFormat/>
    <w:uiPriority w:val="99"/>
    <w:pPr>
      <w:ind w:left="0" w:firstLine="420" w:firstLineChars="200"/>
    </w:pPr>
  </w:style>
  <w:style w:type="paragraph" w:styleId="4">
    <w:name w:val="Body Text Indent"/>
    <w:basedOn w:val="1"/>
    <w:next w:val="3"/>
    <w:qFormat/>
    <w:uiPriority w:val="0"/>
    <w:pPr>
      <w:spacing w:line="600" w:lineRule="exact"/>
      <w:ind w:firstLine="640" w:firstLineChars="200"/>
    </w:pPr>
    <w:rPr>
      <w:rFonts w:ascii="仿宋_GB2312" w:eastAsia="仿宋_GB2312"/>
      <w:sz w:val="32"/>
    </w:rPr>
  </w:style>
  <w:style w:type="paragraph" w:styleId="5">
    <w:name w:val="Body Text First Indent"/>
    <w:basedOn w:val="6"/>
    <w:unhideWhenUsed/>
    <w:qFormat/>
    <w:uiPriority w:val="99"/>
    <w:pPr>
      <w:ind w:firstLine="420" w:firstLineChars="100"/>
    </w:pPr>
  </w:style>
  <w:style w:type="paragraph" w:styleId="6">
    <w:name w:val="Body Text"/>
    <w:basedOn w:val="1"/>
    <w:next w:val="1"/>
    <w:qFormat/>
    <w:uiPriority w:val="0"/>
    <w:pPr>
      <w:spacing w:after="120"/>
    </w:pPr>
    <w:rPr>
      <w:rFonts w:ascii="Calibri" w:hAnsi="Calibri" w:eastAsia="宋体" w:cs="Times New Roman"/>
    </w:rPr>
  </w:style>
  <w:style w:type="paragraph" w:styleId="10">
    <w:name w:val="annotation text"/>
    <w:basedOn w:val="1"/>
    <w:link w:val="20"/>
    <w:qFormat/>
    <w:uiPriority w:val="0"/>
    <w:pPr>
      <w:jc w:val="left"/>
    </w:pPr>
  </w:style>
  <w:style w:type="paragraph" w:styleId="11">
    <w:name w:val="Balloon Text"/>
    <w:basedOn w:val="1"/>
    <w:link w:val="21"/>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spacing w:beforeAutospacing="1" w:afterAutospacing="1"/>
      <w:jc w:val="left"/>
    </w:pPr>
    <w:rPr>
      <w:rFonts w:cs="Times New Roman"/>
      <w:kern w:val="0"/>
      <w:sz w:val="24"/>
    </w:rPr>
  </w:style>
  <w:style w:type="paragraph" w:styleId="15">
    <w:name w:val="annotation subject"/>
    <w:basedOn w:val="10"/>
    <w:next w:val="10"/>
    <w:link w:val="23"/>
    <w:qFormat/>
    <w:uiPriority w:val="0"/>
    <w:rPr>
      <w:b/>
      <w:bCs/>
    </w:rPr>
  </w:style>
  <w:style w:type="character" w:styleId="18">
    <w:name w:val="page number"/>
    <w:qFormat/>
    <w:uiPriority w:val="0"/>
  </w:style>
  <w:style w:type="character" w:styleId="19">
    <w:name w:val="annotation reference"/>
    <w:qFormat/>
    <w:uiPriority w:val="0"/>
    <w:rPr>
      <w:sz w:val="21"/>
      <w:szCs w:val="21"/>
    </w:rPr>
  </w:style>
  <w:style w:type="character" w:customStyle="1" w:styleId="20">
    <w:name w:val="批注文字 Char"/>
    <w:link w:val="10"/>
    <w:qFormat/>
    <w:uiPriority w:val="0"/>
    <w:rPr>
      <w:kern w:val="2"/>
      <w:sz w:val="21"/>
      <w:szCs w:val="24"/>
    </w:rPr>
  </w:style>
  <w:style w:type="character" w:customStyle="1" w:styleId="21">
    <w:name w:val="批注框文本 Char"/>
    <w:link w:val="11"/>
    <w:qFormat/>
    <w:uiPriority w:val="0"/>
    <w:rPr>
      <w:kern w:val="2"/>
      <w:sz w:val="18"/>
      <w:szCs w:val="18"/>
    </w:rPr>
  </w:style>
  <w:style w:type="character" w:customStyle="1" w:styleId="22">
    <w:name w:val="页眉 Char"/>
    <w:link w:val="13"/>
    <w:qFormat/>
    <w:uiPriority w:val="0"/>
    <w:rPr>
      <w:kern w:val="2"/>
      <w:sz w:val="18"/>
      <w:szCs w:val="18"/>
    </w:rPr>
  </w:style>
  <w:style w:type="character" w:customStyle="1" w:styleId="23">
    <w:name w:val="批注主题 Char"/>
    <w:link w:val="15"/>
    <w:qFormat/>
    <w:uiPriority w:val="0"/>
    <w:rPr>
      <w:b/>
      <w:bCs/>
      <w:kern w:val="2"/>
      <w:sz w:val="21"/>
      <w:szCs w:val="24"/>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Chars="200"/>
    </w:pPr>
    <w:rPr>
      <w:rFonts w:ascii="Times New Roman" w:hAnsi="Times New Roman" w:eastAsia="宋体" w:cs="Times New Roman"/>
      <w:lang w:val="en-US" w:eastAsia="zh-CN" w:bidi="ar-SA"/>
    </w:rPr>
  </w:style>
  <w:style w:type="paragraph" w:customStyle="1" w:styleId="26">
    <w:name w:val="正文1 Char Char Char"/>
    <w:basedOn w:val="1"/>
    <w:qFormat/>
    <w:uiPriority w:val="0"/>
    <w:pPr>
      <w:spacing w:line="360" w:lineRule="auto"/>
      <w:ind w:firstLine="200" w:firstLineChars="200"/>
    </w:pPr>
  </w:style>
  <w:style w:type="paragraph" w:customStyle="1" w:styleId="27">
    <w:name w:val="Body text|1"/>
    <w:basedOn w:val="1"/>
    <w:qFormat/>
    <w:uiPriority w:val="0"/>
    <w:pPr>
      <w:keepNext w:val="0"/>
      <w:keepLines w:val="0"/>
      <w:widowControl w:val="0"/>
      <w:suppressLineNumbers w:val="0"/>
      <w:spacing w:before="0" w:beforeAutospacing="0" w:after="0" w:afterAutospacing="0" w:line="412" w:lineRule="auto"/>
      <w:ind w:left="0" w:right="0" w:firstLine="400"/>
      <w:jc w:val="left"/>
    </w:pPr>
    <w:rPr>
      <w:rFonts w:hint="eastAsia" w:ascii="宋体" w:hAnsi="宋体" w:eastAsia="宋体" w:cs="宋体"/>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7192</Words>
  <Characters>8139</Characters>
  <Lines>67</Lines>
  <Paragraphs>18</Paragraphs>
  <TotalTime>1</TotalTime>
  <ScaleCrop>false</ScaleCrop>
  <LinksUpToDate>false</LinksUpToDate>
  <CharactersWithSpaces>8225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2025-10-27T01:45:16Z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eyJoZGlkIjoiYzFhZGY0ZTViYWQyN2I0ZGJhNDk0OThkMjNkNmQ2MDYiLCJ1c2VySWQiOiI1NzcxNDg1NzIifQ==</vt:lpwstr>
  </property>
</Properties>
</file>