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2025</w:t>
      </w:r>
      <w:r>
        <w:rPr>
          <w:rFonts w:hint="eastAsia" w:ascii="方正小标宋简体" w:hAnsi="方正小标宋简体" w:eastAsia="方正小标宋简体" w:cs="方正小标宋简体"/>
          <w:sz w:val="52"/>
          <w:szCs w:val="52"/>
        </w:rPr>
        <w:t>年</w:t>
      </w:r>
      <w:r>
        <w:rPr>
          <w:rFonts w:hint="eastAsia" w:ascii="方正小标宋简体" w:hAnsi="方正小标宋简体" w:eastAsia="方正小标宋简体" w:cs="方正小标宋简体"/>
          <w:sz w:val="52"/>
          <w:szCs w:val="52"/>
          <w:lang w:val="en-US" w:eastAsia="zh-CN"/>
        </w:rPr>
        <w:t>屯昌县西昌镇南田幼儿园</w:t>
      </w:r>
    </w:p>
    <w:p>
      <w:pPr>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单位预算</w:t>
      </w:r>
      <w:r>
        <w:rPr>
          <w:rFonts w:hint="eastAsia" w:ascii="方正小标宋简体" w:hAnsi="方正小标宋简体" w:eastAsia="方正小标宋简体" w:cs="方正小标宋简体"/>
          <w:sz w:val="52"/>
          <w:szCs w:val="52"/>
          <w:lang w:val="en-US"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6"/>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屯昌县西昌镇南田幼儿园</w:t>
      </w:r>
      <w:r>
        <w:rPr>
          <w:rFonts w:hint="eastAsia" w:ascii="黑体" w:hAnsi="黑体" w:eastAsia="黑体"/>
          <w:sz w:val="32"/>
          <w:szCs w:val="32"/>
        </w:rPr>
        <w:t>概况</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 xml:space="preserve"> </w:t>
      </w:r>
      <w:r>
        <w:rPr>
          <w:rFonts w:hint="eastAsia" w:ascii="黑体" w:hAnsi="黑体" w:eastAsia="黑体"/>
          <w:sz w:val="32"/>
          <w:szCs w:val="32"/>
          <w:lang w:val="en-US" w:eastAsia="zh-CN"/>
        </w:rPr>
        <w:t>屯昌县西昌镇南田幼儿园</w:t>
      </w:r>
      <w:r>
        <w:rPr>
          <w:rFonts w:hint="eastAsia" w:ascii="黑体" w:hAnsi="黑体" w:eastAsia="黑体"/>
          <w:sz w:val="32"/>
          <w:szCs w:val="32"/>
        </w:rPr>
        <w:t>预算表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屯昌县西昌镇南田幼儿园</w:t>
      </w:r>
      <w:r>
        <w:rPr>
          <w:rFonts w:hint="eastAsia" w:ascii="黑体" w:hAnsi="黑体" w:eastAsia="黑体"/>
          <w:sz w:val="32"/>
          <w:szCs w:val="32"/>
        </w:rPr>
        <w:t>预算情况说明</w:t>
      </w:r>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6"/>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6"/>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屯昌县西昌镇南田幼儿园</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6"/>
        <w:numPr>
          <w:ilvl w:val="0"/>
          <w:numId w:val="5"/>
        </w:numPr>
        <w:spacing w:line="578" w:lineRule="exact"/>
        <w:ind w:left="1350" w:leftChars="0" w:firstLineChars="0"/>
        <w:jc w:val="left"/>
        <w:rPr>
          <w:rFonts w:ascii="黑体" w:hAnsi="黑体" w:eastAsia="黑体" w:cs="仿宋_GB2312"/>
          <w:sz w:val="32"/>
          <w:szCs w:val="32"/>
        </w:rPr>
      </w:pPr>
      <w:r>
        <w:rPr>
          <w:rFonts w:hint="eastAsia" w:ascii="黑体" w:hAnsi="黑体" w:eastAsia="黑体" w:cs="仿宋_GB2312"/>
          <w:sz w:val="32"/>
          <w:szCs w:val="32"/>
        </w:rPr>
        <w:t>主要职能</w:t>
      </w:r>
      <w:r>
        <w:rPr>
          <w:rFonts w:hint="eastAsia" w:ascii="黑体" w:hAnsi="黑体" w:eastAsia="黑体" w:cs="仿宋_GB2312"/>
          <w:sz w:val="32"/>
          <w:szCs w:val="32"/>
          <w:lang w:val="en-US" w:eastAsia="zh-CN"/>
        </w:rPr>
        <w:t xml:space="preserve"> </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（一）认真贯彻执行党和国家的有关法律法规、方针、政策，坚持民主管理，依法办园，执行上级主管部门的指示和决定。</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（二）实行保育和教育相结合的原则，对幼儿实施体、智、德、美诸方面全面发展的教育，促进其身心和谐发展。为家长解除后顾之忧，热忱为家长服务。</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（三）尊重儿童的人格尊严和基本权利，尊重儿童身心发展的特点和规律，为儿童提供健康、丰富的生活和活动环境。合理组织幼儿一日生活活动和其它活动，促进幼儿体智德美等和谐发展，全面实施素质教育。</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（四）严格执行幼儿园安全、卫生保健制度，保证幼儿身心健康和生命安全。</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（五）充分利用幼儿和社区的资源优势，面向家长开展多种形式的早期教育宣传、指导等服务，促进家庭教育质量的不断提高。</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（六）贯彻幼儿教育法规、传播科学教育理念、开展教育科学研究、培训师资，发挥市示范性幼儿园的示范、辐射作用。</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（七）加强幼儿园貌的建设，提高后勤服务的质量，为师生员工创造一个整洁、和谐的工作、学习环境。</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（八）认真贯彻上级文体卫生工作的有关方针，建立健全卫生保健制度，开展丰富多彩</w:t>
      </w:r>
      <w:bookmarkStart w:id="0" w:name="_GoBack"/>
      <w:bookmarkEnd w:id="0"/>
      <w:r>
        <w:rPr>
          <w:rFonts w:hint="eastAsia" w:ascii="楷体" w:hAnsi="楷体" w:eastAsia="楷体"/>
          <w:sz w:val="32"/>
          <w:szCs w:val="32"/>
          <w:lang w:val="en-US" w:eastAsia="zh-CN"/>
        </w:rPr>
        <w:t>的文娱</w:t>
      </w:r>
      <w:r>
        <w:rPr>
          <w:rFonts w:hint="eastAsia" w:ascii="楷体" w:hAnsi="楷体" w:eastAsia="楷体"/>
          <w:sz w:val="32"/>
          <w:szCs w:val="32"/>
          <w:lang w:val="en-US" w:eastAsia="zh-CN"/>
        </w:rPr>
        <w:fldChar w:fldCharType="begin"/>
      </w:r>
      <w:r>
        <w:rPr>
          <w:rFonts w:hint="eastAsia" w:ascii="楷体" w:hAnsi="楷体" w:eastAsia="楷体"/>
          <w:sz w:val="32"/>
          <w:szCs w:val="32"/>
          <w:lang w:val="en-US" w:eastAsia="zh-CN"/>
        </w:rPr>
        <w:instrText xml:space="preserve"> HYPERLINK "http://rj.5ykj.com/" </w:instrText>
      </w:r>
      <w:r>
        <w:rPr>
          <w:rFonts w:hint="eastAsia" w:ascii="楷体" w:hAnsi="楷体" w:eastAsia="楷体"/>
          <w:sz w:val="32"/>
          <w:szCs w:val="32"/>
          <w:lang w:val="en-US" w:eastAsia="zh-CN"/>
        </w:rPr>
        <w:fldChar w:fldCharType="separate"/>
      </w:r>
      <w:r>
        <w:rPr>
          <w:rFonts w:hint="eastAsia" w:ascii="楷体" w:hAnsi="楷体" w:eastAsia="楷体"/>
          <w:sz w:val="32"/>
          <w:szCs w:val="32"/>
          <w:lang w:val="en-US" w:eastAsia="zh-CN"/>
        </w:rPr>
        <w:t>体育活动</w:t>
      </w:r>
      <w:r>
        <w:rPr>
          <w:rFonts w:hint="eastAsia" w:ascii="楷体" w:hAnsi="楷体" w:eastAsia="楷体"/>
          <w:sz w:val="32"/>
          <w:szCs w:val="32"/>
          <w:lang w:val="en-US" w:eastAsia="zh-CN"/>
        </w:rPr>
        <w:fldChar w:fldCharType="end"/>
      </w:r>
      <w:r>
        <w:rPr>
          <w:rFonts w:hint="eastAsia" w:ascii="楷体" w:hAnsi="楷体" w:eastAsia="楷体"/>
          <w:sz w:val="32"/>
          <w:szCs w:val="32"/>
          <w:lang w:val="en-US" w:eastAsia="zh-CN"/>
        </w:rPr>
        <w:t>，活跃师生生活，保护幼儿身心健康。</w:t>
      </w:r>
      <w:r>
        <w:rPr>
          <w:rFonts w:hint="eastAsia" w:ascii="楷体" w:hAnsi="楷体" w:eastAsia="楷体"/>
          <w:sz w:val="32"/>
          <w:szCs w:val="32"/>
          <w:lang w:val="en-US" w:eastAsia="zh-CN"/>
        </w:rPr>
        <w:br w:type="textWrapping"/>
      </w:r>
      <w:r>
        <w:rPr>
          <w:rFonts w:hint="eastAsia" w:ascii="楷体" w:hAnsi="楷体" w:eastAsia="楷体"/>
          <w:sz w:val="32"/>
          <w:szCs w:val="32"/>
          <w:lang w:val="en-US" w:eastAsia="zh-CN"/>
        </w:rPr>
        <w:t xml:space="preserve">    （九）深入实际，全面做好对幼儿园各部门的检查督促工作，及时总结经验，表彰先进。负责幼儿园各级行政干部的考核工作，组织对教职工的考核评比工作，根据成绩、考勤、贡献等情况，实施奖惩。</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（十）认真学习现代教育理论、管理理论，不断健全幼儿园的各项规章制度；虚心听取教职工对幼儿园管理的意见，不断提高幼儿园工作的管理水平。</w:t>
      </w:r>
    </w:p>
    <w:p>
      <w:pPr>
        <w:pStyle w:val="6"/>
        <w:numPr>
          <w:ilvl w:val="0"/>
          <w:numId w:val="5"/>
        </w:numPr>
        <w:spacing w:line="578" w:lineRule="exact"/>
        <w:ind w:left="1350" w:leftChars="0"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spacing w:line="578" w:lineRule="exact"/>
        <w:ind w:firstLine="630"/>
        <w:rPr>
          <w:rFonts w:hint="eastAsia" w:ascii="仿宋" w:hAnsi="仿宋" w:eastAsia="仿宋" w:cs="仿宋"/>
          <w:sz w:val="32"/>
          <w:shd w:val="clear" w:color="auto" w:fill="FFFFFF"/>
          <w:lang w:val="en-US" w:eastAsia="zh-CN"/>
        </w:rPr>
      </w:pPr>
      <w:r>
        <w:rPr>
          <w:rFonts w:hint="eastAsia" w:ascii="仿宋" w:hAnsi="仿宋" w:eastAsia="仿宋" w:cs="仿宋"/>
          <w:sz w:val="32"/>
          <w:shd w:val="clear" w:color="auto" w:fill="FFFFFF"/>
          <w:lang w:val="en-US" w:eastAsia="zh-CN"/>
        </w:rPr>
        <w:t>无</w:t>
      </w:r>
    </w:p>
    <w:p>
      <w:pPr>
        <w:spacing w:line="578" w:lineRule="exact"/>
        <w:ind w:firstLine="630"/>
        <w:rPr>
          <w:rFonts w:hint="eastAsia" w:ascii="仿宋" w:hAnsi="仿宋" w:eastAsia="仿宋" w:cs="仿宋"/>
          <w:sz w:val="32"/>
          <w:shd w:val="clear" w:color="auto" w:fill="FFFFFF"/>
          <w:lang w:val="en-US" w:eastAsia="zh-CN"/>
        </w:rPr>
      </w:pPr>
    </w:p>
    <w:p>
      <w:pPr>
        <w:spacing w:line="578" w:lineRule="exact"/>
        <w:ind w:firstLine="0" w:firstLineChars="0"/>
        <w:jc w:val="both"/>
        <w:rPr>
          <w:rFonts w:hint="eastAsia" w:ascii="宋体" w:hAnsi="宋体" w:eastAsia="宋体" w:cs="Times New Roman"/>
          <w:color w:val="000000"/>
          <w:kern w:val="2"/>
          <w:sz w:val="28"/>
          <w:szCs w:val="28"/>
          <w:lang w:val="en-US" w:eastAsia="zh-CN" w:bidi="ar-SA"/>
        </w:rPr>
      </w:pP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屯昌县西昌镇南田幼儿园2025年单位</w:t>
      </w:r>
      <w:r>
        <w:rPr>
          <w:rFonts w:hint="eastAsia" w:ascii="黑体" w:hAnsi="黑体" w:eastAsia="黑体"/>
          <w:sz w:val="32"/>
          <w:szCs w:val="32"/>
        </w:rPr>
        <w:t>预算表</w:t>
      </w:r>
    </w:p>
    <w:p>
      <w:pPr>
        <w:spacing w:line="578" w:lineRule="exact"/>
        <w:ind w:left="800"/>
        <w:jc w:val="left"/>
        <w:rPr>
          <w:rFonts w:ascii="黑体" w:hAnsi="黑体" w:eastAsia="黑体"/>
          <w:sz w:val="32"/>
          <w:szCs w:val="32"/>
        </w:rPr>
      </w:pPr>
    </w:p>
    <w:p>
      <w:pPr>
        <w:spacing w:line="578" w:lineRule="exact"/>
        <w:ind w:left="800"/>
        <w:jc w:val="center"/>
        <w:rPr>
          <w:rFonts w:hint="eastAsia" w:ascii="仿宋" w:hAnsi="仿宋" w:eastAsia="仿宋" w:cs="仿宋"/>
          <w:b/>
          <w:sz w:val="32"/>
          <w:szCs w:val="32"/>
        </w:rPr>
      </w:pPr>
      <w:r>
        <w:rPr>
          <w:rFonts w:hint="eastAsia" w:ascii="仿宋" w:hAnsi="仿宋" w:eastAsia="仿宋" w:cs="仿宋"/>
          <w:b/>
          <w:sz w:val="32"/>
          <w:szCs w:val="32"/>
        </w:rPr>
        <w:t>（此部分内容即为部门或单位预算公开表）</w:t>
      </w:r>
    </w:p>
    <w:p>
      <w:pPr>
        <w:spacing w:line="578" w:lineRule="exact"/>
        <w:ind w:left="800"/>
        <w:jc w:val="center"/>
        <w:rPr>
          <w:rFonts w:hint="eastAsia" w:ascii="仿宋" w:hAnsi="仿宋" w:eastAsia="仿宋" w:cs="仿宋"/>
          <w:b/>
          <w:sz w:val="32"/>
          <w:szCs w:val="32"/>
        </w:rPr>
      </w:pP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屯昌县西昌镇南田幼儿园2025年单位</w:t>
      </w: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屯昌县西昌镇南田幼儿园2025</w:t>
      </w:r>
      <w:r>
        <w:rPr>
          <w:rFonts w:hint="eastAsia" w:ascii="黑体" w:hAnsi="黑体" w:eastAsia="黑体"/>
          <w:sz w:val="32"/>
          <w:szCs w:val="32"/>
        </w:rPr>
        <w:t>年财政拨款收支预算情况的总体说明</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屯昌县西昌镇南田幼儿园</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年财政拨款收支总预算</w:t>
      </w:r>
      <w:r>
        <w:rPr>
          <w:rFonts w:hint="eastAsia" w:ascii="仿宋" w:hAnsi="仿宋" w:eastAsia="仿宋" w:cs="仿宋"/>
          <w:sz w:val="32"/>
          <w:shd w:val="clear" w:color="auto" w:fill="FFFFFF"/>
          <w:lang w:val="en-US" w:eastAsia="zh-CN"/>
        </w:rPr>
        <w:t>75.81</w:t>
      </w:r>
      <w:r>
        <w:rPr>
          <w:rFonts w:hint="eastAsia" w:ascii="仿宋" w:hAnsi="仿宋" w:eastAsia="仿宋" w:cs="仿宋"/>
          <w:sz w:val="32"/>
          <w:shd w:val="clear" w:color="auto" w:fill="FFFFFF"/>
        </w:rPr>
        <w:t>万元。其中，收入总计</w:t>
      </w:r>
      <w:r>
        <w:rPr>
          <w:rFonts w:hint="eastAsia" w:ascii="仿宋" w:hAnsi="仿宋" w:eastAsia="仿宋" w:cs="仿宋"/>
          <w:sz w:val="32"/>
          <w:shd w:val="clear" w:color="auto" w:fill="FFFFFF"/>
          <w:lang w:val="en-US" w:eastAsia="zh-CN"/>
        </w:rPr>
        <w:t>77.99</w:t>
      </w:r>
      <w:r>
        <w:rPr>
          <w:rFonts w:hint="eastAsia" w:ascii="仿宋" w:hAnsi="仿宋" w:eastAsia="仿宋" w:cs="仿宋"/>
          <w:sz w:val="32"/>
          <w:shd w:val="clear" w:color="auto" w:fill="FFFFFF"/>
        </w:rPr>
        <w:t>万元，包括一般公共预算本年收入</w:t>
      </w:r>
      <w:r>
        <w:rPr>
          <w:rFonts w:hint="eastAsia" w:ascii="仿宋" w:hAnsi="仿宋" w:eastAsia="仿宋" w:cs="仿宋"/>
          <w:sz w:val="32"/>
          <w:shd w:val="clear" w:color="auto" w:fill="FFFFFF"/>
          <w:lang w:val="en-US" w:eastAsia="zh-CN"/>
        </w:rPr>
        <w:t>75.81</w:t>
      </w:r>
      <w:r>
        <w:rPr>
          <w:rFonts w:hint="eastAsia" w:ascii="仿宋" w:hAnsi="仿宋" w:eastAsia="仿宋" w:cs="仿宋"/>
          <w:sz w:val="32"/>
          <w:shd w:val="clear" w:color="auto" w:fill="FFFFFF"/>
        </w:rPr>
        <w:t>万元、上年结转</w:t>
      </w:r>
      <w:r>
        <w:rPr>
          <w:rFonts w:hint="eastAsia" w:ascii="仿宋" w:hAnsi="仿宋" w:eastAsia="仿宋" w:cs="仿宋"/>
          <w:sz w:val="32"/>
          <w:shd w:val="clear" w:color="auto" w:fill="FFFFFF"/>
          <w:lang w:val="en-US" w:eastAsia="zh-CN"/>
        </w:rPr>
        <w:t>2.17</w:t>
      </w:r>
      <w:r>
        <w:rPr>
          <w:rFonts w:hint="eastAsia" w:ascii="仿宋" w:hAnsi="仿宋" w:eastAsia="仿宋" w:cs="仿宋"/>
          <w:sz w:val="32"/>
          <w:shd w:val="clear" w:color="auto" w:fill="FFFFFF"/>
        </w:rPr>
        <w:t>万元，政府性基金预算本年收入0万元、上年结转0万元；支出总计</w:t>
      </w:r>
      <w:r>
        <w:rPr>
          <w:rFonts w:hint="eastAsia" w:ascii="仿宋" w:hAnsi="仿宋" w:eastAsia="仿宋" w:cs="仿宋"/>
          <w:sz w:val="32"/>
          <w:shd w:val="clear" w:color="auto" w:fill="FFFFFF"/>
          <w:lang w:val="en-US" w:eastAsia="zh-CN"/>
        </w:rPr>
        <w:t>77.99</w:t>
      </w:r>
      <w:r>
        <w:rPr>
          <w:rFonts w:hint="eastAsia" w:ascii="仿宋" w:hAnsi="仿宋" w:eastAsia="仿宋" w:cs="仿宋"/>
          <w:sz w:val="32"/>
          <w:shd w:val="clear" w:color="auto" w:fill="FFFFFF"/>
        </w:rPr>
        <w:t>万元，包括教育支出</w:t>
      </w:r>
      <w:r>
        <w:rPr>
          <w:rFonts w:hint="eastAsia" w:ascii="仿宋" w:hAnsi="仿宋" w:eastAsia="仿宋" w:cs="仿宋"/>
          <w:sz w:val="32"/>
          <w:shd w:val="clear" w:color="auto" w:fill="FFFFFF"/>
          <w:lang w:val="en-US" w:eastAsia="zh-CN"/>
        </w:rPr>
        <w:t>54.76</w:t>
      </w:r>
      <w:r>
        <w:rPr>
          <w:rFonts w:hint="eastAsia" w:ascii="仿宋" w:hAnsi="仿宋" w:eastAsia="仿宋" w:cs="仿宋"/>
          <w:sz w:val="32"/>
          <w:shd w:val="clear" w:color="auto" w:fill="FFFFFF"/>
        </w:rPr>
        <w:t>万元、社会保障和就业支出</w:t>
      </w:r>
      <w:r>
        <w:rPr>
          <w:rFonts w:hint="eastAsia" w:ascii="仿宋" w:hAnsi="仿宋" w:eastAsia="仿宋" w:cs="仿宋"/>
          <w:sz w:val="32"/>
          <w:shd w:val="clear" w:color="auto" w:fill="FFFFFF"/>
          <w:lang w:val="en-US" w:eastAsia="zh-CN"/>
        </w:rPr>
        <w:t>10.42</w:t>
      </w:r>
      <w:r>
        <w:rPr>
          <w:rFonts w:hint="eastAsia" w:ascii="仿宋" w:hAnsi="仿宋" w:eastAsia="仿宋" w:cs="仿宋"/>
          <w:sz w:val="32"/>
          <w:shd w:val="clear" w:color="auto" w:fill="FFFFFF"/>
        </w:rPr>
        <w:t>万元、卫生健康支出</w:t>
      </w:r>
      <w:r>
        <w:rPr>
          <w:rFonts w:hint="eastAsia" w:ascii="仿宋" w:hAnsi="仿宋" w:eastAsia="仿宋" w:cs="仿宋"/>
          <w:sz w:val="32"/>
          <w:shd w:val="clear" w:color="auto" w:fill="FFFFFF"/>
          <w:lang w:val="en-US" w:eastAsia="zh-CN"/>
        </w:rPr>
        <w:t>6.82</w:t>
      </w:r>
      <w:r>
        <w:rPr>
          <w:rFonts w:hint="eastAsia" w:ascii="仿宋" w:hAnsi="仿宋" w:eastAsia="仿宋" w:cs="仿宋"/>
          <w:sz w:val="32"/>
          <w:shd w:val="clear" w:color="auto" w:fill="FFFFFF"/>
        </w:rPr>
        <w:t>万元、住房保障支出</w:t>
      </w:r>
      <w:r>
        <w:rPr>
          <w:rFonts w:hint="eastAsia" w:ascii="仿宋" w:hAnsi="仿宋" w:eastAsia="仿宋" w:cs="仿宋"/>
          <w:sz w:val="32"/>
          <w:shd w:val="clear" w:color="auto" w:fill="FFFFFF"/>
          <w:lang w:val="en-US" w:eastAsia="zh-CN"/>
        </w:rPr>
        <w:t>5.99</w:t>
      </w:r>
      <w:r>
        <w:rPr>
          <w:rFonts w:hint="eastAsia" w:ascii="仿宋" w:hAnsi="仿宋" w:eastAsia="仿宋" w:cs="仿宋"/>
          <w:sz w:val="32"/>
          <w:shd w:val="clear" w:color="auto" w:fill="FFFFFF"/>
        </w:rPr>
        <w:t>万元，结转下年0万元。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屯昌县西昌镇南田幼儿园2025</w:t>
      </w:r>
      <w:r>
        <w:rPr>
          <w:rFonts w:hint="eastAsia" w:ascii="黑体" w:hAnsi="黑体" w:eastAsia="黑体"/>
          <w:sz w:val="32"/>
          <w:szCs w:val="32"/>
        </w:rPr>
        <w:t>年一般公共预算当年拨款情况说明</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（一）一般公共预算当年规模变化情况</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屯昌县西昌镇南田幼儿园</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年一般公共预算当年拨款</w:t>
      </w:r>
      <w:r>
        <w:rPr>
          <w:rFonts w:hint="eastAsia" w:ascii="仿宋" w:hAnsi="仿宋" w:eastAsia="仿宋" w:cs="仿宋"/>
          <w:sz w:val="32"/>
          <w:shd w:val="clear" w:color="auto" w:fill="FFFFFF"/>
          <w:lang w:val="en-US" w:eastAsia="zh-CN"/>
        </w:rPr>
        <w:t>75.81</w:t>
      </w:r>
      <w:r>
        <w:rPr>
          <w:rFonts w:hint="eastAsia" w:ascii="仿宋" w:hAnsi="仿宋" w:eastAsia="仿宋" w:cs="仿宋"/>
          <w:sz w:val="32"/>
          <w:shd w:val="clear" w:color="auto" w:fill="FFFFFF"/>
        </w:rPr>
        <w:t>万元。</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（二）一般公共预算当年拨款结构情况</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教育支出</w:t>
      </w:r>
      <w:r>
        <w:rPr>
          <w:rFonts w:hint="eastAsia" w:ascii="仿宋" w:hAnsi="仿宋" w:eastAsia="仿宋" w:cs="仿宋"/>
          <w:sz w:val="32"/>
          <w:shd w:val="clear" w:color="auto" w:fill="FFFFFF"/>
          <w:lang w:val="en-US" w:eastAsia="zh-CN"/>
        </w:rPr>
        <w:t>54.76</w:t>
      </w:r>
      <w:r>
        <w:rPr>
          <w:rFonts w:hint="eastAsia" w:ascii="仿宋" w:hAnsi="仿宋" w:eastAsia="仿宋" w:cs="仿宋"/>
          <w:sz w:val="32"/>
          <w:shd w:val="clear" w:color="auto" w:fill="FFFFFF"/>
        </w:rPr>
        <w:t>万元，占</w:t>
      </w:r>
      <w:r>
        <w:rPr>
          <w:rFonts w:hint="eastAsia" w:ascii="仿宋" w:hAnsi="仿宋" w:eastAsia="仿宋" w:cs="仿宋"/>
          <w:sz w:val="32"/>
          <w:shd w:val="clear" w:color="auto" w:fill="FFFFFF"/>
          <w:lang w:val="en-US" w:eastAsia="zh-CN"/>
        </w:rPr>
        <w:t>72</w:t>
      </w:r>
      <w:r>
        <w:rPr>
          <w:rFonts w:hint="eastAsia" w:ascii="仿宋" w:hAnsi="仿宋" w:eastAsia="仿宋" w:cs="仿宋"/>
          <w:sz w:val="32"/>
          <w:shd w:val="clear" w:color="auto" w:fill="FFFFFF"/>
        </w:rPr>
        <w:t>%。</w:t>
      </w:r>
    </w:p>
    <w:p>
      <w:pPr>
        <w:spacing w:line="578" w:lineRule="exact"/>
        <w:ind w:firstLine="630"/>
        <w:rPr>
          <w:rFonts w:hint="eastAsia" w:ascii="楷体" w:hAnsi="楷体" w:eastAsia="楷体"/>
          <w:sz w:val="32"/>
          <w:szCs w:val="32"/>
          <w:lang w:val="en-US" w:eastAsia="zh-CN"/>
        </w:rPr>
      </w:pPr>
      <w:r>
        <w:rPr>
          <w:rFonts w:hint="eastAsia" w:ascii="楷体" w:hAnsi="楷体" w:eastAsia="楷体"/>
          <w:sz w:val="32"/>
          <w:szCs w:val="32"/>
          <w:lang w:val="en-US" w:eastAsia="zh-CN"/>
        </w:rPr>
        <w:t>（三）一般公共预算当年拨款具体使用情况</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1.教育支出（类）普通教育（款）学前教育（项）</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年预算数为</w:t>
      </w:r>
      <w:r>
        <w:rPr>
          <w:rFonts w:hint="eastAsia" w:ascii="仿宋" w:hAnsi="仿宋" w:eastAsia="仿宋" w:cs="仿宋"/>
          <w:sz w:val="32"/>
          <w:shd w:val="clear" w:color="auto" w:fill="FFFFFF"/>
          <w:lang w:val="en-US" w:eastAsia="zh-CN"/>
        </w:rPr>
        <w:t>54.76</w:t>
      </w:r>
      <w:r>
        <w:rPr>
          <w:rFonts w:hint="eastAsia" w:ascii="仿宋" w:hAnsi="仿宋" w:eastAsia="仿宋" w:cs="仿宋"/>
          <w:sz w:val="32"/>
          <w:shd w:val="clear" w:color="auto" w:fill="FFFFFF"/>
        </w:rPr>
        <w:t>万元。</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2.社会保障和就业支出（类）行政事业单位养老支出（款）机关事业单位基本养老保险费支出（项）</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年预算数为</w:t>
      </w:r>
      <w:r>
        <w:rPr>
          <w:rFonts w:hint="eastAsia" w:ascii="仿宋" w:hAnsi="仿宋" w:eastAsia="仿宋" w:cs="仿宋"/>
          <w:sz w:val="32"/>
          <w:shd w:val="clear" w:color="auto" w:fill="FFFFFF"/>
          <w:lang w:val="en-US" w:eastAsia="zh-CN"/>
        </w:rPr>
        <w:t>10.42</w:t>
      </w:r>
      <w:r>
        <w:rPr>
          <w:rFonts w:hint="eastAsia" w:ascii="仿宋" w:hAnsi="仿宋" w:eastAsia="仿宋" w:cs="仿宋"/>
          <w:sz w:val="32"/>
          <w:shd w:val="clear" w:color="auto" w:fill="FFFFFF"/>
        </w:rPr>
        <w:t>万元。</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3.卫生健康支出（类）行政事业单位医疗（款）事业单位医疗（项）</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年预算数为</w:t>
      </w:r>
      <w:r>
        <w:rPr>
          <w:rFonts w:hint="eastAsia" w:ascii="仿宋" w:hAnsi="仿宋" w:eastAsia="仿宋" w:cs="仿宋"/>
          <w:sz w:val="32"/>
          <w:shd w:val="clear" w:color="auto" w:fill="FFFFFF"/>
          <w:lang w:val="en-US" w:eastAsia="zh-CN"/>
        </w:rPr>
        <w:t>1.66</w:t>
      </w:r>
      <w:r>
        <w:rPr>
          <w:rFonts w:hint="eastAsia" w:ascii="仿宋" w:hAnsi="仿宋" w:eastAsia="仿宋" w:cs="仿宋"/>
          <w:sz w:val="32"/>
          <w:shd w:val="clear" w:color="auto" w:fill="FFFFFF"/>
        </w:rPr>
        <w:t>万元。</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4.卫生健康支出（类）行政事业单位医疗（款）公务员医疗补助（项）</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年预算数为</w:t>
      </w:r>
      <w:r>
        <w:rPr>
          <w:rFonts w:hint="eastAsia" w:ascii="仿宋" w:hAnsi="仿宋" w:eastAsia="仿宋" w:cs="仿宋"/>
          <w:sz w:val="32"/>
          <w:shd w:val="clear" w:color="auto" w:fill="FFFFFF"/>
          <w:lang w:val="en-US" w:eastAsia="zh-CN"/>
        </w:rPr>
        <w:t>4.99</w:t>
      </w:r>
      <w:r>
        <w:rPr>
          <w:rFonts w:hint="eastAsia" w:ascii="仿宋" w:hAnsi="仿宋" w:eastAsia="仿宋" w:cs="仿宋"/>
          <w:sz w:val="32"/>
          <w:shd w:val="clear" w:color="auto" w:fill="FFFFFF"/>
        </w:rPr>
        <w:t>万元。</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5.卫生健康支出（类）行政事业单位医疗（款）其他行政事业单位医疗支出（项）</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年预算数为</w:t>
      </w:r>
      <w:r>
        <w:rPr>
          <w:rFonts w:hint="eastAsia" w:ascii="仿宋" w:hAnsi="仿宋" w:eastAsia="仿宋" w:cs="仿宋"/>
          <w:sz w:val="32"/>
          <w:shd w:val="clear" w:color="auto" w:fill="FFFFFF"/>
          <w:lang w:val="en-US" w:eastAsia="zh-CN"/>
        </w:rPr>
        <w:t>0.17</w:t>
      </w:r>
      <w:r>
        <w:rPr>
          <w:rFonts w:hint="eastAsia" w:ascii="仿宋" w:hAnsi="仿宋" w:eastAsia="仿宋" w:cs="仿宋"/>
          <w:sz w:val="32"/>
          <w:shd w:val="clear" w:color="auto" w:fill="FFFFFF"/>
        </w:rPr>
        <w:t>万元。</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6.住房保障支出（类）住房改革支出（款）住房公积金（项）</w:t>
      </w:r>
      <w:r>
        <w:rPr>
          <w:rFonts w:hint="eastAsia" w:ascii="仿宋" w:hAnsi="仿宋" w:eastAsia="仿宋" w:cs="仿宋"/>
          <w:sz w:val="32"/>
          <w:shd w:val="clear" w:color="auto" w:fill="FFFFFF"/>
          <w:lang w:eastAsia="zh-CN"/>
        </w:rPr>
        <w:t>202</w:t>
      </w:r>
      <w:r>
        <w:rPr>
          <w:rFonts w:hint="eastAsia" w:ascii="仿宋" w:hAnsi="仿宋" w:eastAsia="仿宋" w:cs="仿宋"/>
          <w:sz w:val="32"/>
          <w:shd w:val="clear" w:color="auto" w:fill="FFFFFF"/>
          <w:lang w:val="en-US" w:eastAsia="zh-CN"/>
        </w:rPr>
        <w:t>5</w:t>
      </w:r>
      <w:r>
        <w:rPr>
          <w:rFonts w:hint="eastAsia" w:ascii="仿宋" w:hAnsi="仿宋" w:eastAsia="仿宋" w:cs="仿宋"/>
          <w:sz w:val="32"/>
          <w:shd w:val="clear" w:color="auto" w:fill="FFFFFF"/>
        </w:rPr>
        <w:t>年预算数为</w:t>
      </w:r>
      <w:r>
        <w:rPr>
          <w:rFonts w:hint="eastAsia" w:ascii="仿宋" w:hAnsi="仿宋" w:eastAsia="仿宋" w:cs="仿宋"/>
          <w:sz w:val="32"/>
          <w:shd w:val="clear" w:color="auto" w:fill="FFFFFF"/>
          <w:lang w:val="en-US" w:eastAsia="zh-CN"/>
        </w:rPr>
        <w:t>5.99</w:t>
      </w:r>
      <w:r>
        <w:rPr>
          <w:rFonts w:hint="eastAsia" w:ascii="仿宋" w:hAnsi="仿宋" w:eastAsia="仿宋" w:cs="仿宋"/>
          <w:sz w:val="32"/>
          <w:shd w:val="clear" w:color="auto" w:fill="FFFFFF"/>
        </w:rPr>
        <w:t>万元。</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屯昌县西昌镇南田幼儿园2025</w:t>
      </w:r>
      <w:r>
        <w:rPr>
          <w:rFonts w:hint="eastAsia" w:ascii="黑体" w:hAnsi="黑体" w:eastAsia="黑体"/>
          <w:sz w:val="32"/>
          <w:szCs w:val="32"/>
        </w:rPr>
        <w:t>年一般公共预算基本支出情况说明</w:t>
      </w:r>
    </w:p>
    <w:p>
      <w:pPr>
        <w:spacing w:line="578" w:lineRule="exact"/>
        <w:ind w:firstLine="630"/>
        <w:rPr>
          <w:rFonts w:hint="eastAsia" w:ascii="仿宋" w:hAnsi="仿宋" w:eastAsia="仿宋" w:cs="仿宋"/>
          <w:sz w:val="32"/>
          <w:szCs w:val="32"/>
        </w:rPr>
      </w:pPr>
      <w:r>
        <w:rPr>
          <w:rFonts w:hint="eastAsia" w:ascii="仿宋" w:hAnsi="仿宋" w:eastAsia="仿宋" w:cs="仿宋"/>
          <w:sz w:val="32"/>
          <w:szCs w:val="32"/>
        </w:rPr>
        <w:t>屯昌县西昌镇南田幼儿园</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年一般公共预算基本支出为</w:t>
      </w:r>
      <w:r>
        <w:rPr>
          <w:rFonts w:hint="eastAsia" w:ascii="仿宋" w:hAnsi="仿宋" w:eastAsia="仿宋" w:cs="仿宋"/>
          <w:sz w:val="32"/>
          <w:szCs w:val="32"/>
          <w:lang w:val="en-US" w:eastAsia="zh-CN"/>
        </w:rPr>
        <w:t>75.69</w:t>
      </w:r>
      <w:r>
        <w:rPr>
          <w:rFonts w:hint="eastAsia" w:ascii="仿宋" w:hAnsi="仿宋" w:eastAsia="仿宋" w:cs="仿宋"/>
          <w:sz w:val="32"/>
          <w:szCs w:val="32"/>
        </w:rPr>
        <w:t>万元，与上年预算</w:t>
      </w:r>
      <w:r>
        <w:rPr>
          <w:rFonts w:hint="eastAsia" w:ascii="仿宋" w:hAnsi="仿宋" w:eastAsia="仿宋" w:cs="仿宋"/>
          <w:sz w:val="32"/>
          <w:szCs w:val="32"/>
          <w:lang w:val="en-US" w:eastAsia="zh-CN"/>
        </w:rPr>
        <w:t>相比，增加39.48万元</w:t>
      </w:r>
      <w:r>
        <w:rPr>
          <w:rFonts w:hint="eastAsia" w:ascii="仿宋" w:hAnsi="仿宋" w:eastAsia="仿宋" w:cs="仿宋"/>
          <w:sz w:val="32"/>
          <w:szCs w:val="32"/>
        </w:rPr>
        <w:t>；</w:t>
      </w:r>
    </w:p>
    <w:p>
      <w:pPr>
        <w:spacing w:line="578" w:lineRule="exact"/>
        <w:ind w:firstLine="630"/>
        <w:rPr>
          <w:rFonts w:hint="eastAsia" w:ascii="仿宋" w:hAnsi="仿宋" w:eastAsia="仿宋" w:cs="仿宋"/>
          <w:sz w:val="32"/>
          <w:szCs w:val="32"/>
          <w:lang w:eastAsia="zh-CN"/>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75.34</w:t>
      </w:r>
      <w:r>
        <w:rPr>
          <w:rFonts w:hint="eastAsia" w:ascii="仿宋" w:hAnsi="仿宋" w:eastAsia="仿宋" w:cs="仿宋"/>
          <w:sz w:val="32"/>
          <w:szCs w:val="32"/>
        </w:rPr>
        <w:t>万元，</w:t>
      </w:r>
      <w:r>
        <w:rPr>
          <w:rFonts w:hint="eastAsia" w:ascii="仿宋" w:hAnsi="仿宋" w:eastAsia="仿宋" w:cs="仿宋"/>
          <w:sz w:val="32"/>
          <w:szCs w:val="32"/>
          <w:lang w:val="en-US" w:eastAsia="zh-CN"/>
        </w:rPr>
        <w:t>与</w:t>
      </w:r>
      <w:r>
        <w:rPr>
          <w:rFonts w:hint="eastAsia" w:ascii="仿宋" w:hAnsi="仿宋" w:eastAsia="仿宋" w:cs="仿宋"/>
          <w:sz w:val="32"/>
          <w:szCs w:val="32"/>
        </w:rPr>
        <w:t>上年预算</w:t>
      </w:r>
      <w:r>
        <w:rPr>
          <w:rFonts w:hint="eastAsia" w:ascii="仿宋" w:hAnsi="仿宋" w:eastAsia="仿宋" w:cs="仿宋"/>
          <w:sz w:val="32"/>
          <w:szCs w:val="32"/>
          <w:lang w:val="en-US" w:eastAsia="zh-CN"/>
        </w:rPr>
        <w:t>相比，增加39.39万元</w:t>
      </w:r>
      <w:r>
        <w:rPr>
          <w:rFonts w:hint="eastAsia" w:ascii="仿宋" w:hAnsi="仿宋" w:eastAsia="仿宋" w:cs="仿宋"/>
          <w:sz w:val="32"/>
          <w:szCs w:val="32"/>
          <w:lang w:eastAsia="zh-CN"/>
        </w:rPr>
        <w:t>；</w:t>
      </w:r>
    </w:p>
    <w:p>
      <w:pPr>
        <w:spacing w:line="578" w:lineRule="exact"/>
        <w:ind w:firstLine="630"/>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0.36</w:t>
      </w:r>
      <w:r>
        <w:rPr>
          <w:rFonts w:hint="eastAsia" w:ascii="仿宋" w:hAnsi="仿宋" w:eastAsia="仿宋" w:cs="仿宋"/>
          <w:sz w:val="32"/>
          <w:szCs w:val="32"/>
        </w:rPr>
        <w:t>万元，与上年预算</w:t>
      </w:r>
      <w:r>
        <w:rPr>
          <w:rFonts w:hint="eastAsia" w:ascii="仿宋" w:hAnsi="仿宋" w:eastAsia="仿宋" w:cs="仿宋"/>
          <w:sz w:val="32"/>
          <w:szCs w:val="32"/>
          <w:lang w:val="en-US" w:eastAsia="zh-CN"/>
        </w:rPr>
        <w:t>相比，增加0.11万元</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val="en-US" w:eastAsia="zh-CN"/>
        </w:rPr>
        <w:t>屯昌县西昌镇南田幼儿园2025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30"/>
        <w:rPr>
          <w:rFonts w:hint="eastAsia" w:ascii="仿宋" w:hAnsi="仿宋" w:eastAsia="仿宋" w:cs="仿宋"/>
          <w:sz w:val="32"/>
          <w:szCs w:val="32"/>
          <w:lang w:val="en-US" w:eastAsia="zh-CN"/>
        </w:rPr>
      </w:pPr>
      <w:r>
        <w:rPr>
          <w:rFonts w:hint="eastAsia" w:ascii="楷体" w:hAnsi="楷体" w:eastAsia="楷体"/>
          <w:sz w:val="32"/>
          <w:szCs w:val="32"/>
          <w:lang w:val="en-US" w:eastAsia="zh-CN"/>
        </w:rPr>
        <w:t>（一）屯昌县西昌镇镇南田心幼儿园2025年一般公共预算“三公”经费预算数为0万元，与上年预算持平。</w:t>
      </w:r>
    </w:p>
    <w:p>
      <w:pPr>
        <w:spacing w:line="578" w:lineRule="exact"/>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因公出国（境）经费0万元，与上年预算持平。</w:t>
      </w:r>
    </w:p>
    <w:p>
      <w:pPr>
        <w:spacing w:line="578" w:lineRule="exact"/>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公务用车购置及运行费0万元（其中，公务用车购置费0万元，公务用车运行费0万元），与上年预算持平。</w:t>
      </w:r>
    </w:p>
    <w:p>
      <w:pPr>
        <w:spacing w:line="578" w:lineRule="exact"/>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（二）屯昌县西昌镇南田幼儿园2025年政府性基金预算“三公”经费预算数为0万元，其中：</w:t>
      </w:r>
    </w:p>
    <w:p>
      <w:pPr>
        <w:spacing w:line="578" w:lineRule="exact"/>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因公出国（境）经费0万元，与上年预算持平</w:t>
      </w:r>
    </w:p>
    <w:p>
      <w:pPr>
        <w:spacing w:line="578" w:lineRule="exact"/>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公务用车购置及运行费0万元（其中，公务用车购置费0万元，公务用车运行费0万元），与上年预算持平。</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val="en-US" w:eastAsia="zh-CN"/>
        </w:rPr>
        <w:t>屯昌县西昌镇南田幼儿园2025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屯昌县西昌镇南田心幼儿园</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年政府性基金预算当年拨款0万元，比上年预算数持平。</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（二）政府性基金预算当年拨款结构情况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无政府性资金预算。</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（三）政府性基金预算当年拨款具体使用情况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无政府性资金预算。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val="en-US" w:eastAsia="zh-CN"/>
        </w:rPr>
        <w:t>屯昌县西昌镇南田幼儿园2025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按照综合预算原则，屯昌县西昌镇南田幼儿园所有收入和支出均纳入部门预算管理。收入包括：一般公共预算收入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cs="仿宋_GB2312"/>
          <w:sz w:val="32"/>
          <w:szCs w:val="32"/>
        </w:rPr>
        <w:t>屯昌县西昌镇南田幼儿园</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77.99</w:t>
      </w:r>
      <w:r>
        <w:rPr>
          <w:rFonts w:hint="eastAsia" w:ascii="仿宋_GB2312" w:hAnsi="黑体" w:eastAsia="仿宋_GB2312"/>
          <w:sz w:val="32"/>
          <w:szCs w:val="32"/>
        </w:rPr>
        <w:t>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val="en-US" w:eastAsia="zh-CN"/>
        </w:rPr>
        <w:t>屯昌县西昌镇南田幼儿园2025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屯昌县西昌镇南田幼儿园</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年收入预算</w:t>
      </w:r>
      <w:r>
        <w:rPr>
          <w:rFonts w:hint="eastAsia" w:ascii="仿宋" w:hAnsi="仿宋" w:eastAsia="仿宋" w:cs="仿宋"/>
          <w:sz w:val="32"/>
          <w:szCs w:val="32"/>
          <w:lang w:val="en-US" w:eastAsia="zh-CN"/>
        </w:rPr>
        <w:t>77.99</w:t>
      </w:r>
      <w:r>
        <w:rPr>
          <w:rFonts w:hint="eastAsia" w:ascii="仿宋" w:hAnsi="仿宋" w:eastAsia="仿宋" w:cs="仿宋"/>
          <w:sz w:val="32"/>
          <w:szCs w:val="32"/>
        </w:rPr>
        <w:t>万元，其中：上年结转</w:t>
      </w:r>
      <w:r>
        <w:rPr>
          <w:rFonts w:hint="eastAsia" w:ascii="仿宋" w:hAnsi="仿宋" w:eastAsia="仿宋" w:cs="仿宋"/>
          <w:sz w:val="32"/>
          <w:szCs w:val="32"/>
          <w:lang w:val="en-US" w:eastAsia="zh-CN"/>
        </w:rPr>
        <w:t>2.17</w:t>
      </w:r>
      <w:r>
        <w:rPr>
          <w:rFonts w:hint="eastAsia" w:ascii="仿宋" w:hAnsi="仿宋" w:eastAsia="仿宋" w:cs="仿宋"/>
          <w:sz w:val="32"/>
          <w:szCs w:val="32"/>
        </w:rPr>
        <w:t>万元，占</w:t>
      </w:r>
      <w:r>
        <w:rPr>
          <w:rFonts w:hint="eastAsia" w:ascii="仿宋" w:hAnsi="仿宋" w:eastAsia="仿宋" w:cs="仿宋"/>
          <w:sz w:val="32"/>
          <w:szCs w:val="32"/>
          <w:lang w:val="en-US" w:eastAsia="zh-CN"/>
        </w:rPr>
        <w:t>2.8</w:t>
      </w:r>
      <w:r>
        <w:rPr>
          <w:rFonts w:hint="eastAsia" w:ascii="仿宋" w:hAnsi="仿宋" w:eastAsia="仿宋" w:cs="仿宋"/>
          <w:sz w:val="32"/>
          <w:szCs w:val="32"/>
        </w:rPr>
        <w:t>%；一般公共预算收入</w:t>
      </w:r>
      <w:r>
        <w:rPr>
          <w:rFonts w:hint="eastAsia" w:ascii="仿宋" w:hAnsi="仿宋" w:eastAsia="仿宋" w:cs="仿宋"/>
          <w:sz w:val="32"/>
          <w:szCs w:val="32"/>
          <w:lang w:val="en-US" w:eastAsia="zh-CN"/>
        </w:rPr>
        <w:t>75.81</w:t>
      </w:r>
      <w:r>
        <w:rPr>
          <w:rFonts w:hint="eastAsia" w:ascii="仿宋" w:hAnsi="仿宋" w:eastAsia="仿宋" w:cs="仿宋"/>
          <w:sz w:val="32"/>
          <w:szCs w:val="32"/>
        </w:rPr>
        <w:t>万元，占</w:t>
      </w:r>
      <w:r>
        <w:rPr>
          <w:rFonts w:hint="eastAsia" w:ascii="仿宋" w:hAnsi="仿宋" w:eastAsia="仿宋" w:cs="仿宋"/>
          <w:sz w:val="32"/>
          <w:szCs w:val="32"/>
          <w:lang w:val="en-US" w:eastAsia="zh-CN"/>
        </w:rPr>
        <w:t>97.2</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val="en-US" w:eastAsia="zh-CN"/>
        </w:rPr>
        <w:t>屯昌县西昌镇南田幼儿园2025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屯昌县西昌镇南田幼儿园</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77.99</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75.69</w:t>
      </w:r>
      <w:r>
        <w:rPr>
          <w:rFonts w:hint="eastAsia" w:ascii="仿宋" w:hAnsi="仿宋" w:eastAsia="仿宋" w:cs="仿宋"/>
          <w:sz w:val="32"/>
          <w:szCs w:val="32"/>
        </w:rPr>
        <w:t>万元，占</w:t>
      </w:r>
      <w:r>
        <w:rPr>
          <w:rFonts w:hint="eastAsia" w:ascii="仿宋" w:hAnsi="仿宋" w:eastAsia="仿宋" w:cs="仿宋"/>
          <w:sz w:val="32"/>
          <w:szCs w:val="32"/>
          <w:lang w:val="en-US" w:eastAsia="zh-CN"/>
        </w:rPr>
        <w:t>97</w:t>
      </w:r>
      <w:r>
        <w:rPr>
          <w:rFonts w:hint="eastAsia" w:ascii="仿宋" w:hAnsi="仿宋" w:eastAsia="仿宋" w:cs="仿宋"/>
          <w:sz w:val="32"/>
          <w:szCs w:val="32"/>
        </w:rPr>
        <w:t>%；项目支出</w:t>
      </w:r>
      <w:r>
        <w:rPr>
          <w:rFonts w:hint="eastAsia" w:ascii="仿宋" w:hAnsi="仿宋" w:eastAsia="仿宋" w:cs="仿宋"/>
          <w:sz w:val="32"/>
          <w:szCs w:val="32"/>
          <w:lang w:val="en-US" w:eastAsia="zh-CN"/>
        </w:rPr>
        <w:t>2.29</w:t>
      </w:r>
      <w:r>
        <w:rPr>
          <w:rFonts w:hint="eastAsia" w:ascii="仿宋" w:hAnsi="仿宋" w:eastAsia="仿宋" w:cs="仿宋"/>
          <w:sz w:val="32"/>
          <w:szCs w:val="32"/>
        </w:rPr>
        <w:t>万元，占</w:t>
      </w:r>
      <w:r>
        <w:rPr>
          <w:rFonts w:hint="eastAsia" w:ascii="仿宋" w:hAnsi="仿宋" w:eastAsia="仿宋" w:cs="仿宋"/>
          <w:sz w:val="32"/>
          <w:szCs w:val="32"/>
          <w:lang w:val="en-US" w:eastAsia="zh-CN"/>
        </w:rPr>
        <w:t>3</w:t>
      </w:r>
      <w:r>
        <w:rPr>
          <w:rFonts w:hint="eastAsia" w:ascii="仿宋" w:hAnsi="仿宋" w:eastAsia="仿宋" w:cs="仿宋"/>
          <w:sz w:val="32"/>
          <w:szCs w:val="32"/>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cs="仿宋_GB2312"/>
          <w:sz w:val="32"/>
          <w:szCs w:val="32"/>
        </w:rPr>
      </w:pPr>
      <w:r>
        <w:rPr>
          <w:rFonts w:hint="eastAsia" w:ascii="仿宋" w:hAnsi="仿宋" w:eastAsia="仿宋" w:cs="仿宋"/>
          <w:color w:val="000000"/>
          <w:kern w:val="0"/>
          <w:sz w:val="32"/>
          <w:szCs w:val="30"/>
          <w:lang w:eastAsia="zh-CN"/>
        </w:rPr>
        <w:t>202</w:t>
      </w:r>
      <w:r>
        <w:rPr>
          <w:rFonts w:hint="eastAsia" w:ascii="仿宋" w:hAnsi="仿宋" w:eastAsia="仿宋" w:cs="仿宋"/>
          <w:color w:val="000000"/>
          <w:kern w:val="0"/>
          <w:sz w:val="32"/>
          <w:szCs w:val="30"/>
          <w:lang w:val="en-US" w:eastAsia="zh-CN"/>
        </w:rPr>
        <w:t>5</w:t>
      </w:r>
      <w:r>
        <w:rPr>
          <w:rFonts w:hint="eastAsia" w:ascii="仿宋" w:hAnsi="仿宋" w:eastAsia="仿宋" w:cs="仿宋"/>
          <w:color w:val="000000"/>
          <w:kern w:val="0"/>
          <w:sz w:val="32"/>
          <w:szCs w:val="30"/>
        </w:rPr>
        <w:t>年屯昌县西昌镇南田心幼儿园本级机关运行经费预算0万元。</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（二）政府采购情况</w:t>
      </w:r>
    </w:p>
    <w:p>
      <w:pPr>
        <w:ind w:firstLine="640" w:firstLineChars="200"/>
        <w:rPr>
          <w:rFonts w:hint="eastAsia" w:ascii="仿宋" w:hAnsi="仿宋" w:eastAsia="仿宋" w:cs="仿宋"/>
          <w:color w:val="000000"/>
          <w:kern w:val="0"/>
          <w:sz w:val="32"/>
          <w:szCs w:val="30"/>
          <w:lang w:eastAsia="zh-CN"/>
        </w:rPr>
      </w:pPr>
      <w:r>
        <w:rPr>
          <w:rFonts w:hint="eastAsia" w:ascii="仿宋" w:hAnsi="仿宋" w:eastAsia="仿宋" w:cs="仿宋"/>
          <w:color w:val="000000"/>
          <w:kern w:val="0"/>
          <w:sz w:val="32"/>
          <w:szCs w:val="30"/>
          <w:lang w:eastAsia="zh-CN"/>
        </w:rPr>
        <w:t>202</w:t>
      </w:r>
      <w:r>
        <w:rPr>
          <w:rFonts w:hint="eastAsia" w:ascii="仿宋" w:hAnsi="仿宋" w:eastAsia="仿宋" w:cs="仿宋"/>
          <w:color w:val="000000"/>
          <w:kern w:val="0"/>
          <w:sz w:val="32"/>
          <w:szCs w:val="30"/>
          <w:lang w:val="en-US" w:eastAsia="zh-CN"/>
        </w:rPr>
        <w:t>5</w:t>
      </w:r>
      <w:r>
        <w:rPr>
          <w:rFonts w:hint="eastAsia" w:ascii="仿宋" w:hAnsi="仿宋" w:eastAsia="仿宋" w:cs="仿宋"/>
          <w:color w:val="000000"/>
          <w:kern w:val="0"/>
          <w:sz w:val="32"/>
          <w:szCs w:val="30"/>
          <w:lang w:eastAsia="zh-CN"/>
        </w:rPr>
        <w:t>年屯昌县西昌镇南田幼儿园本级及下属各预算单位无政府采购预算。</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截至202</w:t>
      </w:r>
      <w:r>
        <w:rPr>
          <w:rFonts w:hint="eastAsia" w:ascii="仿宋" w:hAnsi="仿宋" w:eastAsia="仿宋" w:cs="仿宋"/>
          <w:color w:val="000000"/>
          <w:kern w:val="0"/>
          <w:sz w:val="32"/>
          <w:szCs w:val="30"/>
          <w:lang w:val="en-US" w:eastAsia="zh-CN"/>
        </w:rPr>
        <w:t>4</w:t>
      </w:r>
      <w:r>
        <w:rPr>
          <w:rFonts w:hint="eastAsia" w:ascii="仿宋" w:hAnsi="仿宋" w:eastAsia="仿宋" w:cs="仿宋"/>
          <w:color w:val="000000"/>
          <w:kern w:val="0"/>
          <w:sz w:val="32"/>
          <w:szCs w:val="30"/>
        </w:rPr>
        <w:t>年12月31日，屯昌县西昌镇南田心幼儿园本级及下属各预算单位共有车辆0辆，其中，领导干部用车0辆，机要通信应急用车0辆、一般执法执勤用车0辆、特种专业技术用车0辆、其他用车0辆。单位价值100万元以上设备0台（套）。</w:t>
      </w:r>
    </w:p>
    <w:p>
      <w:pPr>
        <w:spacing w:line="578" w:lineRule="exact"/>
        <w:ind w:firstLine="640" w:firstLineChars="200"/>
        <w:rPr>
          <w:rFonts w:hint="eastAsia"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lang w:eastAsia="zh-CN"/>
        </w:rPr>
        <w:t>202</w:t>
      </w:r>
      <w:r>
        <w:rPr>
          <w:rFonts w:hint="eastAsia" w:ascii="仿宋" w:hAnsi="仿宋" w:eastAsia="仿宋" w:cs="仿宋"/>
          <w:color w:val="000000"/>
          <w:kern w:val="0"/>
          <w:sz w:val="32"/>
          <w:szCs w:val="30"/>
          <w:lang w:val="en-US" w:eastAsia="zh-CN"/>
        </w:rPr>
        <w:t>5</w:t>
      </w:r>
      <w:r>
        <w:rPr>
          <w:rFonts w:hint="eastAsia" w:ascii="仿宋" w:hAnsi="仿宋" w:eastAsia="仿宋" w:cs="仿宋"/>
          <w:color w:val="000000"/>
          <w:kern w:val="0"/>
          <w:sz w:val="32"/>
          <w:szCs w:val="30"/>
        </w:rPr>
        <w:t>年屯昌县西昌镇南田幼儿园1个项目实行绩效目标管理，涉及一般公共预算</w:t>
      </w:r>
      <w:r>
        <w:rPr>
          <w:rFonts w:hint="eastAsia" w:ascii="仿宋" w:hAnsi="仿宋" w:eastAsia="仿宋" w:cs="仿宋"/>
          <w:color w:val="000000"/>
          <w:kern w:val="0"/>
          <w:sz w:val="32"/>
          <w:szCs w:val="30"/>
          <w:lang w:val="en-US" w:eastAsia="zh-CN"/>
        </w:rPr>
        <w:t>77.99</w:t>
      </w:r>
      <w:r>
        <w:rPr>
          <w:rFonts w:hint="eastAsia" w:ascii="仿宋" w:hAnsi="仿宋" w:eastAsia="仿宋" w:cs="仿宋"/>
          <w:color w:val="000000"/>
          <w:kern w:val="0"/>
          <w:sz w:val="32"/>
          <w:szCs w:val="30"/>
        </w:rPr>
        <w:t>万元。</w:t>
      </w:r>
    </w:p>
    <w:p>
      <w:pPr>
        <w:spacing w:line="578" w:lineRule="exact"/>
        <w:jc w:val="both"/>
        <w:rPr>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1350" w:hanging="720"/>
      </w:pPr>
      <w:rPr>
        <w:rFonts w:hint="default"/>
      </w:rPr>
    </w:lvl>
    <w:lvl w:ilvl="1" w:tentative="0">
      <w:start w:val="1"/>
      <w:numFmt w:val="lowerLetter"/>
      <w:lvlText w:val="%2)"/>
      <w:lvlJc w:val="left"/>
      <w:pPr>
        <w:ind w:left="630" w:hanging="420"/>
      </w:pPr>
    </w:lvl>
    <w:lvl w:ilvl="2" w:tentative="0">
      <w:start w:val="1"/>
      <w:numFmt w:val="lowerRoman"/>
      <w:lvlText w:val="%3."/>
      <w:lvlJc w:val="right"/>
      <w:pPr>
        <w:ind w:left="1050" w:hanging="420"/>
      </w:pPr>
    </w:lvl>
    <w:lvl w:ilvl="3" w:tentative="0">
      <w:start w:val="1"/>
      <w:numFmt w:val="decimal"/>
      <w:lvlText w:val="%4."/>
      <w:lvlJc w:val="left"/>
      <w:pPr>
        <w:ind w:left="1470" w:hanging="420"/>
      </w:pPr>
    </w:lvl>
    <w:lvl w:ilvl="4" w:tentative="0">
      <w:start w:val="1"/>
      <w:numFmt w:val="lowerLetter"/>
      <w:lvlText w:val="%5)"/>
      <w:lvlJc w:val="left"/>
      <w:pPr>
        <w:ind w:left="1890" w:hanging="420"/>
      </w:pPr>
    </w:lvl>
    <w:lvl w:ilvl="5" w:tentative="0">
      <w:start w:val="1"/>
      <w:numFmt w:val="lowerRoman"/>
      <w:lvlText w:val="%6."/>
      <w:lvlJc w:val="right"/>
      <w:pPr>
        <w:ind w:left="2310" w:hanging="420"/>
      </w:pPr>
    </w:lvl>
    <w:lvl w:ilvl="6" w:tentative="0">
      <w:start w:val="1"/>
      <w:numFmt w:val="decimal"/>
      <w:lvlText w:val="%7."/>
      <w:lvlJc w:val="left"/>
      <w:pPr>
        <w:ind w:left="2730" w:hanging="420"/>
      </w:pPr>
    </w:lvl>
    <w:lvl w:ilvl="7" w:tentative="0">
      <w:start w:val="1"/>
      <w:numFmt w:val="lowerLetter"/>
      <w:lvlText w:val="%8)"/>
      <w:lvlJc w:val="left"/>
      <w:pPr>
        <w:ind w:left="3150" w:hanging="420"/>
      </w:pPr>
    </w:lvl>
    <w:lvl w:ilvl="8" w:tentative="0">
      <w:start w:val="1"/>
      <w:numFmt w:val="lowerRoman"/>
      <w:lvlText w:val="%9."/>
      <w:lvlJc w:val="right"/>
      <w:pPr>
        <w:ind w:left="357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056F56DA"/>
    <w:rsid w:val="06E726F5"/>
    <w:rsid w:val="10A61577"/>
    <w:rsid w:val="11A166D1"/>
    <w:rsid w:val="162C2A0E"/>
    <w:rsid w:val="1DCE1D86"/>
    <w:rsid w:val="244737F4"/>
    <w:rsid w:val="262E1B3A"/>
    <w:rsid w:val="277748FA"/>
    <w:rsid w:val="27BC6BC3"/>
    <w:rsid w:val="2A3A6E0B"/>
    <w:rsid w:val="31C50ADC"/>
    <w:rsid w:val="32756AB0"/>
    <w:rsid w:val="3A67027C"/>
    <w:rsid w:val="4098797E"/>
    <w:rsid w:val="41CF6AC6"/>
    <w:rsid w:val="42486EBE"/>
    <w:rsid w:val="426717F2"/>
    <w:rsid w:val="470E755F"/>
    <w:rsid w:val="4D8C06D3"/>
    <w:rsid w:val="4E5320A3"/>
    <w:rsid w:val="57257492"/>
    <w:rsid w:val="5E8472FA"/>
    <w:rsid w:val="5FBC13CE"/>
    <w:rsid w:val="6032162E"/>
    <w:rsid w:val="62B50374"/>
    <w:rsid w:val="69306D8F"/>
    <w:rsid w:val="6CB30205"/>
    <w:rsid w:val="6D6C4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rPr>
      <w:rFonts w:cs="Times New Roman"/>
      <w:sz w:val="24"/>
      <w:szCs w:val="24"/>
    </w:rPr>
  </w:style>
  <w:style w:type="paragraph" w:customStyle="1" w:styleId="6">
    <w:name w:val="List Paragraph"/>
    <w:basedOn w:val="1"/>
    <w:qFormat/>
    <w:uiPriority w:val="34"/>
    <w:pPr>
      <w:ind w:firstLine="420" w:firstLineChars="200"/>
    </w:pPr>
  </w:style>
  <w:style w:type="paragraph" w:customStyle="1" w:styleId="7">
    <w:name w:val="列出段落11"/>
    <w:basedOn w:val="1"/>
    <w:qFormat/>
    <w:uiPriority w:val="34"/>
    <w:pPr>
      <w:ind w:firstLine="420" w:firstLineChars="200"/>
    </w:pPr>
  </w:style>
  <w:style w:type="paragraph" w:customStyle="1" w:styleId="8">
    <w:name w:val="列出段落1"/>
    <w:basedOn w:val="1"/>
    <w:qFormat/>
    <w:uiPriority w:val="34"/>
    <w:pPr>
      <w:ind w:firstLine="420" w:firstLineChars="200"/>
    </w:pPr>
  </w:style>
  <w:style w:type="character" w:customStyle="1" w:styleId="9">
    <w:name w:val="15"/>
    <w:basedOn w:val="5"/>
    <w:qFormat/>
    <w:uiPriority w:val="0"/>
    <w:rPr>
      <w:rFonts w:hint="default" w:ascii="Times New Roman" w:hAnsi="Times New Roman" w:cs="Times New Roman"/>
      <w:color w:val="00000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县教育局收发员</cp:lastModifiedBy>
  <dcterms:modified xsi:type="dcterms:W3CDTF">2025-04-18T08:05:13Z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