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屯昌县屯城镇中心幼儿园</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屯昌县屯城镇中心幼儿园</w:t>
      </w:r>
      <w:r>
        <w:rPr>
          <w:rFonts w:hint="eastAsia" w:ascii="黑体" w:hAnsi="黑体" w:eastAsia="黑体"/>
          <w:sz w:val="32"/>
          <w:szCs w:val="32"/>
        </w:rPr>
        <w:t>单位概况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屯昌县屯城镇中心幼儿园</w:t>
      </w:r>
      <w:r>
        <w:rPr>
          <w:rFonts w:hint="eastAsia" w:ascii="黑体" w:hAnsi="黑体" w:eastAsia="黑体"/>
          <w:sz w:val="32"/>
          <w:szCs w:val="32"/>
        </w:rPr>
        <w:t>单位概况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（一）实行保育和教育相结合的原则，为家长解除后顾之忧，</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热忧为家长服务。</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（二）为儿童提供健康、丰富的生活和活动环境，促进幼儿体智德美等和谐发展，全面实施素质教育。</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（三）严格执行幼儿园安全、卫生保健制度，保证幼儿身心健康和生命安全。</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（四）充分利用幼儿和社区的资源优势，面向家长开展多种形式的早期教育宣传、指导等服务，促进家庭教育质量的不断提高。</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（五）贯彻幼儿教育法规、传播科学教育理念、开展教育科学研究、培训师资，发挥示范性幼儿园的示范、辐射作用。</w:t>
      </w:r>
    </w:p>
    <w:p>
      <w:pPr>
        <w:pStyle w:val="6"/>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（六）承办上级主管部门交办的其他工作。</w:t>
      </w:r>
    </w:p>
    <w:p>
      <w:pPr>
        <w:pStyle w:val="6"/>
        <w:ind w:firstLine="0"/>
        <w:rPr>
          <w:rFonts w:ascii="仿宋_GB2312" w:hAnsi="黑体" w:eastAsia="仿宋_GB2312" w:cs="仿宋_GB2312"/>
          <w:sz w:val="32"/>
          <w:szCs w:val="32"/>
        </w:rPr>
      </w:pPr>
      <w:r>
        <w:rPr>
          <w:rFonts w:hint="eastAsia" w:ascii="仿宋_GB2312" w:hAnsi="黑体" w:eastAsia="仿宋_GB2312" w:cs="仿宋_GB2312"/>
          <w:sz w:val="32"/>
          <w:szCs w:val="32"/>
        </w:rPr>
        <w:t>备注：因为机构改革，新的三定方案还没有正式印发，部门职责暂按原先的内容公示。</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pStyle w:val="5"/>
        <w:ind w:left="0" w:leftChars="0"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纳入屯昌县屯城镇中心幼儿园</w:t>
      </w:r>
      <w:r>
        <w:rPr>
          <w:rFonts w:hint="eastAsia" w:ascii="仿宋_GB2312" w:hAnsi="黑体" w:eastAsia="仿宋_GB2312" w:cs="仿宋_GB2312"/>
          <w:sz w:val="32"/>
          <w:szCs w:val="32"/>
          <w:lang w:val="en-US" w:eastAsia="zh-CN"/>
        </w:rPr>
        <w:t>2024</w:t>
      </w:r>
      <w:r>
        <w:rPr>
          <w:rFonts w:hint="eastAsia" w:ascii="仿宋_GB2312" w:hAnsi="黑体" w:eastAsia="仿宋_GB2312" w:cs="仿宋_GB2312"/>
          <w:sz w:val="32"/>
          <w:szCs w:val="32"/>
        </w:rPr>
        <w:t>年部门预算编制范围的二级预算单位包括：屯昌县屯城镇中心幼儿园</w:t>
      </w:r>
      <w:r>
        <w:rPr>
          <w:rFonts w:hint="eastAsia" w:ascii="仿宋_GB2312" w:hAnsi="黑体" w:eastAsia="仿宋_GB2312" w:cs="仿宋_GB2312"/>
          <w:sz w:val="32"/>
          <w:szCs w:val="32"/>
          <w:lang w:eastAsia="zh-CN"/>
        </w:rPr>
        <w:t>。</w:t>
      </w:r>
    </w:p>
    <w:p>
      <w:pPr>
        <w:pStyle w:val="5"/>
        <w:ind w:left="0" w:leftChars="0" w:firstLine="640" w:firstLineChars="200"/>
        <w:rPr>
          <w:rFonts w:hint="eastAsia" w:ascii="仿宋_GB2312" w:hAnsi="黑体" w:eastAsia="仿宋_GB2312" w:cs="仿宋_GB2312"/>
          <w:sz w:val="32"/>
          <w:szCs w:val="32"/>
          <w:lang w:eastAsia="zh-CN"/>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屯昌县屯城镇中心幼儿园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年财政拨款收支总预算427.13万元。其中，收入总计427.13万元，包括一般公共预算本年收入392.09万元、上年结转</w:t>
      </w:r>
      <w:r>
        <w:rPr>
          <w:rFonts w:hint="eastAsia" w:ascii="仿宋" w:hAnsi="仿宋" w:eastAsia="仿宋" w:cs="仿宋"/>
          <w:sz w:val="32"/>
          <w:szCs w:val="32"/>
          <w:lang w:val="en-US" w:eastAsia="zh-CN"/>
        </w:rPr>
        <w:t>35.04</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万元；支出总计427.13万元，包括一般公共服务支出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万元、外交支出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万元、国防支出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万元、教育支出302.55万元</w:t>
      </w:r>
      <w:r>
        <w:rPr>
          <w:rFonts w:hint="eastAsia" w:ascii="仿宋" w:hAnsi="仿宋" w:eastAsia="仿宋" w:cs="仿宋"/>
          <w:sz w:val="32"/>
          <w:szCs w:val="32"/>
          <w:lang w:eastAsia="zh-CN"/>
        </w:rPr>
        <w:t>、社会保障和就业支出54.33</w:t>
      </w:r>
      <w:r>
        <w:rPr>
          <w:rFonts w:hint="eastAsia" w:ascii="仿宋" w:hAnsi="仿宋" w:eastAsia="仿宋" w:cs="仿宋"/>
          <w:sz w:val="32"/>
          <w:szCs w:val="32"/>
        </w:rPr>
        <w:t>万元</w:t>
      </w:r>
      <w:r>
        <w:rPr>
          <w:rFonts w:hint="eastAsia" w:ascii="仿宋" w:hAnsi="仿宋" w:eastAsia="仿宋" w:cs="仿宋"/>
          <w:sz w:val="32"/>
          <w:szCs w:val="32"/>
          <w:lang w:eastAsia="zh-CN"/>
        </w:rPr>
        <w:t>、卫生健康支出39.41</w:t>
      </w:r>
      <w:r>
        <w:rPr>
          <w:rFonts w:hint="eastAsia" w:ascii="仿宋" w:hAnsi="仿宋" w:eastAsia="仿宋" w:cs="仿宋"/>
          <w:sz w:val="32"/>
          <w:szCs w:val="32"/>
        </w:rPr>
        <w:t>万元</w:t>
      </w:r>
      <w:r>
        <w:rPr>
          <w:rFonts w:hint="eastAsia" w:ascii="仿宋" w:hAnsi="仿宋" w:eastAsia="仿宋" w:cs="仿宋"/>
          <w:sz w:val="32"/>
          <w:szCs w:val="32"/>
          <w:lang w:eastAsia="zh-CN"/>
        </w:rPr>
        <w:t>、住房保障支出30.85</w:t>
      </w:r>
      <w:r>
        <w:rPr>
          <w:rFonts w:hint="eastAsia" w:ascii="仿宋" w:hAnsi="仿宋" w:eastAsia="仿宋" w:cs="仿宋"/>
          <w:sz w:val="32"/>
          <w:szCs w:val="32"/>
        </w:rPr>
        <w:t>万元，结转下年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屯昌县屯城镇中心幼儿园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年一般公共预算当年拨款427.13万元，比上年预算数增加</w:t>
      </w:r>
      <w:r>
        <w:rPr>
          <w:rFonts w:hint="eastAsia" w:ascii="仿宋" w:hAnsi="仿宋" w:eastAsia="仿宋" w:cs="仿宋"/>
          <w:sz w:val="32"/>
          <w:szCs w:val="32"/>
          <w:lang w:val="en-US" w:eastAsia="zh-CN"/>
        </w:rPr>
        <w:t>44.91</w:t>
      </w:r>
      <w:r>
        <w:rPr>
          <w:rFonts w:hint="eastAsia" w:ascii="仿宋" w:hAnsi="仿宋" w:eastAsia="仿宋" w:cs="仿宋"/>
          <w:sz w:val="32"/>
          <w:szCs w:val="32"/>
        </w:rPr>
        <w:t>万元，主要是</w:t>
      </w:r>
      <w:r>
        <w:rPr>
          <w:rFonts w:hint="eastAsia" w:ascii="仿宋_GB2312" w:hAnsi="黑体" w:eastAsia="仿宋_GB2312"/>
          <w:sz w:val="32"/>
          <w:szCs w:val="32"/>
          <w:lang w:val="en-US" w:eastAsia="zh-CN"/>
        </w:rPr>
        <w:t>社会保险、住房保障</w:t>
      </w:r>
      <w:r>
        <w:rPr>
          <w:rFonts w:hint="eastAsia" w:ascii="仿宋_GB2312" w:hAnsi="黑体" w:eastAsia="仿宋_GB2312"/>
          <w:sz w:val="32"/>
          <w:szCs w:val="32"/>
          <w:lang w:eastAsia="zh-CN"/>
        </w:rPr>
        <w:t>增加。</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%；教育（类）支出302.55万元，占</w:t>
      </w:r>
      <w:r>
        <w:rPr>
          <w:rFonts w:hint="eastAsia" w:ascii="仿宋" w:hAnsi="仿宋" w:eastAsia="仿宋" w:cs="仿宋"/>
          <w:sz w:val="32"/>
          <w:szCs w:val="32"/>
          <w:lang w:val="en-US" w:eastAsia="zh-CN"/>
        </w:rPr>
        <w:t>70.83</w:t>
      </w:r>
      <w:r>
        <w:rPr>
          <w:rFonts w:hint="eastAsia" w:ascii="仿宋" w:hAnsi="仿宋" w:eastAsia="仿宋" w:cs="仿宋"/>
          <w:sz w:val="32"/>
          <w:szCs w:val="32"/>
        </w:rPr>
        <w:t>%；</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 社会保障和就业支出54.33万元，占</w:t>
      </w:r>
      <w:r>
        <w:rPr>
          <w:rFonts w:hint="eastAsia" w:ascii="仿宋_GB2312" w:hAnsi="黑体" w:eastAsia="仿宋_GB2312" w:cs="仿宋_GB2312"/>
          <w:sz w:val="32"/>
          <w:szCs w:val="32"/>
          <w:lang w:val="en-US" w:eastAsia="zh-CN"/>
        </w:rPr>
        <w:t>12.72</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 卫生健康支出</w:t>
      </w:r>
      <w:r>
        <w:rPr>
          <w:rFonts w:hint="eastAsia" w:ascii="仿宋" w:hAnsi="仿宋" w:eastAsia="仿宋" w:cs="仿宋"/>
          <w:sz w:val="32"/>
          <w:szCs w:val="32"/>
          <w:lang w:eastAsia="zh-CN"/>
        </w:rPr>
        <w:t>39.41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9.83</w:t>
      </w:r>
      <w:r>
        <w:rPr>
          <w:rFonts w:hint="eastAsia" w:ascii="仿宋_GB2312" w:hAnsi="黑体" w:eastAsia="仿宋_GB2312"/>
          <w:sz w:val="32"/>
          <w:szCs w:val="32"/>
        </w:rPr>
        <w:t>%；住房保障支出</w:t>
      </w:r>
      <w:r>
        <w:rPr>
          <w:rFonts w:hint="eastAsia" w:ascii="仿宋" w:hAnsi="仿宋" w:eastAsia="仿宋" w:cs="仿宋"/>
          <w:sz w:val="32"/>
          <w:szCs w:val="32"/>
          <w:lang w:eastAsia="zh-CN"/>
        </w:rPr>
        <w:t>30.85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7.22</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rPr>
        <w:t>1.</w:t>
      </w:r>
      <w:r>
        <w:rPr>
          <w:rFonts w:hint="eastAsia" w:ascii="仿宋_GB2312" w:hAnsi="黑体" w:eastAsia="仿宋_GB2312" w:cs="仿宋_GB2312"/>
          <w:sz w:val="32"/>
          <w:szCs w:val="32"/>
        </w:rPr>
        <w:t>教育支出（类）普通教育（款）学期教育（项）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预算数为</w:t>
      </w:r>
      <w:r>
        <w:rPr>
          <w:rFonts w:hint="eastAsia" w:ascii="仿宋" w:hAnsi="仿宋" w:eastAsia="仿宋" w:cs="仿宋"/>
          <w:sz w:val="32"/>
          <w:szCs w:val="32"/>
        </w:rPr>
        <w:t>427.13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w:t>
      </w:r>
      <w:r>
        <w:rPr>
          <w:rFonts w:hint="eastAsia" w:ascii="仿宋" w:hAnsi="仿宋" w:eastAsia="仿宋" w:cs="仿宋"/>
          <w:sz w:val="32"/>
          <w:szCs w:val="32"/>
          <w:lang w:val="en-US" w:eastAsia="zh-CN"/>
        </w:rPr>
        <w:t>44.91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社会保险、住房保障</w:t>
      </w:r>
      <w:r>
        <w:rPr>
          <w:rFonts w:hint="eastAsia" w:ascii="仿宋_GB2312" w:hAnsi="黑体" w:eastAsia="仿宋_GB2312"/>
          <w:sz w:val="32"/>
          <w:szCs w:val="32"/>
          <w:lang w:eastAsia="zh-CN"/>
        </w:rPr>
        <w:t>增加。</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屯昌县屯城镇中心幼儿园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年一般公共预算基本支出为392.06万元，其中：</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人员经费389.44万元，主要包括：基本工资、津贴补贴、奖金、社会保障缴费、住房公积金</w:t>
      </w:r>
      <w:r>
        <w:rPr>
          <w:rFonts w:hint="eastAsia" w:ascii="仿宋" w:hAnsi="仿宋" w:eastAsia="仿宋" w:cs="仿宋"/>
          <w:sz w:val="32"/>
          <w:szCs w:val="32"/>
          <w:lang w:eastAsia="zh-CN"/>
        </w:rPr>
        <w:t>、</w:t>
      </w:r>
      <w:r>
        <w:rPr>
          <w:rFonts w:hint="eastAsia" w:ascii="仿宋" w:hAnsi="仿宋" w:eastAsia="仿宋" w:cs="仿宋"/>
          <w:sz w:val="32"/>
          <w:szCs w:val="32"/>
        </w:rPr>
        <w:t>医疗费</w:t>
      </w:r>
      <w:r>
        <w:rPr>
          <w:rFonts w:hint="eastAsia" w:ascii="仿宋_GB2312" w:hAnsi="黑体" w:eastAsia="仿宋_GB2312"/>
          <w:sz w:val="32"/>
          <w:szCs w:val="32"/>
          <w:lang w:eastAsia="zh-CN"/>
        </w:rPr>
        <w:t>等</w:t>
      </w:r>
      <w:r>
        <w:rPr>
          <w:rFonts w:hint="eastAsia" w:ascii="仿宋" w:hAnsi="仿宋" w:eastAsia="仿宋" w:cs="仿宋"/>
          <w:sz w:val="32"/>
          <w:szCs w:val="32"/>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公用经费2.62万元，主要包括：商品和服务支出</w:t>
      </w:r>
      <w:r>
        <w:rPr>
          <w:rFonts w:hint="eastAsia" w:ascii="仿宋" w:hAnsi="仿宋" w:eastAsia="仿宋" w:cs="仿宋"/>
          <w:sz w:val="32"/>
          <w:szCs w:val="32"/>
          <w:lang w:eastAsia="zh-CN"/>
        </w:rPr>
        <w:t>、</w:t>
      </w:r>
      <w:r>
        <w:rPr>
          <w:rFonts w:hint="eastAsia" w:ascii="仿宋" w:hAnsi="仿宋" w:eastAsia="仿宋" w:cs="仿宋"/>
          <w:sz w:val="32"/>
          <w:szCs w:val="32"/>
        </w:rPr>
        <w:t>工会经费。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屯昌县屯城镇中心幼儿园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w:t>
      </w:r>
      <w:r>
        <w:rPr>
          <w:rFonts w:hint="eastAsia" w:ascii="仿宋" w:hAnsi="仿宋" w:eastAsia="仿宋" w:cs="仿宋"/>
          <w:sz w:val="32"/>
          <w:shd w:val="clear" w:color="auto" w:fill="FFFFFF"/>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960" w:firstLineChars="300"/>
        <w:rPr>
          <w:rFonts w:hint="eastAsia" w:ascii="仿宋_GB2312" w:hAnsi="黑体" w:eastAsia="仿宋_GB2312"/>
          <w:sz w:val="32"/>
          <w:szCs w:val="32"/>
        </w:rPr>
      </w:pPr>
      <w:r>
        <w:rPr>
          <w:rFonts w:hint="eastAsia" w:ascii="仿宋_GB2312" w:hAnsi="黑体" w:eastAsia="仿宋_GB2312"/>
          <w:sz w:val="32"/>
          <w:szCs w:val="32"/>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按照综合预算原则，屯昌县屯城镇中心幼儿园所有收入和支出均纳入部门预算管理。收入包括：一般公共预算收入、政府性基金收入、其他财政资金收入、事业收入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427.13</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rPr>
        <w:t>427.13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35.04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8.20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rPr>
        <w:t>392.09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91.80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屯昌县屯城镇中心幼儿园</w:t>
      </w:r>
      <w:r>
        <w:rPr>
          <w:rFonts w:hint="eastAsia" w:ascii="仿宋_GB2312" w:hAnsi="黑体" w:eastAsia="仿宋_GB2312" w:cs="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rPr>
        <w:t>427.13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392.06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91.80</w:t>
      </w:r>
      <w:r>
        <w:rPr>
          <w:rFonts w:hint="eastAsia" w:ascii="仿宋_GB2312" w:hAnsi="黑体" w:eastAsia="仿宋_GB2312"/>
          <w:sz w:val="32"/>
          <w:szCs w:val="32"/>
        </w:rPr>
        <w:t>%；项目支出35.07万元，占</w:t>
      </w:r>
      <w:r>
        <w:rPr>
          <w:rFonts w:hint="eastAsia" w:ascii="仿宋_GB2312" w:hAnsi="黑体" w:eastAsia="仿宋_GB2312" w:cs="仿宋_GB2312"/>
          <w:sz w:val="32"/>
          <w:szCs w:val="32"/>
          <w:lang w:val="en-US" w:eastAsia="zh-CN"/>
        </w:rPr>
        <w:t>4.4</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8.20</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社会保险、住房保障</w:t>
      </w:r>
      <w:r>
        <w:rPr>
          <w:rFonts w:hint="eastAsia" w:ascii="仿宋_GB2312" w:hAnsi="黑体" w:eastAsia="仿宋_GB2312"/>
          <w:sz w:val="32"/>
          <w:szCs w:val="32"/>
          <w:lang w:eastAsia="zh-CN"/>
        </w:rPr>
        <w:t>增加。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rPr>
        <w:t>屯昌县屯城镇中心幼儿园的机关运行经费预算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rPr>
        <w:t>屯昌县屯城镇中心幼儿园政府采购预算总额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ascii="楷体" w:hAnsi="楷体" w:eastAsia="楷体"/>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屯昌县屯城镇中心幼儿园本级及下属各预算单位共有车辆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r>
        <w:rPr>
          <w:rFonts w:hint="eastAsia" w:ascii="楷体" w:hAnsi="楷体" w:eastAsia="楷体"/>
          <w:sz w:val="32"/>
          <w:szCs w:val="32"/>
        </w:rPr>
        <w:t>（四）绩效目标设置情况</w:t>
      </w:r>
    </w:p>
    <w:p>
      <w:pPr>
        <w:ind w:firstLine="640" w:firstLineChars="200"/>
        <w:rPr>
          <w:rFonts w:hint="eastAsia" w:ascii="仿宋" w:hAnsi="仿宋" w:eastAsia="仿宋" w:cs="仿宋"/>
          <w:color w:val="000000"/>
          <w:kern w:val="0"/>
          <w:sz w:val="32"/>
          <w:szCs w:val="30"/>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屯昌县屯城镇中心幼儿园</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个项目实行绩效目标管理，涉及一般公共预算427.13</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spacing w:line="578" w:lineRule="exact"/>
        <w:ind w:firstLine="640" w:firstLineChars="200"/>
        <w:jc w:val="left"/>
        <w:rPr>
          <w:rFonts w:hint="eastAsia" w:ascii="仿宋" w:hAnsi="仿宋" w:eastAsia="仿宋" w:cs="仿宋"/>
          <w:color w:val="000000"/>
          <w:kern w:val="0"/>
          <w:sz w:val="32"/>
          <w:szCs w:val="30"/>
        </w:rPr>
      </w:pPr>
    </w:p>
    <w:p>
      <w:pPr>
        <w:spacing w:line="578" w:lineRule="exact"/>
        <w:ind w:firstLine="640" w:firstLineChars="200"/>
        <w:jc w:val="left"/>
        <w:rPr>
          <w:rFonts w:hint="eastAsia" w:ascii="仿宋" w:hAnsi="仿宋" w:eastAsia="仿宋" w:cs="仿宋"/>
          <w:color w:val="000000"/>
          <w:kern w:val="0"/>
          <w:sz w:val="32"/>
          <w:szCs w:val="30"/>
        </w:rPr>
      </w:pPr>
    </w:p>
    <w:p>
      <w:pPr>
        <w:spacing w:line="578" w:lineRule="exact"/>
        <w:ind w:firstLine="4160" w:firstLineChars="1300"/>
        <w:jc w:val="left"/>
        <w:rPr>
          <w:rFonts w:hint="eastAsia" w:ascii="仿宋" w:hAnsi="仿宋" w:eastAsia="仿宋" w:cs="仿宋"/>
          <w:color w:val="000000"/>
          <w:kern w:val="0"/>
          <w:sz w:val="32"/>
          <w:szCs w:val="30"/>
          <w:lang w:val="en-US" w:eastAsia="zh-CN"/>
        </w:rPr>
      </w:pPr>
      <w:r>
        <w:rPr>
          <w:rFonts w:hint="eastAsia" w:ascii="仿宋" w:hAnsi="仿宋" w:eastAsia="仿宋" w:cs="仿宋"/>
          <w:color w:val="000000"/>
          <w:kern w:val="0"/>
          <w:sz w:val="32"/>
          <w:szCs w:val="30"/>
          <w:lang w:val="en-US" w:eastAsia="zh-CN"/>
        </w:rPr>
        <w:t>屯昌县屯城镇中心幼儿园</w:t>
      </w:r>
    </w:p>
    <w:p>
      <w:pPr>
        <w:spacing w:line="578" w:lineRule="exact"/>
        <w:ind w:firstLine="4800" w:firstLineChars="1500"/>
        <w:jc w:val="left"/>
        <w:rPr>
          <w:rFonts w:hint="eastAsia" w:ascii="仿宋" w:hAnsi="仿宋" w:eastAsia="仿宋" w:cs="仿宋"/>
          <w:color w:val="000000"/>
          <w:kern w:val="0"/>
          <w:sz w:val="32"/>
          <w:szCs w:val="30"/>
          <w:lang w:val="en-US" w:eastAsia="zh-CN"/>
        </w:rPr>
      </w:pPr>
      <w:r>
        <w:rPr>
          <w:rFonts w:hint="eastAsia" w:ascii="仿宋" w:hAnsi="仿宋" w:eastAsia="仿宋" w:cs="仿宋"/>
          <w:color w:val="000000"/>
          <w:kern w:val="0"/>
          <w:sz w:val="32"/>
          <w:szCs w:val="30"/>
          <w:lang w:val="en-US" w:eastAsia="zh-CN"/>
        </w:rPr>
        <w:t>2025年2月27日</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3000509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11E3168"/>
    <w:rsid w:val="05A439D9"/>
    <w:rsid w:val="0B4E3A45"/>
    <w:rsid w:val="0F397C89"/>
    <w:rsid w:val="0F8E68A3"/>
    <w:rsid w:val="22CA30B0"/>
    <w:rsid w:val="262E1B3A"/>
    <w:rsid w:val="2B03706F"/>
    <w:rsid w:val="302B54DC"/>
    <w:rsid w:val="44AA2E3F"/>
    <w:rsid w:val="4C7B13B5"/>
    <w:rsid w:val="75D27875"/>
    <w:rsid w:val="7A7F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 w:type="paragraph" w:customStyle="1" w:styleId="6">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WQ</cp:lastModifiedBy>
  <dcterms:modified xsi:type="dcterms:W3CDTF">2025-02-28T01:18:37Z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