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sz w:val="52"/>
          <w:szCs w:val="52"/>
          <w:lang w:eastAsia="zh-CN"/>
        </w:rPr>
      </w:pPr>
      <w:r>
        <w:rPr>
          <w:rFonts w:hint="eastAsia"/>
          <w:sz w:val="52"/>
          <w:szCs w:val="52"/>
          <w:lang w:val="en-US" w:eastAsia="zh-CN"/>
        </w:rPr>
        <w:t>2025</w:t>
      </w:r>
      <w:r>
        <w:rPr>
          <w:rFonts w:hint="eastAsia"/>
          <w:sz w:val="52"/>
          <w:szCs w:val="52"/>
        </w:rPr>
        <w:t>年</w:t>
      </w:r>
      <w:r>
        <w:rPr>
          <w:rFonts w:hint="eastAsia"/>
          <w:sz w:val="52"/>
          <w:szCs w:val="52"/>
          <w:lang w:eastAsia="zh-CN"/>
        </w:rPr>
        <w:t>屯昌县新兴镇中心幼儿园</w:t>
      </w:r>
    </w:p>
    <w:p>
      <w:pPr>
        <w:jc w:val="center"/>
        <w:rPr>
          <w:rFonts w:hint="eastAsia" w:eastAsia="宋体"/>
          <w:sz w:val="52"/>
          <w:szCs w:val="52"/>
          <w:lang w:val="en-US" w:eastAsia="zh-CN"/>
        </w:rPr>
      </w:pPr>
      <w:r>
        <w:rPr>
          <w:rFonts w:hint="eastAsia"/>
          <w:sz w:val="52"/>
          <w:szCs w:val="52"/>
        </w:rPr>
        <w:t>单位预算</w:t>
      </w:r>
      <w:ins w:id="0" w:author="子净" w:date="2025-02-27T14:51:00Z">
        <w:r>
          <w:rPr>
            <w:rFonts w:hint="eastAsia"/>
            <w:sz w:val="52"/>
            <w:szCs w:val="52"/>
            <w:lang w:val="en-US" w:eastAsia="zh-CN"/>
          </w:rPr>
          <w:t>公开说明</w:t>
        </w:r>
      </w:ins>
      <w:bookmarkStart w:id="0" w:name="_GoBack"/>
      <w:bookmarkEnd w:id="0"/>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cs="黑体"/>
          <w:sz w:val="32"/>
          <w:szCs w:val="32"/>
          <w:lang w:eastAsia="zh-CN"/>
        </w:rPr>
        <w:t>屯昌县新兴镇中心幼儿园</w:t>
      </w:r>
      <w:r>
        <w:rPr>
          <w:rFonts w:hint="eastAsia" w:ascii="黑体" w:hAnsi="黑体" w:eastAsia="黑体"/>
          <w:sz w:val="32"/>
          <w:szCs w:val="32"/>
        </w:rPr>
        <w:t>概况</w:t>
      </w:r>
    </w:p>
    <w:p>
      <w:pPr>
        <w:pStyle w:val="6"/>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hint="eastAsia" w:ascii="黑体" w:hAnsi="黑体" w:eastAsia="黑体"/>
          <w:sz w:val="32"/>
          <w:szCs w:val="32"/>
        </w:rPr>
        <w:t>年单位单位预</w:t>
      </w:r>
      <w:r>
        <w:rPr>
          <w:rFonts w:hint="eastAsia" w:ascii="黑体" w:hAnsi="黑体" w:eastAsia="黑体"/>
          <w:sz w:val="32"/>
          <w:szCs w:val="32"/>
          <w:lang w:eastAsia="zh-CN"/>
        </w:rPr>
        <w:t>算</w:t>
      </w:r>
      <w:r>
        <w:rPr>
          <w:rFonts w:hint="eastAsia" w:ascii="黑体" w:hAnsi="黑体" w:eastAsia="黑体"/>
          <w:sz w:val="32"/>
          <w:szCs w:val="32"/>
        </w:rPr>
        <w:t>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sz w:val="32"/>
          <w:szCs w:val="32"/>
        </w:rPr>
        <w:t>名词解释</w:t>
      </w:r>
    </w:p>
    <w:p>
      <w:pPr>
        <w:pStyle w:val="6"/>
        <w:ind w:left="1320" w:firstLine="0" w:firstLineChars="0"/>
        <w:jc w:val="left"/>
        <w:rPr>
          <w:rFonts w:ascii="黑体" w:hAnsi="黑体" w:eastAsia="黑体"/>
          <w:sz w:val="32"/>
          <w:szCs w:val="32"/>
        </w:rPr>
      </w:pP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屯昌县新兴镇中心幼儿园</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1"/>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numPr>
          <w:ilvl w:val="-1"/>
          <w:numId w:val="0"/>
        </w:numPr>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（一）</w:t>
      </w:r>
      <w:r>
        <w:rPr>
          <w:rFonts w:hint="eastAsia" w:ascii="仿宋_GB2312" w:hAnsi="黑体" w:eastAsia="仿宋_GB2312" w:cs="仿宋_GB2312"/>
          <w:sz w:val="32"/>
          <w:szCs w:val="32"/>
        </w:rPr>
        <w:t>实行保育</w:t>
      </w:r>
      <w:r>
        <w:rPr>
          <w:rFonts w:ascii="仿宋_GB2312" w:hAnsi="黑体" w:eastAsia="仿宋_GB2312" w:cs="仿宋_GB2312"/>
          <w:sz w:val="32"/>
          <w:szCs w:val="32"/>
        </w:rPr>
        <w:t>和教育相结合的原则，为家长解除后顾之忧</w:t>
      </w:r>
      <w:r>
        <w:rPr>
          <w:rFonts w:hint="eastAsia" w:ascii="仿宋_GB2312" w:hAnsi="黑体" w:eastAsia="仿宋_GB2312" w:cs="仿宋_GB2312"/>
          <w:sz w:val="32"/>
          <w:szCs w:val="32"/>
        </w:rPr>
        <w:t>，</w:t>
      </w:r>
      <w:r>
        <w:rPr>
          <w:rFonts w:ascii="仿宋_GB2312" w:hAnsi="黑体" w:eastAsia="仿宋_GB2312" w:cs="仿宋_GB2312"/>
          <w:sz w:val="32"/>
          <w:szCs w:val="32"/>
        </w:rPr>
        <w:t>热忱为家长服务</w:t>
      </w:r>
      <w:r>
        <w:rPr>
          <w:rFonts w:hint="eastAsia" w:ascii="仿宋_GB2312" w:hAnsi="黑体" w:eastAsia="仿宋_GB2312" w:cs="仿宋_GB2312"/>
          <w:sz w:val="32"/>
          <w:szCs w:val="32"/>
          <w:lang w:eastAsia="zh-CN"/>
        </w:rPr>
        <w:t>。</w:t>
      </w:r>
    </w:p>
    <w:p>
      <w:pPr>
        <w:numPr>
          <w:ilvl w:val="-1"/>
          <w:numId w:val="0"/>
        </w:numPr>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（二）</w:t>
      </w:r>
      <w:r>
        <w:rPr>
          <w:rFonts w:hint="eastAsia" w:ascii="仿宋_GB2312" w:hAnsi="黑体" w:eastAsia="仿宋_GB2312" w:cs="仿宋_GB2312"/>
          <w:sz w:val="32"/>
          <w:szCs w:val="32"/>
        </w:rPr>
        <w:t>为</w:t>
      </w:r>
      <w:r>
        <w:rPr>
          <w:rFonts w:ascii="仿宋_GB2312" w:hAnsi="黑体" w:eastAsia="仿宋_GB2312" w:cs="仿宋_GB2312"/>
          <w:sz w:val="32"/>
          <w:szCs w:val="32"/>
        </w:rPr>
        <w:t>儿童提供健康、丰富的生活和活动环境，促进幼儿体智德美等和谐发展，全面实施素质教育。</w:t>
      </w:r>
    </w:p>
    <w:p>
      <w:pPr>
        <w:numPr>
          <w:ilvl w:val="-1"/>
          <w:numId w:val="0"/>
        </w:numPr>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（三）严格</w:t>
      </w:r>
      <w:r>
        <w:rPr>
          <w:rFonts w:ascii="仿宋_GB2312" w:hAnsi="黑体" w:eastAsia="仿宋_GB2312" w:cs="仿宋_GB2312"/>
          <w:sz w:val="32"/>
          <w:szCs w:val="32"/>
        </w:rPr>
        <w:t>执行幼儿园安全、卫生保健制度，保证幼儿身心健康和生命安全。</w:t>
      </w:r>
    </w:p>
    <w:p>
      <w:pPr>
        <w:numPr>
          <w:ilvl w:val="-1"/>
          <w:numId w:val="0"/>
        </w:numPr>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（四）充分</w:t>
      </w:r>
      <w:r>
        <w:rPr>
          <w:rFonts w:ascii="仿宋_GB2312" w:hAnsi="黑体" w:eastAsia="仿宋_GB2312" w:cs="仿宋_GB2312"/>
          <w:sz w:val="32"/>
          <w:szCs w:val="32"/>
        </w:rPr>
        <w:t>利用幼儿和社区的资源优势，面向家长开展多种形式的早期教育宣传、指导等服务，促进家庭教育质量的不断提高。</w:t>
      </w:r>
    </w:p>
    <w:p>
      <w:pPr>
        <w:numPr>
          <w:ilvl w:val="-1"/>
          <w:numId w:val="0"/>
        </w:numPr>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（五）贯彻</w:t>
      </w:r>
      <w:r>
        <w:rPr>
          <w:rFonts w:ascii="仿宋_GB2312" w:hAnsi="黑体" w:eastAsia="仿宋_GB2312" w:cs="仿宋_GB2312"/>
          <w:sz w:val="32"/>
          <w:szCs w:val="32"/>
        </w:rPr>
        <w:t>幼儿教育法规、传播科学教育理念、开展教育科学研究、培训师资，发挥示范性幼儿园的示范、辐射作用。</w:t>
      </w:r>
    </w:p>
    <w:p>
      <w:pPr>
        <w:numPr>
          <w:ilvl w:val="-1"/>
          <w:numId w:val="0"/>
        </w:numPr>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（六）承办上级</w:t>
      </w:r>
      <w:r>
        <w:rPr>
          <w:rFonts w:ascii="仿宋_GB2312" w:hAnsi="黑体" w:eastAsia="仿宋_GB2312" w:cs="仿宋_GB2312"/>
          <w:sz w:val="32"/>
          <w:szCs w:val="32"/>
        </w:rPr>
        <w:t>主管部门交办的其他工作。</w:t>
      </w:r>
    </w:p>
    <w:p>
      <w:pPr>
        <w:numPr>
          <w:ilvl w:val="0"/>
          <w:numId w:val="0"/>
        </w:numPr>
        <w:ind w:firstLine="640" w:firstLineChars="200"/>
        <w:jc w:val="left"/>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hint="eastAsia" w:ascii="黑体" w:hAnsi="黑体" w:eastAsia="黑体"/>
          <w:sz w:val="32"/>
          <w:szCs w:val="32"/>
        </w:rPr>
        <w:t>年单位单位预算表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屯昌县新兴镇中心幼儿园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447.76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447.76</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436.10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11.67</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447.76</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313.25</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57.35</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42.88</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34.27</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436.10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5.99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sz w:val="32"/>
          <w:szCs w:val="32"/>
          <w:lang w:val="en-US" w:eastAsia="zh-CN"/>
        </w:rPr>
        <w:t>313.25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69.96%</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57.35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12.81%</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42.88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9.58%</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34.27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7.65%</w:t>
      </w:r>
      <w:r>
        <w:rPr>
          <w:rFonts w:hint="eastAsia" w:ascii="仿宋_GB2312" w:hAnsi="黑体" w:eastAsia="仿宋_GB2312"/>
          <w:sz w:val="32"/>
          <w:szCs w:val="32"/>
        </w:rPr>
        <w:t>。</w:t>
      </w:r>
    </w:p>
    <w:p>
      <w:pPr>
        <w:ind w:firstLine="800" w:firstLineChars="250"/>
        <w:rPr>
          <w:rFonts w:ascii="仿宋_GB2312" w:hAnsi="黑体" w:eastAsia="仿宋_GB2312"/>
          <w:sz w:val="32"/>
          <w:szCs w:val="32"/>
        </w:rPr>
      </w:pP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1.</w:t>
      </w:r>
      <w:r>
        <w:rPr>
          <w:rFonts w:hint="eastAsia"/>
        </w:rPr>
        <w:t xml:space="preserve"> </w:t>
      </w:r>
      <w:r>
        <w:rPr>
          <w:rFonts w:hint="eastAsia" w:ascii="仿宋_GB2312" w:hAnsi="黑体" w:eastAsia="仿宋_GB2312" w:cs="仿宋_GB2312"/>
          <w:sz w:val="32"/>
          <w:szCs w:val="32"/>
        </w:rPr>
        <w:t>教育支出（类）普通教育（款）学前教育（项）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313.25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14.81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在编教师工资增加导致</w:t>
      </w:r>
      <w:r>
        <w:rPr>
          <w:rFonts w:ascii="仿宋_GB2312" w:hAnsi="黑体" w:eastAsia="仿宋_GB2312"/>
          <w:sz w:val="32"/>
          <w:szCs w:val="32"/>
        </w:rPr>
        <w:t>人员经费</w:t>
      </w:r>
      <w:r>
        <w:rPr>
          <w:rFonts w:hint="eastAsia" w:ascii="仿宋_GB2312" w:hAnsi="黑体" w:eastAsia="仿宋_GB2312"/>
          <w:sz w:val="32"/>
          <w:szCs w:val="32"/>
          <w:lang w:eastAsia="zh-CN"/>
        </w:rPr>
        <w:t>增加</w:t>
      </w:r>
      <w:r>
        <w:rPr>
          <w:rFonts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社会保障和就业支出（类）行政事业单位养老支出（款）机关事业单位基本养老保险缴费支出（项）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38.24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9.51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在编教师养老缴费基数提高</w:t>
      </w:r>
      <w:r>
        <w:rPr>
          <w:rFonts w:ascii="仿宋_GB2312" w:hAnsi="黑体" w:eastAsia="仿宋_GB2312"/>
          <w:sz w:val="32"/>
          <w:szCs w:val="32"/>
        </w:rPr>
        <w:t>。</w:t>
      </w:r>
      <w:r>
        <w:rPr>
          <w:rFonts w:hint="eastAsia" w:ascii="仿宋_GB2312" w:hAnsi="黑体" w:eastAsia="仿宋_GB2312" w:cs="仿宋_GB2312"/>
          <w:sz w:val="32"/>
          <w:szCs w:val="32"/>
        </w:rPr>
        <w:t>机关事业单位</w:t>
      </w:r>
      <w:r>
        <w:rPr>
          <w:rFonts w:hint="eastAsia" w:ascii="仿宋_GB2312" w:hAnsi="黑体" w:eastAsia="仿宋_GB2312" w:cs="仿宋_GB2312"/>
          <w:sz w:val="32"/>
          <w:szCs w:val="32"/>
          <w:lang w:eastAsia="zh-CN"/>
        </w:rPr>
        <w:t>职业年金</w:t>
      </w:r>
      <w:r>
        <w:rPr>
          <w:rFonts w:hint="eastAsia" w:ascii="仿宋_GB2312" w:hAnsi="黑体" w:eastAsia="仿宋_GB2312" w:cs="仿宋_GB2312"/>
          <w:sz w:val="32"/>
          <w:szCs w:val="32"/>
        </w:rPr>
        <w:t>缴费支出（项）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19.12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0.3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在编教师养老缴费基数提高</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 xml:space="preserve"> 卫生健康支出（类）行政事业单位医疗（款）事业单位医疗（项）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13.18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3.63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在编教师社保单位医疗缴费比例降低</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28.56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0.8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在编教师工资增加</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1.15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0.11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体检的教师减少。</w:t>
      </w:r>
    </w:p>
    <w:p>
      <w:pPr>
        <w:ind w:firstLine="64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 xml:space="preserve"> 住房保障支出（类）住房改革支出（款）住房公积金（项）</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34.27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0.96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在编教师公积金缴费基数提高</w:t>
      </w:r>
      <w:r>
        <w:rPr>
          <w:rFonts w:hint="eastAsia" w:ascii="仿宋_GB2312" w:hAnsi="黑体" w:eastAsia="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eastAsia="zh-CN"/>
        </w:rPr>
        <w:t>435.47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432.58</w:t>
      </w:r>
      <w:r>
        <w:rPr>
          <w:rFonts w:hint="eastAsia" w:ascii="仿宋_GB2312" w:hAnsi="黑体" w:eastAsia="仿宋_GB2312"/>
          <w:sz w:val="32"/>
          <w:szCs w:val="32"/>
        </w:rPr>
        <w:t>万元，主要包括：基本工资、津贴补贴、绩效工资、机关事业单位基本养老保险缴费、</w:t>
      </w:r>
      <w:r>
        <w:rPr>
          <w:rFonts w:hint="eastAsia" w:ascii="仿宋_GB2312" w:hAnsi="黑体" w:eastAsia="仿宋_GB2312"/>
          <w:sz w:val="32"/>
          <w:szCs w:val="32"/>
          <w:lang w:eastAsia="zh-CN"/>
        </w:rPr>
        <w:t>职业年金缴费、</w:t>
      </w:r>
      <w:r>
        <w:rPr>
          <w:rFonts w:hint="eastAsia" w:ascii="仿宋_GB2312" w:hAnsi="黑体" w:eastAsia="仿宋_GB2312"/>
          <w:sz w:val="32"/>
          <w:szCs w:val="32"/>
        </w:rPr>
        <w:t>职工基本医疗保险缴费、公务员医疗补助缴费、其他社会保障缴费、住房公积金、</w:t>
      </w:r>
      <w:r>
        <w:rPr>
          <w:rFonts w:hint="eastAsia" w:ascii="仿宋_GB2312" w:hAnsi="黑体" w:eastAsia="仿宋_GB2312"/>
          <w:sz w:val="32"/>
          <w:szCs w:val="32"/>
          <w:lang w:eastAsia="zh-CN"/>
        </w:rPr>
        <w:t>医疗费、邮电费</w:t>
      </w:r>
      <w:r>
        <w:rPr>
          <w:rFonts w:hint="eastAsia" w:ascii="仿宋_GB2312" w:hAnsi="黑体" w:eastAsia="仿宋_GB2312"/>
          <w:sz w:val="32"/>
          <w:szCs w:val="32"/>
        </w:rPr>
        <w:t>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2.89</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工会经费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关于</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屯昌县新兴镇中心幼儿园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屯昌县新兴镇中心幼儿园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lang w:eastAsia="zh-CN"/>
        </w:rPr>
        <w:t>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hint="eastAsia" w:ascii="仿宋_GB2312" w:hAnsi="黑体" w:eastAsia="仿宋_GB2312" w:cs="仿宋_GB2312"/>
          <w:sz w:val="32"/>
          <w:szCs w:val="32"/>
        </w:rPr>
      </w:pP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屯昌县新兴镇中心幼儿园</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、上年结转收入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sz w:val="32"/>
          <w:szCs w:val="32"/>
          <w:lang w:eastAsia="zh-CN"/>
        </w:rPr>
        <w:t>屯昌县新兴镇中心幼儿园</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447.76</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447.76</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11.67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2.61</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436.10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97.39</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49.45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人员经费提高</w:t>
      </w:r>
      <w:r>
        <w:rPr>
          <w:rFonts w:hint="eastAsia" w:ascii="仿宋_GB2312" w:hAnsi="黑体" w:eastAsia="仿宋_GB2312"/>
          <w:sz w:val="32"/>
          <w:szCs w:val="32"/>
        </w:rPr>
        <w:t>一般公共预算收入</w:t>
      </w:r>
      <w:r>
        <w:rPr>
          <w:rFonts w:hint="eastAsia" w:ascii="仿宋_GB2312" w:hAnsi="黑体" w:eastAsia="仿宋_GB2312"/>
          <w:sz w:val="32"/>
          <w:szCs w:val="32"/>
          <w:lang w:eastAsia="zh-CN"/>
        </w:rPr>
        <w:t>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屯昌县新兴镇中心幼儿园</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447.76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eastAsia="zh-CN"/>
        </w:rPr>
        <w:t>435.47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97.26</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12.3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2.74</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13.72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人员经费增加增加基本支出增加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sz w:val="32"/>
          <w:szCs w:val="32"/>
          <w:lang w:eastAsia="zh-CN"/>
        </w:rPr>
        <w:t>屯昌县新兴镇中心幼儿园</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sz w:val="32"/>
          <w:szCs w:val="32"/>
          <w:lang w:eastAsia="zh-CN"/>
        </w:rPr>
        <w:t>屯昌县新兴镇中心幼儿园</w:t>
      </w: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政府采购预算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sz w:val="32"/>
          <w:szCs w:val="32"/>
          <w:lang w:eastAsia="zh-CN"/>
        </w:rPr>
        <w:t>屯昌县新兴镇中心幼儿园</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sz w:val="32"/>
          <w:szCs w:val="32"/>
          <w:lang w:eastAsia="zh-CN"/>
        </w:rPr>
        <w:t>屯昌县新兴镇中心幼儿园</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436.10</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十一、项目支出：指在基本支出之外为完成特定的行政工作任务或事业发展目标所发生的支出。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w:t>
      </w:r>
      <w:r>
        <w:rPr>
          <w:rFonts w:hint="eastAsia" w:ascii="仿宋_GB2312" w:hAnsi="黑体" w:eastAsia="仿宋_GB2312" w:cs="仿宋_GB2312"/>
          <w:sz w:val="32"/>
          <w:szCs w:val="32"/>
        </w:rPr>
        <w:t>教育支出（类）普通教育（款）学前教育（项）：</w:t>
      </w:r>
      <w:r>
        <w:rPr>
          <w:rFonts w:hint="eastAsia" w:ascii="仿宋_GB2312" w:hAnsi="宋体" w:eastAsia="仿宋_GB2312" w:cs="宋体"/>
          <w:color w:val="000000"/>
          <w:kern w:val="0"/>
          <w:sz w:val="32"/>
          <w:szCs w:val="30"/>
        </w:rPr>
        <w:t>反映各部门</w:t>
      </w:r>
      <w:r>
        <w:rPr>
          <w:rFonts w:ascii="仿宋_GB2312" w:hAnsi="宋体" w:eastAsia="仿宋_GB2312" w:cs="宋体"/>
          <w:color w:val="000000"/>
          <w:kern w:val="0"/>
          <w:sz w:val="32"/>
          <w:szCs w:val="30"/>
        </w:rPr>
        <w:t>举办的学前教育支出</w:t>
      </w:r>
      <w:r>
        <w:rPr>
          <w:rFonts w:hint="eastAsia" w:ascii="仿宋_GB2312" w:hAnsi="宋体" w:eastAsia="仿宋_GB2312" w:cs="宋体"/>
          <w:color w:val="000000"/>
          <w:kern w:val="0"/>
          <w:sz w:val="32"/>
          <w:szCs w:val="30"/>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w:t>
      </w:r>
      <w:r>
        <w:rPr>
          <w:rFonts w:hint="eastAsia" w:ascii="仿宋_GB2312" w:hAnsi="黑体" w:eastAsia="仿宋_GB2312" w:cs="仿宋_GB2312"/>
          <w:sz w:val="32"/>
          <w:szCs w:val="32"/>
        </w:rPr>
        <w:t>社会保障和就业支出（类）行政事业单位养老支出（款）机关事业单位基本养老保险缴费支出（项）：</w:t>
      </w:r>
      <w:r>
        <w:rPr>
          <w:rFonts w:hint="eastAsia" w:ascii="仿宋_GB2312" w:hAnsi="宋体" w:eastAsia="仿宋_GB2312" w:cs="宋体"/>
          <w:color w:val="000000"/>
          <w:kern w:val="0"/>
          <w:sz w:val="32"/>
          <w:szCs w:val="30"/>
        </w:rPr>
        <w:t>指用于单位缴纳的基本养老保险费支出。</w:t>
      </w:r>
    </w:p>
    <w:p>
      <w:pPr>
        <w:widowControl/>
        <w:spacing w:line="560" w:lineRule="exact"/>
        <w:ind w:firstLine="640" w:firstLineChars="200"/>
        <w:rPr>
          <w:rFonts w:ascii="仿宋_GB2312" w:hAnsi="黑体" w:eastAsia="仿宋_GB2312"/>
          <w:sz w:val="32"/>
          <w:szCs w:val="32"/>
        </w:rPr>
      </w:pPr>
      <w:r>
        <w:rPr>
          <w:rFonts w:hint="eastAsia" w:ascii="仿宋_GB2312" w:hAnsi="宋体" w:eastAsia="仿宋_GB2312" w:cs="宋体"/>
          <w:color w:val="000000"/>
          <w:kern w:val="0"/>
          <w:sz w:val="32"/>
          <w:szCs w:val="30"/>
        </w:rPr>
        <w:t>十六、</w:t>
      </w:r>
      <w:r>
        <w:rPr>
          <w:rFonts w:hint="eastAsia" w:ascii="仿宋_GB2312" w:hAnsi="黑体" w:eastAsia="仿宋_GB2312" w:cs="仿宋_GB2312"/>
          <w:sz w:val="32"/>
          <w:szCs w:val="32"/>
        </w:rPr>
        <w:t>卫生健康支出（类）行政事业单位医疗（款）事业单位医疗（项）：</w:t>
      </w:r>
      <w:r>
        <w:rPr>
          <w:rFonts w:hint="eastAsia" w:ascii="仿宋_GB2312" w:hAnsi="宋体" w:eastAsia="仿宋_GB2312" w:cs="宋体"/>
          <w:color w:val="000000"/>
          <w:kern w:val="0"/>
          <w:sz w:val="32"/>
          <w:szCs w:val="30"/>
        </w:rPr>
        <w:t>反映财政部门集中安排的事业单位基本医疗保险缴费经费，未参加医疗保险的事业单位的公费医疗经费，按国家规定享受离休人员待遇的医疗经费</w:t>
      </w:r>
      <w:r>
        <w:rPr>
          <w:rFonts w:hint="eastAsia" w:ascii="仿宋_GB2312" w:hAnsi="黑体" w:eastAsia="仿宋_GB2312"/>
          <w:sz w:val="32"/>
          <w:szCs w:val="32"/>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黑体" w:eastAsia="仿宋_GB2312"/>
          <w:sz w:val="32"/>
          <w:szCs w:val="32"/>
        </w:rPr>
        <w:t>十七</w:t>
      </w:r>
      <w:r>
        <w:rPr>
          <w:rFonts w:ascii="仿宋_GB2312" w:hAnsi="黑体" w:eastAsia="仿宋_GB2312"/>
          <w:sz w:val="32"/>
          <w:szCs w:val="32"/>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反映财政部门集中安排的公务员医疗补助经费。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十八</w:t>
      </w:r>
      <w:r>
        <w:rPr>
          <w:rFonts w:ascii="仿宋_GB2312" w:hAnsi="宋体" w:eastAsia="仿宋_GB2312" w:cs="宋体"/>
          <w:color w:val="000000"/>
          <w:kern w:val="0"/>
          <w:sz w:val="32"/>
          <w:szCs w:val="30"/>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反映除行政单位</w:t>
      </w:r>
      <w:r>
        <w:rPr>
          <w:rFonts w:ascii="仿宋_GB2312" w:hAnsi="宋体" w:eastAsia="仿宋_GB2312" w:cs="宋体"/>
          <w:color w:val="000000"/>
          <w:kern w:val="0"/>
          <w:sz w:val="32"/>
          <w:szCs w:val="30"/>
        </w:rPr>
        <w:t>医疗、</w:t>
      </w:r>
      <w:r>
        <w:rPr>
          <w:rFonts w:hint="eastAsia" w:ascii="仿宋_GB2312" w:hAnsi="黑体" w:eastAsia="仿宋_GB2312" w:cs="仿宋_GB2312"/>
          <w:sz w:val="32"/>
          <w:szCs w:val="32"/>
        </w:rPr>
        <w:t>事业单位医疗、</w:t>
      </w:r>
      <w:r>
        <w:rPr>
          <w:rFonts w:hint="eastAsia" w:ascii="仿宋_GB2312" w:hAnsi="黑体" w:eastAsia="仿宋_GB2312"/>
          <w:sz w:val="32"/>
          <w:szCs w:val="32"/>
        </w:rPr>
        <w:t>公务员医疗补助</w:t>
      </w:r>
      <w:r>
        <w:rPr>
          <w:rFonts w:hint="eastAsia" w:ascii="仿宋_GB2312" w:hAnsi="宋体" w:eastAsia="仿宋_GB2312" w:cs="宋体"/>
          <w:color w:val="000000"/>
          <w:kern w:val="0"/>
          <w:sz w:val="32"/>
          <w:szCs w:val="30"/>
        </w:rPr>
        <w:t>其他</w:t>
      </w:r>
      <w:r>
        <w:rPr>
          <w:rFonts w:ascii="仿宋_GB2312" w:hAnsi="宋体" w:eastAsia="仿宋_GB2312" w:cs="宋体"/>
          <w:color w:val="000000"/>
          <w:kern w:val="0"/>
          <w:sz w:val="32"/>
          <w:szCs w:val="30"/>
        </w:rPr>
        <w:t>用于行政事业单位医疗方面的支出</w:t>
      </w:r>
      <w:r>
        <w:rPr>
          <w:rFonts w:hint="eastAsia" w:ascii="仿宋_GB2312" w:hAnsi="宋体" w:eastAsia="仿宋_GB2312" w:cs="宋体"/>
          <w:color w:val="000000"/>
          <w:kern w:val="0"/>
          <w:sz w:val="32"/>
          <w:szCs w:val="30"/>
        </w:rPr>
        <w:t>。</w:t>
      </w:r>
    </w:p>
    <w:p>
      <w:pPr>
        <w:widowControl/>
        <w:spacing w:line="560" w:lineRule="exact"/>
        <w:ind w:firstLine="640" w:firstLineChars="200"/>
        <w:jc w:val="left"/>
        <w:rPr>
          <w:rFonts w:ascii="仿宋_GB2312" w:hAnsi="黑体" w:eastAsia="仿宋_GB2312" w:cs="仿宋_GB2312"/>
          <w:sz w:val="32"/>
          <w:szCs w:val="32"/>
        </w:rPr>
      </w:pPr>
      <w:r>
        <w:rPr>
          <w:rFonts w:hint="eastAsia" w:ascii="仿宋_GB2312" w:hAnsi="黑体" w:eastAsia="仿宋_GB2312"/>
          <w:sz w:val="32"/>
          <w:szCs w:val="32"/>
        </w:rPr>
        <w:t>十九、</w:t>
      </w:r>
      <w:r>
        <w:rPr>
          <w:rFonts w:hint="eastAsia" w:ascii="仿宋_GB2312" w:hAnsi="黑体" w:eastAsia="仿宋_GB2312" w:cs="仿宋_GB2312"/>
          <w:sz w:val="32"/>
          <w:szCs w:val="32"/>
        </w:rPr>
        <w:t>住房保障支出（类）住房改革支出（款）住房公积金（项）：</w:t>
      </w:r>
      <w:r>
        <w:rPr>
          <w:rFonts w:hint="eastAsia" w:ascii="仿宋_GB2312" w:hAnsi="宋体" w:eastAsia="仿宋_GB2312" w:cs="宋体"/>
          <w:color w:val="000000"/>
          <w:kern w:val="0"/>
          <w:sz w:val="32"/>
          <w:szCs w:val="30"/>
        </w:rPr>
        <w:t>指用于按规定比例为职工缴纳的住房公积金支出。</w:t>
      </w: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子净">
    <w15:presenceInfo w15:providerId="WPS Office" w15:userId="1547814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A314B"/>
    <w:rsid w:val="1AFC3EB9"/>
    <w:rsid w:val="1D530E3B"/>
    <w:rsid w:val="20A914FB"/>
    <w:rsid w:val="275A3F43"/>
    <w:rsid w:val="50520640"/>
    <w:rsid w:val="52CF5978"/>
    <w:rsid w:val="59785091"/>
    <w:rsid w:val="598505DB"/>
    <w:rsid w:val="5A672D7A"/>
    <w:rsid w:val="5B947AB3"/>
    <w:rsid w:val="5FC83FBA"/>
    <w:rsid w:val="6FB61E36"/>
    <w:rsid w:val="72E36D1B"/>
    <w:rsid w:val="757A0661"/>
    <w:rsid w:val="779621D5"/>
    <w:rsid w:val="7DEBCAFF"/>
    <w:rsid w:val="7E23226E"/>
    <w:rsid w:val="7F290C93"/>
    <w:rsid w:val="7FC477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18</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子净</cp:lastModifiedBy>
  <dcterms:modified xsi:type="dcterms:W3CDTF">2025-02-27T08:04:52Z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50A14F4827EB4CF18A765932C422F9FE</vt:lpwstr>
  </property>
</Properties>
</file>