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屯昌县青少年活动中心</w:t>
      </w:r>
      <w:bookmarkStart w:id="0" w:name="_GoBack"/>
      <w:bookmarkEnd w:id="0"/>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spacing w:line="578" w:lineRule="exact"/>
        <w:jc w:val="both"/>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屯昌县青少年活动中心</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lang w:val="en-US" w:eastAsia="zh-CN"/>
        </w:rPr>
        <w:t>单位</w:t>
      </w:r>
      <w:r>
        <w:rPr>
          <w:rFonts w:hint="eastAsia" w:ascii="黑体" w:hAnsi="黑体" w:eastAsia="黑体"/>
          <w:sz w:val="32"/>
          <w:szCs w:val="32"/>
        </w:rPr>
        <w:t>预算单位构成</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2025年屯昌县青少年活动中心预算公开表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屯昌县青少年活动中心2025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屯昌县青少年活动中心</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ascii="黑体" w:hAnsi="黑体" w:eastAsia="黑体" w:cs="仿宋_GB2312"/>
          <w:sz w:val="32"/>
          <w:szCs w:val="32"/>
        </w:rPr>
      </w:pPr>
      <w:r>
        <w:rPr>
          <w:rFonts w:hint="eastAsia" w:ascii="黑体" w:hAnsi="黑体" w:eastAsia="黑体" w:cs="仿宋_GB2312"/>
          <w:sz w:val="32"/>
          <w:szCs w:val="32"/>
          <w:lang w:val="en-US" w:eastAsia="zh-CN"/>
        </w:rPr>
        <w:t>一、</w:t>
      </w: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_GB2312" w:hAnsi="黑体" w:eastAsia="仿宋_GB2312" w:cs="仿宋_GB2312"/>
          <w:sz w:val="32"/>
          <w:szCs w:val="32"/>
        </w:rPr>
      </w:pPr>
      <w:r>
        <w:rPr>
          <w:rFonts w:hint="eastAsia" w:ascii="仿宋_GB2312" w:hAnsi="黑体" w:eastAsia="仿宋_GB2312" w:cs="仿宋_GB2312"/>
          <w:sz w:val="32"/>
          <w:szCs w:val="32"/>
        </w:rPr>
        <w:t xml:space="preserve">屯昌县青少年活动中心总体规划是深入贯彻落实党的教育方针，坚持以人为本，勇于解放思想，敢于实践创新。青少年活动中心的主要职能是青少年学生的校外活动场所，是孩子们校外的学习乐园。 </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_GB2312" w:hAnsi="黑体" w:eastAsia="仿宋_GB2312" w:cs="仿宋_GB2312"/>
          <w:sz w:val="32"/>
          <w:szCs w:val="32"/>
        </w:rPr>
      </w:pPr>
      <w:r>
        <w:rPr>
          <w:rFonts w:hint="eastAsia" w:ascii="仿宋_GB2312" w:hAnsi="黑体" w:eastAsia="仿宋_GB2312" w:cs="仿宋_GB2312"/>
          <w:sz w:val="32"/>
          <w:szCs w:val="32"/>
        </w:rPr>
        <w:t>屯昌县青少年活动中心根据青少年学生的爱好与需求，结合社会教育热点，开设以培养兴趣、启迪思维、自主实践为特征的艺术类、科技类、文娱类、劳技类等个性教育活动项目，并将社团活动、技能培训、成果交流、展示竞赛等方法融入整个教育活动的全部过程中。</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ascii="黑体" w:hAnsi="黑体" w:eastAsia="黑体" w:cs="仿宋_GB2312"/>
          <w:sz w:val="32"/>
          <w:szCs w:val="32"/>
        </w:rPr>
      </w:pPr>
      <w:r>
        <w:rPr>
          <w:rFonts w:hint="eastAsia" w:ascii="黑体" w:hAnsi="黑体" w:eastAsia="黑体" w:cs="仿宋_GB2312"/>
          <w:sz w:val="32"/>
          <w:szCs w:val="32"/>
          <w:lang w:val="en-US" w:eastAsia="zh-CN"/>
        </w:rPr>
        <w:t>二、</w:t>
      </w:r>
      <w:r>
        <w:rPr>
          <w:rFonts w:hint="eastAsia" w:ascii="黑体" w:hAnsi="黑体" w:eastAsia="黑体" w:cs="仿宋_GB2312"/>
          <w:sz w:val="32"/>
          <w:szCs w:val="32"/>
        </w:rPr>
        <w:t>预算单位构成</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仿宋_GB2312" w:hAnsi="黑体" w:eastAsia="仿宋_GB2312" w:cs="仿宋_GB2312"/>
          <w:sz w:val="32"/>
          <w:szCs w:val="32"/>
        </w:rPr>
      </w:pPr>
      <w:r>
        <w:rPr>
          <w:rFonts w:hint="eastAsia" w:ascii="仿宋_GB2312" w:hAnsi="黑体" w:eastAsia="仿宋_GB2312" w:cs="仿宋_GB2312"/>
          <w:sz w:val="32"/>
          <w:szCs w:val="32"/>
        </w:rPr>
        <w:t>纳入屯昌县青少年活动中心2024年度</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rPr>
        <w:t>决算编制范围的单位共1个，包括：屯昌县青少年活动中心本级</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2025年屯昌县青少年活动中心预算公开表</w:t>
      </w:r>
    </w:p>
    <w:p>
      <w:pPr>
        <w:keepNext w:val="0"/>
        <w:keepLines w:val="0"/>
        <w:pageBreakBefore w:val="0"/>
        <w:widowControl w:val="0"/>
        <w:kinsoku/>
        <w:wordWrap/>
        <w:overflowPunct/>
        <w:topLinePunct w:val="0"/>
        <w:autoSpaceDE/>
        <w:autoSpaceDN/>
        <w:bidi w:val="0"/>
        <w:adjustRightInd/>
        <w:snapToGrid/>
        <w:spacing w:line="590" w:lineRule="exact"/>
        <w:ind w:left="800" w:right="0" w:rightChars="0" w:firstLine="643" w:firstLineChars="200"/>
        <w:jc w:val="both"/>
        <w:textAlignment w:val="auto"/>
        <w:outlineLvl w:val="9"/>
        <w:rPr>
          <w:rFonts w:ascii="仿宋_GB2312" w:hAnsi="黑体" w:eastAsia="仿宋_GB2312"/>
          <w:b/>
          <w:sz w:val="32"/>
          <w:szCs w:val="32"/>
        </w:rPr>
      </w:pPr>
      <w:r>
        <w:rPr>
          <w:rFonts w:hint="eastAsia" w:ascii="仿宋" w:hAnsi="仿宋" w:eastAsia="仿宋" w:cs="仿宋"/>
          <w:b/>
          <w:sz w:val="32"/>
          <w:szCs w:val="32"/>
        </w:rPr>
        <w:t>（</w:t>
      </w:r>
      <w:r>
        <w:rPr>
          <w:rFonts w:hint="eastAsia" w:ascii="仿宋" w:hAnsi="仿宋" w:eastAsia="仿宋" w:cs="仿宋"/>
          <w:b/>
          <w:sz w:val="32"/>
          <w:szCs w:val="32"/>
          <w:lang w:val="en-US" w:eastAsia="zh-CN"/>
        </w:rPr>
        <w:t>详见附件</w:t>
      </w:r>
      <w:r>
        <w:rPr>
          <w:rFonts w:hint="eastAsia" w:ascii="仿宋" w:hAnsi="仿宋" w:eastAsia="仿宋" w:cs="仿宋"/>
          <w:b/>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黑体" w:hAnsi="黑体" w:eastAsia="黑体"/>
          <w:sz w:val="32"/>
          <w:szCs w:val="32"/>
        </w:rPr>
      </w:pPr>
    </w:p>
    <w:p>
      <w:pPr>
        <w:keepNext w:val="0"/>
        <w:keepLines w:val="0"/>
        <w:pageBreakBefore w:val="0"/>
        <w:widowControl w:val="0"/>
        <w:numPr>
          <w:ilvl w:val="-1"/>
          <w:numId w:val="0"/>
        </w:numPr>
        <w:kinsoku/>
        <w:wordWrap/>
        <w:overflowPunct/>
        <w:topLinePunct w:val="0"/>
        <w:autoSpaceDE/>
        <w:autoSpaceDN/>
        <w:bidi w:val="0"/>
        <w:adjustRightInd/>
        <w:snapToGrid/>
        <w:spacing w:line="590" w:lineRule="exact"/>
        <w:ind w:right="0" w:rightChars="0"/>
        <w:jc w:val="both"/>
        <w:textAlignment w:val="auto"/>
        <w:outlineLvl w:val="9"/>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屯昌县青少年活动中心2025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屯昌县青少年活动中心2025</w:t>
      </w:r>
      <w:r>
        <w:rPr>
          <w:rFonts w:hint="eastAsia" w:ascii="黑体" w:hAnsi="黑体" w:eastAsia="黑体"/>
          <w:sz w:val="32"/>
          <w:szCs w:val="32"/>
        </w:rPr>
        <w:t>年财政拨款收支预算情况的总体说明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屯昌县青少年活动中心2025年财政拨款收支总预算</w:t>
      </w:r>
      <w:r>
        <w:rPr>
          <w:rFonts w:hint="eastAsia" w:ascii="仿宋" w:hAnsi="仿宋" w:eastAsia="仿宋" w:cs="仿宋"/>
          <w:sz w:val="32"/>
          <w:szCs w:val="32"/>
          <w:lang w:val="en-US" w:eastAsia="zh-CN"/>
        </w:rPr>
        <w:t>144.06</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144.06</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144.06</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144.06</w:t>
      </w:r>
      <w:r>
        <w:rPr>
          <w:rFonts w:hint="eastAsia" w:ascii="仿宋" w:hAnsi="仿宋" w:eastAsia="仿宋" w:cs="仿宋"/>
          <w:sz w:val="32"/>
          <w:szCs w:val="32"/>
        </w:rPr>
        <w:t>万元，包括一般公共服务支出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教育</w:t>
      </w:r>
      <w:r>
        <w:rPr>
          <w:rFonts w:hint="eastAsia" w:ascii="仿宋" w:hAnsi="仿宋" w:eastAsia="仿宋" w:cs="仿宋"/>
          <w:sz w:val="32"/>
          <w:szCs w:val="32"/>
        </w:rPr>
        <w:t>支出</w:t>
      </w:r>
      <w:r>
        <w:rPr>
          <w:rFonts w:hint="eastAsia" w:ascii="仿宋" w:hAnsi="仿宋" w:eastAsia="仿宋" w:cs="仿宋"/>
          <w:sz w:val="32"/>
          <w:szCs w:val="32"/>
          <w:lang w:val="en-US" w:eastAsia="zh-CN"/>
        </w:rPr>
        <w:t>98.18</w:t>
      </w:r>
      <w:r>
        <w:rPr>
          <w:rFonts w:hint="eastAsia" w:ascii="仿宋" w:hAnsi="仿宋" w:eastAsia="仿宋" w:cs="仿宋"/>
          <w:sz w:val="32"/>
          <w:szCs w:val="32"/>
        </w:rPr>
        <w:t>万元、社会保障和就业支出</w:t>
      </w:r>
      <w:r>
        <w:rPr>
          <w:rFonts w:hint="eastAsia" w:ascii="仿宋" w:hAnsi="仿宋" w:eastAsia="仿宋" w:cs="仿宋"/>
          <w:sz w:val="32"/>
          <w:szCs w:val="32"/>
          <w:lang w:val="en-US" w:eastAsia="zh-CN"/>
        </w:rPr>
        <w:t>18.9</w:t>
      </w:r>
      <w:r>
        <w:rPr>
          <w:rFonts w:hint="eastAsia" w:ascii="仿宋" w:hAnsi="仿宋" w:eastAsia="仿宋" w:cs="仿宋"/>
          <w:sz w:val="32"/>
          <w:szCs w:val="32"/>
        </w:rPr>
        <w:t>万元、卫生健康支出</w:t>
      </w:r>
      <w:r>
        <w:rPr>
          <w:rFonts w:hint="eastAsia" w:ascii="仿宋" w:hAnsi="仿宋" w:eastAsia="仿宋" w:cs="仿宋"/>
          <w:sz w:val="32"/>
          <w:szCs w:val="32"/>
          <w:lang w:val="en-US" w:eastAsia="zh-CN"/>
        </w:rPr>
        <w:t>16.41万元、住房保障支出10.57万元</w:t>
      </w:r>
      <w:r>
        <w:rPr>
          <w:rFonts w:hint="eastAsia" w:ascii="仿宋" w:hAnsi="仿宋" w:eastAsia="仿宋" w:cs="仿宋"/>
          <w:sz w:val="32"/>
          <w:szCs w:val="32"/>
        </w:rPr>
        <w:t>，结转下年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屯昌县青少年活动中心2025</w:t>
      </w:r>
      <w:r>
        <w:rPr>
          <w:rFonts w:hint="eastAsia" w:ascii="黑体" w:hAnsi="黑体" w:eastAsia="黑体"/>
          <w:sz w:val="32"/>
          <w:szCs w:val="32"/>
        </w:rPr>
        <w:t>年一般公共预算当年拨款情况说明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楷体" w:hAnsi="楷体" w:eastAsia="楷体"/>
          <w:sz w:val="32"/>
          <w:szCs w:val="32"/>
        </w:rPr>
      </w:pPr>
      <w:r>
        <w:rPr>
          <w:rFonts w:hint="eastAsia" w:ascii="楷体" w:hAnsi="楷体" w:eastAsia="楷体"/>
          <w:sz w:val="32"/>
          <w:szCs w:val="32"/>
        </w:rPr>
        <w:t>（一）一般公共预算当年规模变化情况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color w:val="FF0000"/>
          <w:sz w:val="32"/>
          <w:szCs w:val="32"/>
        </w:rPr>
      </w:pPr>
      <w:r>
        <w:rPr>
          <w:rFonts w:hint="eastAsia" w:ascii="仿宋" w:hAnsi="仿宋" w:eastAsia="仿宋" w:cs="仿宋"/>
          <w:sz w:val="32"/>
          <w:szCs w:val="32"/>
        </w:rPr>
        <w:t>关于屯昌县青少年活动中心2025年一般公共预算当年拨款</w:t>
      </w:r>
      <w:r>
        <w:rPr>
          <w:rFonts w:hint="eastAsia" w:ascii="仿宋" w:hAnsi="仿宋" w:eastAsia="仿宋" w:cs="仿宋"/>
          <w:sz w:val="32"/>
          <w:szCs w:val="32"/>
          <w:lang w:val="en-US" w:eastAsia="zh-CN"/>
        </w:rPr>
        <w:t>144.06</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楷体" w:hAnsi="楷体" w:eastAsia="楷体"/>
          <w:sz w:val="32"/>
          <w:szCs w:val="32"/>
        </w:rPr>
      </w:pPr>
      <w:r>
        <w:rPr>
          <w:rFonts w:hint="eastAsia" w:ascii="楷体" w:hAnsi="楷体" w:eastAsia="楷体"/>
          <w:sz w:val="32"/>
          <w:szCs w:val="32"/>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教育支出</w:t>
      </w:r>
      <w:r>
        <w:rPr>
          <w:rFonts w:hint="eastAsia" w:ascii="仿宋" w:hAnsi="仿宋" w:eastAsia="仿宋" w:cs="仿宋"/>
          <w:sz w:val="32"/>
          <w:szCs w:val="32"/>
        </w:rPr>
        <w:t>（类）支出</w:t>
      </w:r>
      <w:r>
        <w:rPr>
          <w:rFonts w:hint="eastAsia" w:ascii="仿宋" w:hAnsi="仿宋" w:eastAsia="仿宋" w:cs="仿宋"/>
          <w:sz w:val="32"/>
          <w:szCs w:val="32"/>
          <w:lang w:val="en-US" w:eastAsia="zh-CN"/>
        </w:rPr>
        <w:t>98.18</w:t>
      </w:r>
      <w:r>
        <w:rPr>
          <w:rFonts w:hint="eastAsia" w:ascii="仿宋" w:hAnsi="仿宋" w:eastAsia="仿宋" w:cs="仿宋"/>
          <w:sz w:val="32"/>
          <w:szCs w:val="32"/>
        </w:rPr>
        <w:t>万元，占</w:t>
      </w:r>
      <w:r>
        <w:rPr>
          <w:rFonts w:hint="eastAsia" w:ascii="仿宋" w:hAnsi="仿宋" w:eastAsia="仿宋" w:cs="仿宋"/>
          <w:sz w:val="32"/>
          <w:szCs w:val="32"/>
          <w:lang w:val="en-US" w:eastAsia="zh-CN"/>
        </w:rPr>
        <w:t>68.15</w:t>
      </w:r>
      <w:r>
        <w:rPr>
          <w:rFonts w:hint="eastAsia" w:ascii="仿宋" w:hAnsi="仿宋" w:eastAsia="仿宋" w:cs="仿宋"/>
          <w:sz w:val="32"/>
          <w:szCs w:val="32"/>
        </w:rPr>
        <w:t>%；社会保障和就业支出（类）支出</w:t>
      </w:r>
      <w:r>
        <w:rPr>
          <w:rFonts w:hint="eastAsia" w:ascii="仿宋" w:hAnsi="仿宋" w:eastAsia="仿宋" w:cs="仿宋"/>
          <w:sz w:val="32"/>
          <w:szCs w:val="32"/>
          <w:lang w:val="en-US" w:eastAsia="zh-CN"/>
        </w:rPr>
        <w:t>18.9</w:t>
      </w:r>
      <w:r>
        <w:rPr>
          <w:rFonts w:hint="eastAsia" w:ascii="仿宋" w:hAnsi="仿宋" w:eastAsia="仿宋" w:cs="仿宋"/>
          <w:sz w:val="32"/>
          <w:szCs w:val="32"/>
        </w:rPr>
        <w:t>万元，占</w:t>
      </w:r>
      <w:r>
        <w:rPr>
          <w:rFonts w:hint="eastAsia" w:ascii="仿宋" w:hAnsi="仿宋" w:eastAsia="仿宋" w:cs="仿宋"/>
          <w:sz w:val="32"/>
          <w:szCs w:val="32"/>
          <w:lang w:val="en-US" w:eastAsia="zh-CN"/>
        </w:rPr>
        <w:t>13.12</w:t>
      </w:r>
      <w:r>
        <w:rPr>
          <w:rFonts w:hint="eastAsia" w:ascii="仿宋" w:hAnsi="仿宋" w:eastAsia="仿宋" w:cs="仿宋"/>
          <w:sz w:val="32"/>
          <w:szCs w:val="32"/>
        </w:rPr>
        <w:t>%；卫生健康支出（类）支出</w:t>
      </w:r>
      <w:r>
        <w:rPr>
          <w:rFonts w:hint="eastAsia" w:ascii="仿宋" w:hAnsi="仿宋" w:eastAsia="仿宋" w:cs="仿宋"/>
          <w:sz w:val="32"/>
          <w:szCs w:val="32"/>
          <w:lang w:val="en-US" w:eastAsia="zh-CN"/>
        </w:rPr>
        <w:t>16.41</w:t>
      </w:r>
      <w:r>
        <w:rPr>
          <w:rFonts w:hint="eastAsia" w:ascii="仿宋" w:hAnsi="仿宋" w:eastAsia="仿宋" w:cs="仿宋"/>
          <w:sz w:val="32"/>
          <w:szCs w:val="32"/>
        </w:rPr>
        <w:t>万元，占</w:t>
      </w:r>
      <w:r>
        <w:rPr>
          <w:rFonts w:hint="eastAsia" w:ascii="仿宋" w:hAnsi="仿宋" w:eastAsia="仿宋" w:cs="仿宋"/>
          <w:sz w:val="32"/>
          <w:szCs w:val="32"/>
          <w:lang w:val="en-US" w:eastAsia="zh-CN"/>
        </w:rPr>
        <w:t>11.39</w:t>
      </w:r>
      <w:r>
        <w:rPr>
          <w:rFonts w:hint="eastAsia" w:ascii="仿宋" w:hAnsi="仿宋" w:eastAsia="仿宋" w:cs="仿宋"/>
          <w:sz w:val="32"/>
          <w:szCs w:val="32"/>
        </w:rPr>
        <w:t>%；住房保障支出（类）支出</w:t>
      </w:r>
      <w:r>
        <w:rPr>
          <w:rFonts w:hint="eastAsia" w:ascii="仿宋" w:hAnsi="仿宋" w:eastAsia="仿宋" w:cs="仿宋"/>
          <w:sz w:val="32"/>
          <w:szCs w:val="32"/>
          <w:lang w:val="en-US" w:eastAsia="zh-CN"/>
        </w:rPr>
        <w:t>10.57</w:t>
      </w:r>
      <w:r>
        <w:rPr>
          <w:rFonts w:hint="eastAsia" w:ascii="仿宋" w:hAnsi="仿宋" w:eastAsia="仿宋" w:cs="仿宋"/>
          <w:sz w:val="32"/>
          <w:szCs w:val="32"/>
        </w:rPr>
        <w:t>万元，占</w:t>
      </w:r>
      <w:r>
        <w:rPr>
          <w:rFonts w:hint="eastAsia" w:ascii="仿宋" w:hAnsi="仿宋" w:eastAsia="仿宋" w:cs="仿宋"/>
          <w:sz w:val="32"/>
          <w:szCs w:val="32"/>
          <w:lang w:val="en-US" w:eastAsia="zh-CN"/>
        </w:rPr>
        <w:t>7.34</w:t>
      </w:r>
      <w:r>
        <w:rPr>
          <w:rFonts w:hint="eastAsia" w:ascii="仿宋" w:hAnsi="仿宋" w:eastAsia="仿宋" w:cs="仿宋"/>
          <w:sz w:val="32"/>
          <w:szCs w:val="32"/>
        </w:rPr>
        <w:t>%</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楷体" w:hAnsi="楷体" w:eastAsia="楷体"/>
          <w:sz w:val="32"/>
          <w:szCs w:val="32"/>
        </w:rPr>
      </w:pPr>
      <w:r>
        <w:rPr>
          <w:rFonts w:hint="eastAsia" w:ascii="楷体" w:hAnsi="楷体" w:eastAsia="楷体"/>
          <w:sz w:val="32"/>
          <w:szCs w:val="32"/>
        </w:rPr>
        <w:t>（三）一般公共预算当年拨款具体使用情况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教育支出</w:t>
      </w:r>
      <w:r>
        <w:rPr>
          <w:rFonts w:hint="eastAsia" w:ascii="仿宋" w:hAnsi="仿宋" w:eastAsia="仿宋" w:cs="仿宋"/>
          <w:sz w:val="32"/>
          <w:szCs w:val="32"/>
        </w:rPr>
        <w:t>（类）</w:t>
      </w:r>
      <w:r>
        <w:rPr>
          <w:rFonts w:hint="eastAsia" w:ascii="仿宋" w:hAnsi="仿宋" w:eastAsia="仿宋" w:cs="仿宋"/>
          <w:sz w:val="32"/>
          <w:szCs w:val="32"/>
          <w:lang w:val="en-US" w:eastAsia="zh-CN"/>
        </w:rPr>
        <w:t>普通教育</w:t>
      </w:r>
      <w:r>
        <w:rPr>
          <w:rFonts w:hint="eastAsia" w:ascii="仿宋" w:hAnsi="仿宋" w:eastAsia="仿宋" w:cs="仿宋"/>
          <w:sz w:val="32"/>
          <w:szCs w:val="32"/>
        </w:rPr>
        <w:t>（款）</w:t>
      </w:r>
      <w:r>
        <w:rPr>
          <w:rFonts w:hint="eastAsia" w:ascii="仿宋" w:hAnsi="仿宋" w:eastAsia="仿宋" w:cs="仿宋"/>
          <w:sz w:val="32"/>
          <w:szCs w:val="32"/>
          <w:lang w:val="en-US" w:eastAsia="zh-CN"/>
        </w:rPr>
        <w:t>其他普通教育支出</w:t>
      </w:r>
      <w:r>
        <w:rPr>
          <w:rFonts w:hint="eastAsia" w:ascii="仿宋" w:hAnsi="仿宋" w:eastAsia="仿宋" w:cs="仿宋"/>
          <w:sz w:val="32"/>
          <w:szCs w:val="32"/>
        </w:rPr>
        <w:t>（项）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98.18</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2. </w:t>
      </w:r>
      <w:r>
        <w:rPr>
          <w:rFonts w:hint="eastAsia" w:ascii="仿宋" w:hAnsi="仿宋" w:eastAsia="仿宋" w:cs="仿宋"/>
          <w:sz w:val="32"/>
          <w:szCs w:val="32"/>
          <w:lang w:val="en-US" w:eastAsia="zh-CN"/>
        </w:rPr>
        <w:t>社会保障和就业支出</w:t>
      </w:r>
      <w:r>
        <w:rPr>
          <w:rFonts w:hint="eastAsia" w:ascii="仿宋" w:hAnsi="仿宋" w:eastAsia="仿宋" w:cs="仿宋"/>
          <w:sz w:val="32"/>
          <w:szCs w:val="32"/>
        </w:rPr>
        <w:t>（类）</w:t>
      </w:r>
      <w:r>
        <w:rPr>
          <w:rFonts w:hint="eastAsia" w:ascii="仿宋" w:hAnsi="仿宋" w:eastAsia="仿宋" w:cs="仿宋"/>
          <w:sz w:val="32"/>
          <w:szCs w:val="32"/>
          <w:lang w:val="en-US" w:eastAsia="zh-CN"/>
        </w:rPr>
        <w:t>行政事业单位养老支出</w:t>
      </w:r>
      <w:r>
        <w:rPr>
          <w:rFonts w:hint="eastAsia" w:ascii="仿宋" w:hAnsi="仿宋" w:eastAsia="仿宋" w:cs="仿宋"/>
          <w:sz w:val="32"/>
          <w:szCs w:val="32"/>
        </w:rPr>
        <w:t>（款）机关事业单位基本养老保险缴费支出（项）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12.6</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社会保障和就业支出</w:t>
      </w:r>
      <w:r>
        <w:rPr>
          <w:rFonts w:hint="eastAsia" w:ascii="仿宋" w:hAnsi="仿宋" w:eastAsia="仿宋" w:cs="仿宋"/>
          <w:sz w:val="32"/>
          <w:szCs w:val="32"/>
        </w:rPr>
        <w:t>（类）</w:t>
      </w:r>
      <w:r>
        <w:rPr>
          <w:rFonts w:hint="eastAsia" w:ascii="仿宋" w:hAnsi="仿宋" w:eastAsia="仿宋" w:cs="仿宋"/>
          <w:sz w:val="32"/>
          <w:szCs w:val="32"/>
          <w:lang w:val="en-US" w:eastAsia="zh-CN"/>
        </w:rPr>
        <w:t>行政事业单位养老支出</w:t>
      </w:r>
      <w:r>
        <w:rPr>
          <w:rFonts w:hint="eastAsia" w:ascii="仿宋" w:hAnsi="仿宋" w:eastAsia="仿宋" w:cs="仿宋"/>
          <w:sz w:val="32"/>
          <w:szCs w:val="32"/>
        </w:rPr>
        <w:t>（款）机关事业单位职业年金缴费支出（项）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6.3</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卫生健康支出</w:t>
      </w:r>
      <w:r>
        <w:rPr>
          <w:rFonts w:hint="eastAsia" w:ascii="仿宋" w:hAnsi="仿宋" w:eastAsia="仿宋" w:cs="仿宋"/>
          <w:sz w:val="32"/>
          <w:szCs w:val="32"/>
        </w:rPr>
        <w:t>（类）</w:t>
      </w:r>
      <w:r>
        <w:rPr>
          <w:rFonts w:hint="eastAsia" w:ascii="仿宋" w:hAnsi="仿宋" w:eastAsia="仿宋" w:cs="仿宋"/>
          <w:sz w:val="32"/>
          <w:szCs w:val="32"/>
          <w:lang w:val="en-US" w:eastAsia="zh-CN"/>
        </w:rPr>
        <w:t>行政事业单位医疗</w:t>
      </w:r>
      <w:r>
        <w:rPr>
          <w:rFonts w:hint="eastAsia" w:ascii="仿宋" w:hAnsi="仿宋" w:eastAsia="仿宋" w:cs="仿宋"/>
          <w:sz w:val="32"/>
          <w:szCs w:val="32"/>
        </w:rPr>
        <w:t>（款）事业单位医疗（项）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4.49</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卫生健康支出</w:t>
      </w:r>
      <w:r>
        <w:rPr>
          <w:rFonts w:hint="eastAsia" w:ascii="仿宋" w:hAnsi="仿宋" w:eastAsia="仿宋" w:cs="仿宋"/>
          <w:sz w:val="32"/>
          <w:szCs w:val="32"/>
        </w:rPr>
        <w:t>（类）</w:t>
      </w:r>
      <w:r>
        <w:rPr>
          <w:rFonts w:hint="eastAsia" w:ascii="仿宋" w:hAnsi="仿宋" w:eastAsia="仿宋" w:cs="仿宋"/>
          <w:sz w:val="32"/>
          <w:szCs w:val="32"/>
          <w:lang w:val="en-US" w:eastAsia="zh-CN"/>
        </w:rPr>
        <w:t>行政事业单位医疗</w:t>
      </w:r>
      <w:r>
        <w:rPr>
          <w:rFonts w:hint="eastAsia" w:ascii="仿宋" w:hAnsi="仿宋" w:eastAsia="仿宋" w:cs="仿宋"/>
          <w:sz w:val="32"/>
          <w:szCs w:val="32"/>
        </w:rPr>
        <w:t>（款）公务员医疗补助（项）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11.45</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卫生健康支出</w:t>
      </w:r>
      <w:r>
        <w:rPr>
          <w:rFonts w:hint="eastAsia" w:ascii="仿宋" w:hAnsi="仿宋" w:eastAsia="仿宋" w:cs="仿宋"/>
          <w:sz w:val="32"/>
          <w:szCs w:val="32"/>
        </w:rPr>
        <w:t>（类）</w:t>
      </w:r>
      <w:r>
        <w:rPr>
          <w:rFonts w:hint="eastAsia" w:ascii="仿宋" w:hAnsi="仿宋" w:eastAsia="仿宋" w:cs="仿宋"/>
          <w:sz w:val="32"/>
          <w:szCs w:val="32"/>
          <w:lang w:val="en-US" w:eastAsia="zh-CN"/>
        </w:rPr>
        <w:t>行政事业单位医疗</w:t>
      </w:r>
      <w:r>
        <w:rPr>
          <w:rFonts w:hint="eastAsia" w:ascii="仿宋" w:hAnsi="仿宋" w:eastAsia="仿宋" w:cs="仿宋"/>
          <w:sz w:val="32"/>
          <w:szCs w:val="32"/>
        </w:rPr>
        <w:t>（款）其他行政事业单位医疗支出（项）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0.47</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住房保障支出</w:t>
      </w:r>
      <w:r>
        <w:rPr>
          <w:rFonts w:hint="eastAsia" w:ascii="仿宋" w:hAnsi="仿宋" w:eastAsia="仿宋" w:cs="仿宋"/>
          <w:sz w:val="32"/>
          <w:szCs w:val="32"/>
        </w:rPr>
        <w:t>（类）</w:t>
      </w:r>
      <w:r>
        <w:rPr>
          <w:rFonts w:hint="eastAsia" w:ascii="仿宋" w:hAnsi="仿宋" w:eastAsia="仿宋" w:cs="仿宋"/>
          <w:sz w:val="32"/>
          <w:szCs w:val="32"/>
          <w:lang w:val="en-US" w:eastAsia="zh-CN"/>
        </w:rPr>
        <w:t>住房改革支出</w:t>
      </w:r>
      <w:r>
        <w:rPr>
          <w:rFonts w:hint="eastAsia" w:ascii="仿宋" w:hAnsi="仿宋" w:eastAsia="仿宋" w:cs="仿宋"/>
          <w:sz w:val="32"/>
          <w:szCs w:val="32"/>
        </w:rPr>
        <w:t>（款）住房公积金（项）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10.57</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屯昌县青少年服务中心2025</w:t>
      </w:r>
      <w:r>
        <w:rPr>
          <w:rFonts w:hint="eastAsia" w:ascii="黑体" w:hAnsi="黑体" w:eastAsia="黑体"/>
          <w:sz w:val="32"/>
          <w:szCs w:val="32"/>
        </w:rPr>
        <w:t>年一般公共预算基本支出情况说明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屯昌县青少年服务中心2025年一般公共预算基本支出为</w:t>
      </w:r>
      <w:r>
        <w:rPr>
          <w:rFonts w:hint="eastAsia" w:ascii="仿宋" w:hAnsi="仿宋" w:eastAsia="仿宋" w:cs="仿宋"/>
          <w:sz w:val="32"/>
          <w:szCs w:val="32"/>
          <w:lang w:val="en-US" w:eastAsia="zh-CN"/>
        </w:rPr>
        <w:t>144.06</w:t>
      </w:r>
      <w:r>
        <w:rPr>
          <w:rFonts w:hint="eastAsia" w:ascii="仿宋" w:hAnsi="仿宋" w:eastAsia="仿宋" w:cs="仿宋"/>
          <w:sz w:val="32"/>
          <w:szCs w:val="32"/>
        </w:rPr>
        <w:t>万元，其中：</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136.58</w:t>
      </w:r>
      <w:r>
        <w:rPr>
          <w:rFonts w:hint="eastAsia" w:ascii="仿宋" w:hAnsi="仿宋" w:eastAsia="仿宋" w:cs="仿宋"/>
          <w:sz w:val="32"/>
          <w:szCs w:val="32"/>
        </w:rPr>
        <w:t>万元，主要包括：基基本工资、津贴补贴、绩效工资、机关事业单位基本养老保险缴费、职业年金缴费、职工基本医疗保险缴费、公务员医疗补助缴费、其他社会保障缴费、住房公积金、医疗费;</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7.48</w:t>
      </w:r>
      <w:r>
        <w:rPr>
          <w:rFonts w:hint="eastAsia" w:ascii="仿宋" w:hAnsi="仿宋" w:eastAsia="仿宋" w:cs="仿宋"/>
          <w:sz w:val="32"/>
          <w:szCs w:val="32"/>
        </w:rPr>
        <w:t>万元，主要包括：水费、电费、差旅费、培训费、工会经费、办公设备购置。</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val="en-US" w:eastAsia="zh-CN"/>
        </w:rPr>
        <w:t>屯昌县青少年活动中心2025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（一）屯昌县青少年活动中心2025年一般公共预算“三公”经费预算数为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比上年预算数持平。</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hd w:val="clear" w:color="auto" w:fill="FFFFFF"/>
        </w:rPr>
      </w:pPr>
      <w:r>
        <w:rPr>
          <w:rFonts w:hint="eastAsia" w:ascii="仿宋" w:hAnsi="仿宋" w:eastAsia="仿宋" w:cs="仿宋"/>
          <w:sz w:val="32"/>
          <w:szCs w:val="32"/>
        </w:rPr>
        <w:t>（二）屯昌县青少年活动中心2025年政府性基金预算“三公”经费预算数为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比上年预算数持平。</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五、屯昌县青少年活动中心2025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楷体" w:hAnsi="楷体" w:eastAsia="楷体"/>
          <w:sz w:val="32"/>
          <w:szCs w:val="32"/>
        </w:rPr>
      </w:pPr>
      <w:r>
        <w:rPr>
          <w:rFonts w:hint="eastAsia" w:ascii="楷体" w:hAnsi="楷体" w:eastAsia="楷体"/>
          <w:sz w:val="32"/>
          <w:szCs w:val="32"/>
        </w:rPr>
        <w:t>（一）政府性基金预算当年规模变化情况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屯昌县青少年活动中心2025年政府性基金预算当年拨款</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万元，比上年预算数持平。</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六、关于屯昌县青少年活动中心2025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按照综合预算原则，屯昌县青少年活动中心所有收入和支出均纳入</w:t>
      </w:r>
      <w:r>
        <w:rPr>
          <w:rFonts w:hint="eastAsia" w:ascii="仿宋" w:hAnsi="仿宋" w:eastAsia="仿宋" w:cs="仿宋"/>
          <w:sz w:val="32"/>
          <w:szCs w:val="32"/>
          <w:lang w:val="en-US" w:eastAsia="zh-CN"/>
        </w:rPr>
        <w:t>单位</w:t>
      </w:r>
      <w:r>
        <w:rPr>
          <w:rFonts w:hint="eastAsia" w:ascii="仿宋" w:hAnsi="仿宋" w:eastAsia="仿宋" w:cs="仿宋"/>
          <w:sz w:val="32"/>
          <w:szCs w:val="32"/>
        </w:rPr>
        <w:t>预算管理。收入包括：一般公共预算收入</w:t>
      </w:r>
      <w:r>
        <w:rPr>
          <w:rFonts w:hint="eastAsia" w:ascii="仿宋" w:hAnsi="仿宋" w:eastAsia="仿宋" w:cs="仿宋"/>
          <w:sz w:val="32"/>
          <w:szCs w:val="32"/>
          <w:lang w:eastAsia="zh-CN"/>
        </w:rPr>
        <w:t>；</w:t>
      </w:r>
      <w:r>
        <w:rPr>
          <w:rFonts w:hint="eastAsia" w:ascii="仿宋" w:hAnsi="仿宋" w:eastAsia="仿宋" w:cs="仿宋"/>
          <w:sz w:val="32"/>
          <w:szCs w:val="32"/>
        </w:rPr>
        <w:t>支出包括：教育支出、社会保障和就业支出</w:t>
      </w:r>
      <w:r>
        <w:rPr>
          <w:rFonts w:hint="eastAsia" w:ascii="仿宋" w:hAnsi="仿宋" w:eastAsia="仿宋" w:cs="仿宋"/>
          <w:sz w:val="32"/>
          <w:szCs w:val="32"/>
          <w:lang w:eastAsia="zh-CN"/>
        </w:rPr>
        <w:t>、卫生健康支出、住房保障支出</w:t>
      </w:r>
      <w:r>
        <w:rPr>
          <w:rFonts w:hint="eastAsia" w:ascii="仿宋" w:hAnsi="仿宋" w:eastAsia="仿宋" w:cs="仿宋"/>
          <w:sz w:val="32"/>
          <w:szCs w:val="32"/>
        </w:rPr>
        <w:t>。屯昌县青少年活动中心2025年收支总预算</w:t>
      </w:r>
      <w:r>
        <w:rPr>
          <w:rFonts w:hint="eastAsia" w:ascii="仿宋" w:hAnsi="仿宋" w:eastAsia="仿宋" w:cs="仿宋"/>
          <w:sz w:val="32"/>
          <w:szCs w:val="32"/>
          <w:lang w:val="en-US" w:eastAsia="zh-CN"/>
        </w:rPr>
        <w:t>144.06</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一</w:t>
      </w:r>
      <w:r>
        <w:rPr>
          <w:rFonts w:hint="eastAsia" w:ascii="楷体" w:hAnsi="楷体" w:eastAsia="楷体"/>
          <w:sz w:val="32"/>
          <w:szCs w:val="32"/>
        </w:rPr>
        <w:t>）绩效目标设置情况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屯昌县青少年活动中心10</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144.06</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outlineLvl w:val="9"/>
        <w:rPr>
          <w:rFonts w:ascii="黑体" w:hAnsi="黑体" w:eastAsia="黑体"/>
          <w:b w:val="0"/>
          <w:bCs/>
          <w:sz w:val="32"/>
          <w:szCs w:val="32"/>
        </w:rPr>
      </w:pPr>
      <w:r>
        <w:rPr>
          <w:rFonts w:hint="eastAsia" w:ascii="黑体" w:hAnsi="黑体" w:eastAsia="黑体"/>
          <w:b w:val="0"/>
          <w:bCs/>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ascii="仿宋_GB2312" w:eastAsia="仿宋_GB2312" w:cs="宋体"/>
          <w:bCs/>
          <w:color w:val="000000"/>
          <w:kern w:val="0"/>
          <w:sz w:val="32"/>
          <w:szCs w:val="32"/>
          <w:lang w:val="zh-CN"/>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footerReference r:id="rId4"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6A754C9"/>
    <w:rsid w:val="138A0380"/>
    <w:rsid w:val="24713177"/>
    <w:rsid w:val="262E1B3A"/>
    <w:rsid w:val="2674603D"/>
    <w:rsid w:val="42E7575D"/>
    <w:rsid w:val="70055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2025-03-03T08:41:27Z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