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5</w:t>
      </w:r>
      <w:r>
        <w:rPr>
          <w:rFonts w:hint="eastAsia" w:ascii="方正小标宋_GBK" w:hAnsi="方正小标宋_GBK" w:eastAsia="方正小标宋_GBK" w:cs="方正小标宋_GBK"/>
          <w:sz w:val="44"/>
          <w:szCs w:val="44"/>
        </w:rPr>
        <w:t>年屯昌县南坤镇中心幼儿园</w:t>
      </w:r>
    </w:p>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单位</w:t>
      </w:r>
      <w:r>
        <w:rPr>
          <w:rFonts w:hint="eastAsia" w:ascii="方正小标宋_GBK" w:hAnsi="方正小标宋_GBK" w:eastAsia="方正小标宋_GBK" w:cs="方正小标宋_GBK"/>
          <w:sz w:val="44"/>
          <w:szCs w:val="44"/>
        </w:rPr>
        <w:t>预算</w:t>
      </w:r>
      <w:r>
        <w:rPr>
          <w:rFonts w:hint="eastAsia" w:ascii="方正小标宋_GBK" w:hAnsi="方正小标宋_GBK" w:eastAsia="方正小标宋_GBK" w:cs="方正小标宋_GBK"/>
          <w:sz w:val="44"/>
          <w:szCs w:val="44"/>
          <w:lang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rFonts w:hint="eastAsia" w:ascii="仿宋_GB2312" w:hAnsi="仿宋_GB2312" w:eastAsia="仿宋_GB2312" w:cs="仿宋_GB2312"/>
          <w:kern w:val="2"/>
          <w:sz w:val="32"/>
          <w:szCs w:val="32"/>
          <w:lang w:val="en-US" w:eastAsia="zh-CN" w:bidi="ar-SA"/>
        </w:rPr>
      </w:pPr>
    </w:p>
    <w:p>
      <w:pPr>
        <w:jc w:val="center"/>
        <w:rPr>
          <w:rFonts w:hint="eastAsia" w:ascii="仿宋_GB2312" w:hAnsi="仿宋_GB2312" w:eastAsia="仿宋_GB2312" w:cs="仿宋_GB2312"/>
          <w:kern w:val="2"/>
          <w:sz w:val="32"/>
          <w:szCs w:val="32"/>
          <w:lang w:val="en-US" w:eastAsia="zh-CN" w:bidi="ar-SA"/>
        </w:rPr>
      </w:pPr>
    </w:p>
    <w:p>
      <w:pPr>
        <w:rPr>
          <w:rFonts w:hint="default" w:ascii="仿宋_GB2312" w:hAnsi="仿宋_GB2312" w:eastAsia="仿宋_GB2312" w:cs="仿宋_GB2312"/>
          <w:kern w:val="2"/>
          <w:sz w:val="32"/>
          <w:szCs w:val="32"/>
          <w:lang w:val="en-US" w:eastAsia="zh-CN" w:bidi="ar-SA"/>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屯昌县南坤镇中心幼儿园</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jc w:val="left"/>
        <w:rPr>
          <w:rFonts w:ascii="黑体" w:hAnsi="黑体" w:eastAsia="黑体"/>
          <w:sz w:val="32"/>
          <w:szCs w:val="32"/>
        </w:rPr>
      </w:pPr>
      <w:r>
        <w:rPr>
          <w:rFonts w:hint="eastAsia" w:ascii="黑体" w:hAnsi="黑体" w:eastAsia="黑体" w:cs="仿宋_GB2312"/>
          <w:sz w:val="32"/>
          <w:szCs w:val="32"/>
        </w:rPr>
        <w:t>屯昌县南坤镇中心幼儿园202</w:t>
      </w:r>
      <w:r>
        <w:rPr>
          <w:rFonts w:hint="eastAsia" w:ascii="黑体" w:hAnsi="黑体" w:eastAsia="黑体" w:cs="仿宋_GB2312"/>
          <w:sz w:val="32"/>
          <w:szCs w:val="32"/>
          <w:lang w:val="en-US" w:eastAsia="zh-CN"/>
        </w:rPr>
        <w:t>5</w:t>
      </w:r>
      <w:r>
        <w:rPr>
          <w:rFonts w:hint="eastAsia" w:ascii="黑体" w:hAnsi="黑体" w:eastAsia="黑体"/>
          <w:sz w:val="32"/>
          <w:szCs w:val="32"/>
        </w:rPr>
        <w:t>年单位预算表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cs="仿宋_GB2312"/>
          <w:sz w:val="32"/>
          <w:szCs w:val="32"/>
        </w:rPr>
        <w:t>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年单位预算情况说明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rPr>
          <w:rFonts w:ascii="黑体" w:hAnsi="黑体" w:eastAsia="黑体"/>
          <w:sz w:val="32"/>
          <w:szCs w:val="32"/>
        </w:rPr>
      </w:pPr>
      <w:r>
        <w:rPr>
          <w:rFonts w:ascii="黑体" w:hAnsi="黑体" w:eastAsia="黑体"/>
          <w:sz w:val="32"/>
          <w:szCs w:val="32"/>
        </w:rPr>
        <w:br w:type="page"/>
      </w: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cs="仿宋_GB2312"/>
          <w:sz w:val="32"/>
          <w:szCs w:val="32"/>
          <w:lang w:val="en-US" w:eastAsia="zh-CN"/>
        </w:rPr>
        <w:t xml:space="preserve"> </w:t>
      </w:r>
      <w:r>
        <w:rPr>
          <w:rFonts w:hint="eastAsia" w:ascii="黑体" w:hAnsi="黑体" w:eastAsia="黑体" w:cs="仿宋_GB2312"/>
          <w:sz w:val="32"/>
          <w:szCs w:val="32"/>
        </w:rPr>
        <w:t>屯昌县南坤镇中心幼儿园</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一、主要职能</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1.为适应现代教育发展的需要，深化教育改革，全面贯彻国家的教育方针，积极推进素质教育，全面提高教育教学质量和办学效益。</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2.实行保育和教育相结合的原则，对幼儿实施体、智、德、美诸方面全面发展的教育，促进其身心和谐发展。通过组织、指挥、协调、控制等管理职能，合理利用幼儿园建设与事业发展的各种资源，确保保教质量的提高，较好的实现预期的教育培养目标和服务队伍、服务家长的任务。</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3.幼儿园管理人员和有关幼教执行人员遵照一定的教育方针和保教工作的客观规律，优质高效的实现国家所规定的培养目标和幼儿园工作任务。</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二、部门预算单位构成</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无</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第二部分</w:t>
      </w:r>
      <w:r>
        <w:rPr>
          <w:rFonts w:hint="eastAsia" w:ascii="黑体" w:hAnsi="黑体" w:eastAsia="黑体" w:cs="仿宋_GB2312"/>
          <w:sz w:val="32"/>
          <w:szCs w:val="32"/>
        </w:rPr>
        <w:t>屯昌县南坤镇中心幼儿园202</w:t>
      </w:r>
      <w:r>
        <w:rPr>
          <w:rFonts w:hint="eastAsia" w:ascii="黑体" w:hAnsi="黑体" w:eastAsia="黑体" w:cs="仿宋_GB2312"/>
          <w:sz w:val="32"/>
          <w:szCs w:val="32"/>
          <w:lang w:val="en-US" w:eastAsia="zh-CN"/>
        </w:rPr>
        <w:t>5</w:t>
      </w:r>
      <w:r>
        <w:rPr>
          <w:rFonts w:hint="eastAsia" w:ascii="黑体" w:hAnsi="黑体" w:eastAsia="黑体"/>
          <w:sz w:val="32"/>
          <w:szCs w:val="32"/>
        </w:rPr>
        <w:t>年单位预算表</w:t>
      </w:r>
    </w:p>
    <w:p>
      <w:pPr>
        <w:spacing w:line="600" w:lineRule="exact"/>
        <w:ind w:left="800"/>
        <w:jc w:val="left"/>
        <w:rPr>
          <w:rFonts w:ascii="黑体" w:hAnsi="黑体" w:eastAsia="黑体"/>
          <w:sz w:val="32"/>
          <w:szCs w:val="32"/>
        </w:rPr>
      </w:pPr>
    </w:p>
    <w:p>
      <w:pPr>
        <w:spacing w:line="600" w:lineRule="exact"/>
        <w:ind w:left="800"/>
        <w:jc w:val="center"/>
        <w:rPr>
          <w:rFonts w:ascii="仿宋_GB2312" w:hAnsi="黑体" w:eastAsia="仿宋_GB2312"/>
          <w:b/>
          <w:sz w:val="32"/>
          <w:szCs w:val="32"/>
        </w:rPr>
      </w:pPr>
      <w:r>
        <w:rPr>
          <w:rFonts w:hint="eastAsia" w:ascii="仿宋_GB2312" w:hAnsi="黑体" w:eastAsia="仿宋_GB2312"/>
          <w:b/>
          <w:sz w:val="32"/>
          <w:szCs w:val="32"/>
        </w:rPr>
        <w:t>（此部分内容为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预算公开表）</w:t>
      </w:r>
    </w:p>
    <w:p>
      <w:pPr>
        <w:spacing w:line="600" w:lineRule="exact"/>
        <w:rPr>
          <w:rFonts w:ascii="黑体" w:hAnsi="黑体" w:eastAsia="黑体"/>
          <w:sz w:val="32"/>
          <w:szCs w:val="32"/>
        </w:rPr>
      </w:pP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第三部分  屯昌县南坤镇中心幼儿园</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5</w:t>
      </w:r>
      <w:r>
        <w:rPr>
          <w:rFonts w:hint="eastAsia" w:ascii="黑体" w:hAnsi="黑体" w:eastAsia="黑体"/>
          <w:sz w:val="32"/>
          <w:szCs w:val="32"/>
        </w:rPr>
        <w:t>年单位预算情况说明</w:t>
      </w:r>
    </w:p>
    <w:p>
      <w:pPr>
        <w:spacing w:line="600" w:lineRule="exact"/>
        <w:jc w:val="center"/>
        <w:rPr>
          <w:rFonts w:ascii="黑体" w:hAnsi="黑体" w:eastAsia="黑体"/>
          <w:sz w:val="32"/>
          <w:szCs w:val="32"/>
        </w:rPr>
      </w:pP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仿宋_GB2312"/>
          <w:sz w:val="32"/>
          <w:szCs w:val="32"/>
        </w:rPr>
        <w:t>屯昌县南坤镇中心幼儿园202</w:t>
      </w:r>
      <w:r>
        <w:rPr>
          <w:rFonts w:hint="eastAsia" w:ascii="黑体" w:hAnsi="黑体" w:eastAsia="黑体" w:cs="仿宋_GB2312"/>
          <w:sz w:val="32"/>
          <w:szCs w:val="32"/>
          <w:lang w:val="en-US" w:eastAsia="zh-CN"/>
        </w:rPr>
        <w:t>5</w:t>
      </w:r>
      <w:r>
        <w:rPr>
          <w:rFonts w:hint="eastAsia" w:ascii="黑体" w:hAnsi="黑体" w:eastAsia="黑体"/>
          <w:sz w:val="32"/>
          <w:szCs w:val="32"/>
        </w:rPr>
        <w:t>年财政拨款收支预算情况的总体说明</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285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285</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276.28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8.72</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285</w:t>
      </w:r>
      <w:r>
        <w:rPr>
          <w:rFonts w:hint="eastAsia" w:ascii="仿宋_GB2312" w:hAnsi="黑体" w:eastAsia="仿宋_GB2312"/>
          <w:sz w:val="32"/>
          <w:szCs w:val="32"/>
        </w:rPr>
        <w:t>万元，包括教育支出</w:t>
      </w:r>
      <w:r>
        <w:rPr>
          <w:rFonts w:hint="eastAsia" w:ascii="仿宋_GB2312" w:hAnsi="黑体" w:eastAsia="仿宋_GB2312" w:cs="仿宋_GB2312"/>
          <w:sz w:val="32"/>
          <w:szCs w:val="32"/>
          <w:lang w:val="en-US" w:eastAsia="zh-CN"/>
        </w:rPr>
        <w:t>199.65</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36.41</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27.14</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21.81</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spacing w:line="600"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屯昌县南坤镇中心幼儿园202</w:t>
      </w:r>
      <w:r>
        <w:rPr>
          <w:rFonts w:hint="eastAsia" w:ascii="黑体" w:hAnsi="黑体" w:eastAsia="黑体" w:cs="仿宋_GB2312"/>
          <w:sz w:val="32"/>
          <w:szCs w:val="32"/>
          <w:lang w:val="en-US" w:eastAsia="zh-CN"/>
        </w:rPr>
        <w:t>5</w:t>
      </w:r>
      <w:r>
        <w:rPr>
          <w:rFonts w:hint="eastAsia" w:ascii="黑体" w:hAnsi="黑体" w:eastAsia="黑体"/>
          <w:sz w:val="32"/>
          <w:szCs w:val="32"/>
        </w:rPr>
        <w:t>年一般公共预算当年拨款情况说明</w:t>
      </w:r>
    </w:p>
    <w:p>
      <w:pPr>
        <w:spacing w:line="600" w:lineRule="exact"/>
        <w:ind w:firstLine="640"/>
        <w:jc w:val="left"/>
        <w:rPr>
          <w:rFonts w:ascii="仿宋_GB2312" w:hAnsi="楷体" w:eastAsia="仿宋_GB2312"/>
          <w:sz w:val="32"/>
          <w:szCs w:val="32"/>
        </w:rPr>
      </w:pPr>
      <w:r>
        <w:rPr>
          <w:rFonts w:hint="eastAsia" w:ascii="仿宋_GB2312" w:hAnsi="楷体" w:eastAsia="仿宋_GB2312"/>
          <w:sz w:val="32"/>
          <w:szCs w:val="32"/>
        </w:rPr>
        <w:t>（一）一般公共预算当年规模变化情况</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285</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7.17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工资福利增加</w:t>
      </w:r>
      <w:r>
        <w:rPr>
          <w:rFonts w:hint="eastAsia" w:ascii="仿宋_GB2312" w:hAnsi="黑体" w:eastAsia="仿宋_GB2312"/>
          <w:sz w:val="32"/>
          <w:szCs w:val="32"/>
        </w:rPr>
        <w:t>。</w:t>
      </w:r>
    </w:p>
    <w:p>
      <w:pPr>
        <w:spacing w:line="600" w:lineRule="exact"/>
        <w:ind w:firstLine="640"/>
        <w:jc w:val="left"/>
        <w:rPr>
          <w:rFonts w:ascii="仿宋_GB2312" w:hAnsi="楷体" w:eastAsia="仿宋_GB2312"/>
          <w:sz w:val="32"/>
          <w:szCs w:val="32"/>
        </w:rPr>
      </w:pPr>
      <w:r>
        <w:rPr>
          <w:rFonts w:hint="eastAsia" w:ascii="仿宋_GB2312" w:hAnsi="楷体" w:eastAsia="仿宋_GB2312"/>
          <w:sz w:val="32"/>
          <w:szCs w:val="32"/>
        </w:rPr>
        <w:t>（二）一般公共预算当年拨款结构情况</w:t>
      </w:r>
    </w:p>
    <w:p>
      <w:pPr>
        <w:spacing w:line="600" w:lineRule="exact"/>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教育（类）支出</w:t>
      </w:r>
      <w:r>
        <w:rPr>
          <w:rFonts w:hint="eastAsia" w:ascii="仿宋_GB2312" w:hAnsi="黑体" w:eastAsia="仿宋_GB2312" w:cs="仿宋_GB2312"/>
          <w:sz w:val="32"/>
          <w:szCs w:val="32"/>
          <w:lang w:val="en-US" w:eastAsia="zh-CN"/>
        </w:rPr>
        <w:t>199.65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70.05</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36.41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12.78</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27.14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9.52</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21.81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7.65</w:t>
      </w:r>
      <w:r>
        <w:rPr>
          <w:rFonts w:hint="eastAsia" w:ascii="仿宋_GB2312" w:hAnsi="黑体" w:eastAsia="仿宋_GB2312"/>
          <w:sz w:val="32"/>
          <w:szCs w:val="32"/>
        </w:rPr>
        <w:t>%。</w:t>
      </w:r>
    </w:p>
    <w:p>
      <w:pPr>
        <w:spacing w:line="600" w:lineRule="exact"/>
        <w:ind w:firstLine="640"/>
        <w:jc w:val="left"/>
        <w:rPr>
          <w:rFonts w:ascii="仿宋_GB2312" w:hAnsi="楷体" w:eastAsia="仿宋_GB2312"/>
          <w:sz w:val="32"/>
          <w:szCs w:val="32"/>
        </w:rPr>
      </w:pPr>
      <w:r>
        <w:rPr>
          <w:rFonts w:hint="eastAsia" w:ascii="仿宋_GB2312" w:hAnsi="楷体" w:eastAsia="仿宋_GB2312"/>
          <w:sz w:val="32"/>
          <w:szCs w:val="32"/>
        </w:rPr>
        <w:t>（三）一般公共预算当年拨款具体使用情况</w:t>
      </w:r>
    </w:p>
    <w:p>
      <w:pPr>
        <w:spacing w:line="60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eastAsia="仿宋_GB2312"/>
        </w:rPr>
        <w:t xml:space="preserve"> </w:t>
      </w:r>
      <w:r>
        <w:rPr>
          <w:rFonts w:hint="eastAsia" w:ascii="仿宋_GB2312" w:hAnsi="黑体" w:eastAsia="仿宋_GB2312" w:cs="仿宋_GB2312"/>
          <w:sz w:val="32"/>
          <w:szCs w:val="32"/>
        </w:rPr>
        <w:t>教育支出（类）普通教育（款）学前教育（项）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199.65</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4.45</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主要是工资福利增加</w:t>
      </w:r>
      <w:r>
        <w:rPr>
          <w:rFonts w:hint="eastAsia" w:ascii="仿宋_GB2312" w:hAnsi="黑体" w:eastAsia="仿宋_GB2312"/>
          <w:sz w:val="32"/>
          <w:szCs w:val="32"/>
        </w:rPr>
        <w:t>。</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36.41</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0.07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人员减少</w:t>
      </w:r>
      <w:r>
        <w:rPr>
          <w:rFonts w:hint="eastAsia" w:ascii="仿宋_GB2312" w:hAnsi="黑体" w:eastAsia="仿宋_GB2312"/>
          <w:sz w:val="32"/>
          <w:szCs w:val="32"/>
          <w:lang w:val="en-US" w:eastAsia="zh-CN"/>
        </w:rPr>
        <w:t>,经费减少</w:t>
      </w:r>
      <w:r>
        <w:rPr>
          <w:rFonts w:hint="eastAsia" w:ascii="仿宋_GB2312" w:hAnsi="黑体" w:eastAsia="仿宋_GB2312"/>
          <w:sz w:val="32"/>
          <w:szCs w:val="32"/>
        </w:rPr>
        <w:t>。</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卫生健康支出（类）行政事业单位医疗（款）事业单位医疗（项）202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8.25</w:t>
      </w:r>
      <w:r>
        <w:rPr>
          <w:rFonts w:hint="eastAsia" w:ascii="仿宋_GB2312" w:hAnsi="黑体" w:eastAsia="仿宋_GB2312"/>
          <w:sz w:val="32"/>
          <w:szCs w:val="32"/>
        </w:rPr>
        <w:t>万元，</w:t>
      </w:r>
      <w:r>
        <w:rPr>
          <w:rFonts w:hint="eastAsia" w:ascii="仿宋_GB2312" w:hAnsi="黑体" w:eastAsia="仿宋_GB2312" w:cs="仿宋_GB2312"/>
          <w:sz w:val="32"/>
          <w:szCs w:val="32"/>
        </w:rPr>
        <w:t>公务员医疗补助（项）202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18.17</w:t>
      </w:r>
      <w:r>
        <w:rPr>
          <w:rFonts w:hint="eastAsia" w:ascii="仿宋_GB2312" w:hAnsi="黑体" w:eastAsia="仿宋_GB2312"/>
          <w:sz w:val="32"/>
          <w:szCs w:val="32"/>
        </w:rPr>
        <w:t>万元，其他行政事业单位医疗支出</w:t>
      </w:r>
      <w:r>
        <w:rPr>
          <w:rFonts w:hint="eastAsia" w:ascii="仿宋_GB2312" w:hAnsi="黑体" w:eastAsia="仿宋_GB2312" w:cs="仿宋_GB2312"/>
          <w:sz w:val="32"/>
          <w:szCs w:val="32"/>
        </w:rPr>
        <w:t>（项）202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0.71</w:t>
      </w:r>
      <w:r>
        <w:rPr>
          <w:rFonts w:hint="eastAsia" w:ascii="仿宋_GB2312" w:hAnsi="黑体" w:eastAsia="仿宋_GB2312"/>
          <w:sz w:val="32"/>
          <w:szCs w:val="32"/>
        </w:rPr>
        <w:t>万元，合计：</w:t>
      </w:r>
      <w:r>
        <w:rPr>
          <w:rFonts w:hint="eastAsia" w:ascii="仿宋_GB2312" w:hAnsi="黑体" w:eastAsia="仿宋_GB2312" w:cs="仿宋_GB2312"/>
          <w:sz w:val="32"/>
          <w:szCs w:val="32"/>
          <w:lang w:val="en-US" w:eastAsia="zh-CN"/>
        </w:rPr>
        <w:t>27.14</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2.55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人员减少</w:t>
      </w:r>
      <w:r>
        <w:rPr>
          <w:rFonts w:hint="eastAsia" w:ascii="仿宋_GB2312" w:hAnsi="黑体" w:eastAsia="仿宋_GB2312"/>
          <w:sz w:val="32"/>
          <w:szCs w:val="32"/>
          <w:lang w:val="en-US" w:eastAsia="zh-CN"/>
        </w:rPr>
        <w:t>,经费减少</w:t>
      </w:r>
      <w:r>
        <w:rPr>
          <w:rFonts w:hint="eastAsia" w:ascii="仿宋_GB2312" w:hAnsi="黑体" w:eastAsia="仿宋_GB2312"/>
          <w:sz w:val="32"/>
          <w:szCs w:val="32"/>
        </w:rPr>
        <w:t>。。</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住房保障支出（类）住房改革支出（款）住房公积金（项）202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21.81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0.34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工资福利增加</w:t>
      </w:r>
      <w:r>
        <w:rPr>
          <w:rFonts w:hint="eastAsia" w:ascii="仿宋_GB2312" w:hAnsi="黑体" w:eastAsia="仿宋_GB2312"/>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三、关于屯昌县南坤镇中心幼儿园20</w:t>
      </w:r>
      <w:r>
        <w:rPr>
          <w:rFonts w:hint="eastAsia" w:ascii="黑体" w:hAnsi="黑体" w:eastAsia="黑体"/>
          <w:sz w:val="32"/>
          <w:szCs w:val="32"/>
          <w:lang w:val="en-US" w:eastAsia="zh-CN"/>
        </w:rPr>
        <w:t>25</w:t>
      </w:r>
      <w:r>
        <w:rPr>
          <w:rFonts w:hint="eastAsia" w:ascii="黑体" w:hAnsi="黑体" w:eastAsia="黑体"/>
          <w:sz w:val="32"/>
          <w:szCs w:val="32"/>
        </w:rPr>
        <w:t>年一般公共预算基本支出情况说明</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275.31</w:t>
      </w:r>
      <w:r>
        <w:rPr>
          <w:rFonts w:hint="eastAsia" w:ascii="仿宋_GB2312" w:hAnsi="黑体" w:eastAsia="仿宋_GB2312"/>
          <w:sz w:val="32"/>
          <w:szCs w:val="32"/>
        </w:rPr>
        <w:t>万元，其中：</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273.48</w:t>
      </w:r>
      <w:r>
        <w:rPr>
          <w:rFonts w:hint="eastAsia" w:ascii="仿宋_GB2312" w:hAnsi="黑体" w:eastAsia="仿宋_GB2312"/>
          <w:sz w:val="32"/>
          <w:szCs w:val="32"/>
        </w:rPr>
        <w:t>万元，主要包括：基本工资、津贴补贴、绩效工资、机关事业单位基本养老保险缴费、职工基本医疗保险缴费、公务员医疗补助缴费、其他社会保障缴费、住房公积金、医疗费、邮电费;</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1.84</w:t>
      </w:r>
      <w:r>
        <w:rPr>
          <w:rFonts w:hint="eastAsia" w:ascii="仿宋_GB2312" w:hAnsi="黑体" w:eastAsia="仿宋_GB2312"/>
          <w:sz w:val="32"/>
          <w:szCs w:val="32"/>
        </w:rPr>
        <w:t>万元，主要包括：工会经费。</w:t>
      </w:r>
    </w:p>
    <w:p>
      <w:pPr>
        <w:spacing w:line="60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屯昌县南坤镇中心幼儿园202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spacing w:line="600" w:lineRule="exact"/>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spacing w:line="600" w:lineRule="exact"/>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pacing w:line="600" w:lineRule="exact"/>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spacing w:line="600" w:lineRule="exact"/>
        <w:ind w:firstLine="63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pacing w:line="600" w:lineRule="exact"/>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spacing w:line="600" w:lineRule="exact"/>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pacing w:line="600" w:lineRule="exact"/>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spacing w:line="600" w:lineRule="exact"/>
        <w:ind w:firstLine="630"/>
        <w:rPr>
          <w:rFonts w:ascii="Times New Roman" w:hAnsi="Times New Roman" w:eastAsia="仿宋_GB2312" w:cs="Times New Roman"/>
          <w:sz w:val="32"/>
          <w:shd w:val="clear" w:color="auto" w:fill="FFFFFF"/>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pacing w:line="60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屯昌县南坤镇中心幼儿园202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spacing w:line="600" w:lineRule="exact"/>
        <w:ind w:firstLine="640"/>
        <w:jc w:val="left"/>
        <w:rPr>
          <w:rFonts w:ascii="仿宋_GB2312" w:hAnsi="楷体" w:eastAsia="仿宋_GB2312"/>
          <w:sz w:val="32"/>
          <w:szCs w:val="32"/>
        </w:rPr>
      </w:pPr>
      <w:r>
        <w:rPr>
          <w:rFonts w:hint="eastAsia" w:ascii="仿宋_GB2312" w:hAnsi="楷体" w:eastAsia="仿宋_GB2312"/>
          <w:sz w:val="32"/>
          <w:szCs w:val="32"/>
        </w:rPr>
        <w:t>（一）政府性基金预算当年规模变化情况</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Times New Roman" w:eastAsia="仿宋_GB2312" w:cs="Times New Roman"/>
          <w:sz w:val="32"/>
          <w:shd w:val="clear" w:color="auto" w:fill="FFFFFF"/>
        </w:rPr>
        <w:t>与</w:t>
      </w:r>
      <w:r>
        <w:rPr>
          <w:rFonts w:hint="eastAsia" w:ascii="仿宋_GB2312" w:hAnsi="黑体" w:eastAsia="仿宋_GB2312"/>
          <w:sz w:val="32"/>
          <w:szCs w:val="32"/>
        </w:rPr>
        <w:t>上年预算</w:t>
      </w:r>
      <w:r>
        <w:rPr>
          <w:rFonts w:hint="eastAsia" w:ascii="仿宋_GB2312" w:hAnsi="黑体" w:eastAsia="仿宋_GB2312" w:cs="仿宋_GB2312"/>
          <w:sz w:val="32"/>
          <w:szCs w:val="32"/>
        </w:rPr>
        <w:t>持平。</w:t>
      </w:r>
    </w:p>
    <w:p>
      <w:pPr>
        <w:spacing w:line="600" w:lineRule="exact"/>
        <w:ind w:firstLine="640"/>
        <w:jc w:val="left"/>
        <w:rPr>
          <w:rFonts w:ascii="仿宋_GB2312" w:hAnsi="楷体" w:eastAsia="仿宋_GB2312"/>
          <w:sz w:val="32"/>
          <w:szCs w:val="32"/>
        </w:rPr>
      </w:pPr>
      <w:r>
        <w:rPr>
          <w:rFonts w:hint="eastAsia" w:ascii="仿宋_GB2312" w:hAnsi="楷体" w:eastAsia="仿宋_GB2312"/>
          <w:sz w:val="32"/>
          <w:szCs w:val="32"/>
        </w:rPr>
        <w:t>（二）政府性基金预算当年拨款结构情况</w:t>
      </w:r>
    </w:p>
    <w:p>
      <w:pPr>
        <w:spacing w:line="600" w:lineRule="exact"/>
        <w:ind w:firstLine="800" w:firstLineChars="250"/>
        <w:rPr>
          <w:rFonts w:ascii="仿宋_GB2312" w:hAnsi="黑体" w:eastAsia="仿宋_GB2312"/>
          <w:sz w:val="32"/>
          <w:szCs w:val="32"/>
        </w:rPr>
      </w:pPr>
      <w:r>
        <w:rPr>
          <w:rFonts w:hint="eastAsia" w:ascii="仿宋_GB2312" w:hAnsi="黑体" w:eastAsia="仿宋_GB2312" w:cs="仿宋_GB2312"/>
          <w:sz w:val="32"/>
          <w:szCs w:val="32"/>
        </w:rPr>
        <w:t>无</w:t>
      </w:r>
    </w:p>
    <w:p>
      <w:pPr>
        <w:spacing w:line="600" w:lineRule="exact"/>
        <w:ind w:firstLine="640"/>
        <w:jc w:val="left"/>
        <w:rPr>
          <w:rFonts w:ascii="仿宋_GB2312" w:hAnsi="楷体" w:eastAsia="仿宋_GB2312"/>
          <w:sz w:val="32"/>
          <w:szCs w:val="32"/>
        </w:rPr>
      </w:pPr>
      <w:r>
        <w:rPr>
          <w:rFonts w:hint="eastAsia" w:ascii="仿宋_GB2312" w:hAnsi="楷体" w:eastAsia="仿宋_GB2312"/>
          <w:sz w:val="32"/>
          <w:szCs w:val="32"/>
        </w:rPr>
        <w:t>（三）政府性基金预算当年拨款具体使用情况</w:t>
      </w:r>
    </w:p>
    <w:p>
      <w:pPr>
        <w:spacing w:line="600" w:lineRule="exact"/>
        <w:ind w:firstLine="800" w:firstLineChars="250"/>
        <w:rPr>
          <w:rFonts w:ascii="仿宋_GB2312" w:hAnsi="黑体" w:eastAsia="仿宋_GB2312"/>
          <w:sz w:val="32"/>
          <w:szCs w:val="32"/>
        </w:rPr>
      </w:pPr>
      <w:r>
        <w:rPr>
          <w:rFonts w:hint="eastAsia" w:ascii="仿宋_GB2312" w:hAnsi="黑体" w:eastAsia="仿宋_GB2312" w:cs="仿宋_GB2312"/>
          <w:sz w:val="32"/>
          <w:szCs w:val="32"/>
        </w:rPr>
        <w:t>无</w:t>
      </w:r>
    </w:p>
    <w:p>
      <w:pPr>
        <w:spacing w:line="60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屯昌县南坤镇中心幼儿园202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60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屯昌县南坤镇中心幼儿园</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；支出包括：教育支出、社会保障和就业支出、卫生健康支出、住房保障支出。屯昌县南坤镇中心幼儿园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285</w:t>
      </w:r>
      <w:r>
        <w:rPr>
          <w:rFonts w:hint="eastAsia" w:ascii="仿宋_GB2312" w:hAnsi="黑体" w:eastAsia="仿宋_GB2312"/>
          <w:sz w:val="32"/>
          <w:szCs w:val="32"/>
        </w:rPr>
        <w:t>万元。</w:t>
      </w:r>
    </w:p>
    <w:p>
      <w:pPr>
        <w:spacing w:line="60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屯昌县南坤镇中心幼儿园202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285</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8.72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3.06</w:t>
      </w:r>
      <w:r>
        <w:rPr>
          <w:rFonts w:hint="eastAsia" w:ascii="仿宋_GB2312" w:hAnsi="黑体" w:eastAsia="仿宋_GB2312"/>
          <w:sz w:val="32"/>
          <w:szCs w:val="32"/>
        </w:rPr>
        <w:t>%；一般公共预算收入</w:t>
      </w:r>
      <w:r>
        <w:rPr>
          <w:rFonts w:hint="eastAsia" w:ascii="仿宋_GB2312" w:hAnsi="黑体" w:eastAsia="仿宋_GB2312"/>
          <w:sz w:val="32"/>
          <w:szCs w:val="32"/>
          <w:lang w:val="en-US" w:eastAsia="zh-CN"/>
        </w:rPr>
        <w:t xml:space="preserve">276.28 </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96.94</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2.17</w:t>
      </w:r>
      <w:r>
        <w:rPr>
          <w:rFonts w:hint="eastAsia" w:ascii="仿宋_GB2312" w:hAnsi="黑体" w:eastAsia="仿宋_GB2312" w:cs="仿宋_GB2312"/>
          <w:sz w:val="32"/>
          <w:szCs w:val="32"/>
        </w:rPr>
        <w:t>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工资福利增加</w:t>
      </w:r>
      <w:r>
        <w:rPr>
          <w:rFonts w:hint="eastAsia" w:ascii="仿宋_GB2312" w:hAnsi="黑体" w:eastAsia="仿宋_GB2312"/>
          <w:sz w:val="32"/>
          <w:szCs w:val="32"/>
        </w:rPr>
        <w:t>。</w:t>
      </w:r>
    </w:p>
    <w:p>
      <w:pPr>
        <w:spacing w:line="60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屯昌县南坤镇中心幼儿园202</w:t>
      </w:r>
      <w:r>
        <w:rPr>
          <w:rFonts w:hint="eastAsia" w:ascii="黑体" w:hAnsi="黑体" w:eastAsia="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spacing w:line="600" w:lineRule="exact"/>
        <w:ind w:firstLine="640" w:firstLineChars="200"/>
        <w:rPr>
          <w:rFonts w:hint="eastAsia" w:ascii="仿宋_GB2312" w:hAnsi="黑体" w:eastAsia="仿宋_GB2312" w:cs="仿宋_GB2312"/>
          <w:sz w:val="32"/>
          <w:szCs w:val="32"/>
        </w:rPr>
      </w:pPr>
      <w:r>
        <w:rPr>
          <w:rFonts w:hint="eastAsia" w:ascii="仿宋_GB2312" w:hAnsi="黑体" w:eastAsia="仿宋_GB2312"/>
          <w:sz w:val="32"/>
          <w:szCs w:val="32"/>
        </w:rPr>
        <w:t>屯昌县南坤镇中心幼儿园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285</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 xml:space="preserve">275.31 </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96.60</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9.69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3</w:t>
      </w:r>
      <w:r>
        <w:rPr>
          <w:rFonts w:hint="eastAsia" w:ascii="仿宋_GB2312" w:hAnsi="黑体" w:eastAsia="仿宋_GB2312" w:cs="仿宋_GB2312"/>
          <w:sz w:val="32"/>
          <w:szCs w:val="32"/>
          <w:lang w:val="en-US" w:eastAsia="zh-CN"/>
        </w:rPr>
        <w:t>.40</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2.17</w:t>
      </w:r>
      <w:r>
        <w:rPr>
          <w:rFonts w:hint="eastAsia" w:ascii="仿宋_GB2312" w:hAnsi="黑体" w:eastAsia="仿宋_GB2312" w:cs="仿宋_GB2312"/>
          <w:sz w:val="32"/>
          <w:szCs w:val="32"/>
        </w:rPr>
        <w:t>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工资福利增加</w:t>
      </w:r>
      <w:r>
        <w:rPr>
          <w:rFonts w:hint="eastAsia" w:ascii="仿宋_GB2312" w:hAnsi="黑体" w:eastAsia="仿宋_GB2312"/>
          <w:sz w:val="32"/>
          <w:szCs w:val="32"/>
        </w:rPr>
        <w:t>。</w:t>
      </w:r>
    </w:p>
    <w:p>
      <w:pPr>
        <w:spacing w:line="60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60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（一）机关运行经费</w:t>
      </w:r>
    </w:p>
    <w:p>
      <w:pPr>
        <w:spacing w:line="600" w:lineRule="exact"/>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年屯昌县南坤镇中心幼儿园</w:t>
      </w:r>
      <w:r>
        <w:rPr>
          <w:rFonts w:hint="eastAsia" w:ascii="仿宋_GB2312" w:hAnsi="黑体" w:eastAsia="仿宋_GB2312" w:cs="仿宋_GB2312"/>
          <w:sz w:val="32"/>
          <w:szCs w:val="32"/>
        </w:rPr>
        <w:t>无</w:t>
      </w:r>
      <w:r>
        <w:rPr>
          <w:rFonts w:hint="eastAsia" w:ascii="仿宋_GB2312" w:hAnsi="黑体" w:eastAsia="仿宋_GB2312"/>
          <w:sz w:val="32"/>
          <w:szCs w:val="32"/>
        </w:rPr>
        <w:t>机关运行经费</w:t>
      </w:r>
      <w:r>
        <w:rPr>
          <w:rFonts w:hint="eastAsia" w:ascii="仿宋_GB2312" w:hAnsi="黑体" w:eastAsia="仿宋_GB2312"/>
          <w:sz w:val="32"/>
          <w:szCs w:val="32"/>
          <w:lang w:eastAsia="zh-CN"/>
        </w:rPr>
        <w:t>。</w:t>
      </w:r>
    </w:p>
    <w:p>
      <w:pPr>
        <w:spacing w:line="600" w:lineRule="exact"/>
        <w:ind w:firstLine="640" w:firstLineChars="200"/>
        <w:rPr>
          <w:rFonts w:ascii="仿宋_GB2312" w:hAnsi="楷体" w:eastAsia="仿宋_GB2312"/>
          <w:sz w:val="32"/>
          <w:szCs w:val="32"/>
        </w:rPr>
      </w:pPr>
      <w:r>
        <w:rPr>
          <w:rFonts w:hint="eastAsia" w:ascii="仿宋_GB2312" w:hAnsi="楷体" w:eastAsia="仿宋_GB2312"/>
          <w:sz w:val="32"/>
          <w:szCs w:val="32"/>
        </w:rPr>
        <w:t>（二）政府采购情况</w:t>
      </w:r>
    </w:p>
    <w:p>
      <w:pPr>
        <w:spacing w:line="600" w:lineRule="exact"/>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年屯昌县南坤镇中心幼儿园</w:t>
      </w:r>
      <w:r>
        <w:rPr>
          <w:rFonts w:hint="eastAsia" w:ascii="仿宋_GB2312" w:hAnsi="黑体" w:eastAsia="仿宋_GB2312" w:cs="仿宋_GB2312"/>
          <w:sz w:val="32"/>
          <w:szCs w:val="32"/>
        </w:rPr>
        <w:t>无政府采购预算</w:t>
      </w:r>
      <w:r>
        <w:rPr>
          <w:rFonts w:hint="eastAsia" w:ascii="仿宋_GB2312" w:hAnsi="黑体" w:eastAsia="仿宋_GB2312"/>
          <w:sz w:val="32"/>
          <w:szCs w:val="32"/>
        </w:rPr>
        <w:t>。</w:t>
      </w:r>
    </w:p>
    <w:p>
      <w:pPr>
        <w:spacing w:line="600" w:lineRule="exact"/>
        <w:ind w:firstLine="640" w:firstLineChars="200"/>
        <w:rPr>
          <w:rFonts w:ascii="仿宋_GB2312" w:hAnsi="楷体" w:eastAsia="仿宋_GB2312"/>
          <w:sz w:val="32"/>
          <w:szCs w:val="32"/>
        </w:rPr>
      </w:pPr>
      <w:r>
        <w:rPr>
          <w:rFonts w:hint="eastAsia" w:ascii="仿宋_GB2312" w:hAnsi="楷体" w:eastAsia="仿宋_GB2312"/>
          <w:sz w:val="32"/>
          <w:szCs w:val="32"/>
        </w:rPr>
        <w:t>（三）国有资产占有使用情况</w:t>
      </w:r>
    </w:p>
    <w:p>
      <w:pPr>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年12月31日，屯昌县南坤镇中心幼儿园</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spacing w:line="600" w:lineRule="exact"/>
        <w:ind w:firstLine="640" w:firstLineChars="200"/>
        <w:rPr>
          <w:rFonts w:ascii="仿宋_GB2312" w:hAnsi="楷体" w:eastAsia="仿宋_GB2312"/>
          <w:sz w:val="32"/>
          <w:szCs w:val="32"/>
        </w:rPr>
      </w:pPr>
      <w:r>
        <w:rPr>
          <w:rFonts w:hint="eastAsia" w:ascii="仿宋_GB2312" w:hAnsi="楷体" w:eastAsia="仿宋_GB2312"/>
          <w:sz w:val="32"/>
          <w:szCs w:val="32"/>
        </w:rPr>
        <w:t>（四）绩效目标设置情况</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年屯昌县</w:t>
      </w:r>
      <w:r>
        <w:rPr>
          <w:rFonts w:hint="eastAsia" w:ascii="仿宋_GB2312" w:hAnsi="黑体" w:eastAsia="仿宋_GB2312"/>
          <w:sz w:val="32"/>
          <w:szCs w:val="32"/>
          <w:lang w:eastAsia="zh-CN"/>
        </w:rPr>
        <w:t>南坤镇</w:t>
      </w:r>
      <w:r>
        <w:rPr>
          <w:rFonts w:hint="eastAsia" w:ascii="仿宋_GB2312" w:hAnsi="黑体" w:eastAsia="仿宋_GB2312"/>
          <w:sz w:val="32"/>
          <w:szCs w:val="32"/>
        </w:rPr>
        <w:t>中心幼儿园1</w:t>
      </w:r>
      <w:r>
        <w:rPr>
          <w:rFonts w:hint="eastAsia" w:ascii="仿宋_GB2312" w:hAnsi="黑体" w:eastAsia="仿宋_GB2312"/>
          <w:sz w:val="32"/>
          <w:szCs w:val="32"/>
          <w:lang w:val="en-US" w:eastAsia="zh-CN"/>
        </w:rPr>
        <w:t>1</w:t>
      </w:r>
      <w:r>
        <w:rPr>
          <w:rFonts w:hint="eastAsia" w:ascii="仿宋_GB2312" w:hAnsi="黑体" w:eastAsia="仿宋_GB2312"/>
          <w:sz w:val="32"/>
          <w:szCs w:val="32"/>
        </w:rPr>
        <w:t>个项目实行绩效目标管理，涉及一般公共预算</w:t>
      </w:r>
      <w:r>
        <w:rPr>
          <w:rFonts w:hint="eastAsia" w:ascii="仿宋_GB2312" w:hAnsi="黑体" w:eastAsia="仿宋_GB2312"/>
          <w:sz w:val="32"/>
          <w:szCs w:val="32"/>
          <w:lang w:val="en-US" w:eastAsia="zh-CN"/>
        </w:rPr>
        <w:t>276.27</w:t>
      </w:r>
      <w:bookmarkStart w:id="0" w:name="_GoBack"/>
      <w:bookmarkEnd w:id="0"/>
      <w:r>
        <w:rPr>
          <w:rFonts w:hint="eastAsia" w:ascii="仿宋_GB2312" w:hAnsi="黑体" w:eastAsia="仿宋_GB2312"/>
          <w:sz w:val="32"/>
          <w:szCs w:val="32"/>
        </w:rPr>
        <w:t>万元，政府性基金0万元。</w:t>
      </w:r>
    </w:p>
    <w:p>
      <w:pPr>
        <w:spacing w:line="600" w:lineRule="exact"/>
        <w:jc w:val="center"/>
        <w:rPr>
          <w:rFonts w:ascii="黑体" w:hAnsi="黑体" w:eastAsia="黑体"/>
          <w:sz w:val="32"/>
          <w:szCs w:val="32"/>
        </w:rPr>
      </w:pPr>
    </w:p>
    <w:p>
      <w:pPr>
        <w:spacing w:line="600" w:lineRule="exact"/>
        <w:jc w:val="left"/>
        <w:rPr>
          <w:rFonts w:ascii="仿宋_GB2312" w:hAnsi="宋体" w:eastAsia="仿宋_GB2312" w:cs="宋体"/>
          <w:color w:val="000000"/>
          <w:kern w:val="0"/>
          <w:sz w:val="32"/>
          <w:szCs w:val="30"/>
        </w:rPr>
      </w:pPr>
    </w:p>
    <w:p>
      <w:pPr>
        <w:spacing w:line="600" w:lineRule="exact"/>
        <w:jc w:val="center"/>
        <w:rPr>
          <w:rFonts w:ascii="黑体" w:hAnsi="黑体" w:eastAsia="黑体"/>
          <w:b/>
          <w:sz w:val="32"/>
          <w:szCs w:val="32"/>
        </w:rPr>
      </w:pPr>
      <w:r>
        <w:rPr>
          <w:rFonts w:hint="eastAsia" w:ascii="黑体" w:hAnsi="黑体" w:eastAsia="黑体"/>
          <w:b/>
          <w:sz w:val="32"/>
          <w:szCs w:val="32"/>
        </w:rPr>
        <w:t>第四部分  名词解释</w:t>
      </w:r>
    </w:p>
    <w:p>
      <w:pPr>
        <w:spacing w:line="600" w:lineRule="exact"/>
        <w:ind w:firstLine="640" w:firstLineChars="200"/>
        <w:jc w:val="left"/>
        <w:rPr>
          <w:rFonts w:ascii="仿宋_GB2312" w:hAnsi="宋体" w:eastAsia="仿宋_GB2312" w:cs="宋体"/>
          <w:color w:val="000000"/>
          <w:kern w:val="0"/>
          <w:sz w:val="32"/>
          <w:szCs w:val="32"/>
        </w:rPr>
      </w:pP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spacing w:line="60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spacing w:line="600" w:lineRule="exact"/>
        <w:ind w:firstLine="640" w:firstLineChars="200"/>
        <w:jc w:val="left"/>
        <w:rPr>
          <w:rFonts w:ascii="仿宋_GB2312" w:hAnsi="宋体" w:eastAsia="仿宋_GB2312" w:cs="宋体"/>
          <w:color w:val="000000"/>
          <w:kern w:val="0"/>
          <w:sz w:val="32"/>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xZGQ3ZDcyNjNmMDlkNDk2NzllN2VmNTllNGQxYzkifQ=="/>
  </w:docVars>
  <w:rsids>
    <w:rsidRoot w:val="00F91B44"/>
    <w:rsid w:val="00000983"/>
    <w:rsid w:val="00003088"/>
    <w:rsid w:val="00006DB5"/>
    <w:rsid w:val="000211E5"/>
    <w:rsid w:val="00031BB9"/>
    <w:rsid w:val="000530E4"/>
    <w:rsid w:val="000B6A1F"/>
    <w:rsid w:val="000D7F02"/>
    <w:rsid w:val="000E4C4D"/>
    <w:rsid w:val="000F4424"/>
    <w:rsid w:val="00126ECC"/>
    <w:rsid w:val="001326C1"/>
    <w:rsid w:val="001331E9"/>
    <w:rsid w:val="00173B57"/>
    <w:rsid w:val="0017407B"/>
    <w:rsid w:val="001847DD"/>
    <w:rsid w:val="001A23E1"/>
    <w:rsid w:val="001A7472"/>
    <w:rsid w:val="001D62ED"/>
    <w:rsid w:val="001E2EC3"/>
    <w:rsid w:val="00203CD9"/>
    <w:rsid w:val="002330B8"/>
    <w:rsid w:val="00236F3D"/>
    <w:rsid w:val="002530AD"/>
    <w:rsid w:val="0025735D"/>
    <w:rsid w:val="00270498"/>
    <w:rsid w:val="00283E6E"/>
    <w:rsid w:val="00293316"/>
    <w:rsid w:val="002956BC"/>
    <w:rsid w:val="002A59FA"/>
    <w:rsid w:val="002C2989"/>
    <w:rsid w:val="002C62E7"/>
    <w:rsid w:val="002E73B0"/>
    <w:rsid w:val="003017C8"/>
    <w:rsid w:val="00331958"/>
    <w:rsid w:val="00343757"/>
    <w:rsid w:val="0034580F"/>
    <w:rsid w:val="00361BBA"/>
    <w:rsid w:val="00362AC6"/>
    <w:rsid w:val="003656E4"/>
    <w:rsid w:val="003834C9"/>
    <w:rsid w:val="003847B6"/>
    <w:rsid w:val="00406317"/>
    <w:rsid w:val="00414FFB"/>
    <w:rsid w:val="004168EE"/>
    <w:rsid w:val="004205ED"/>
    <w:rsid w:val="00427918"/>
    <w:rsid w:val="004313AB"/>
    <w:rsid w:val="004522A5"/>
    <w:rsid w:val="00464BFE"/>
    <w:rsid w:val="00464FC2"/>
    <w:rsid w:val="00465A20"/>
    <w:rsid w:val="00474F12"/>
    <w:rsid w:val="004902AB"/>
    <w:rsid w:val="004A1C49"/>
    <w:rsid w:val="004D40B2"/>
    <w:rsid w:val="00520C95"/>
    <w:rsid w:val="00521F2A"/>
    <w:rsid w:val="00522287"/>
    <w:rsid w:val="00525863"/>
    <w:rsid w:val="00530235"/>
    <w:rsid w:val="00537B3F"/>
    <w:rsid w:val="005410E7"/>
    <w:rsid w:val="00543359"/>
    <w:rsid w:val="0057063E"/>
    <w:rsid w:val="0059423F"/>
    <w:rsid w:val="005C2065"/>
    <w:rsid w:val="005E1876"/>
    <w:rsid w:val="00602742"/>
    <w:rsid w:val="006172E2"/>
    <w:rsid w:val="0062474A"/>
    <w:rsid w:val="0062662F"/>
    <w:rsid w:val="00640059"/>
    <w:rsid w:val="006614A8"/>
    <w:rsid w:val="0067644B"/>
    <w:rsid w:val="0067790F"/>
    <w:rsid w:val="006871F7"/>
    <w:rsid w:val="006949A5"/>
    <w:rsid w:val="006A7F54"/>
    <w:rsid w:val="006B1FB3"/>
    <w:rsid w:val="006B710C"/>
    <w:rsid w:val="006D6C06"/>
    <w:rsid w:val="006E1A2C"/>
    <w:rsid w:val="006F0E1B"/>
    <w:rsid w:val="007025F0"/>
    <w:rsid w:val="00733B99"/>
    <w:rsid w:val="0075151D"/>
    <w:rsid w:val="007523E7"/>
    <w:rsid w:val="00757328"/>
    <w:rsid w:val="00760B94"/>
    <w:rsid w:val="00786240"/>
    <w:rsid w:val="00793A7F"/>
    <w:rsid w:val="007B3322"/>
    <w:rsid w:val="007C5C86"/>
    <w:rsid w:val="007E4EAF"/>
    <w:rsid w:val="007E7C1A"/>
    <w:rsid w:val="007F02FE"/>
    <w:rsid w:val="007F4964"/>
    <w:rsid w:val="007F7D84"/>
    <w:rsid w:val="008039E3"/>
    <w:rsid w:val="008224A1"/>
    <w:rsid w:val="00823AC2"/>
    <w:rsid w:val="008474D4"/>
    <w:rsid w:val="00861818"/>
    <w:rsid w:val="008843EA"/>
    <w:rsid w:val="00893158"/>
    <w:rsid w:val="00895961"/>
    <w:rsid w:val="008B3A6D"/>
    <w:rsid w:val="008B7646"/>
    <w:rsid w:val="008D3787"/>
    <w:rsid w:val="008D4AFD"/>
    <w:rsid w:val="008E335F"/>
    <w:rsid w:val="009262C2"/>
    <w:rsid w:val="00926751"/>
    <w:rsid w:val="00933AF6"/>
    <w:rsid w:val="00936F4D"/>
    <w:rsid w:val="00947538"/>
    <w:rsid w:val="009616E6"/>
    <w:rsid w:val="0097495B"/>
    <w:rsid w:val="009846A5"/>
    <w:rsid w:val="00995DA5"/>
    <w:rsid w:val="009A330F"/>
    <w:rsid w:val="009A7D42"/>
    <w:rsid w:val="009B0784"/>
    <w:rsid w:val="009C49AE"/>
    <w:rsid w:val="009D285C"/>
    <w:rsid w:val="009D3DB8"/>
    <w:rsid w:val="009F52FB"/>
    <w:rsid w:val="009F6EAA"/>
    <w:rsid w:val="00A36276"/>
    <w:rsid w:val="00A40F22"/>
    <w:rsid w:val="00A545A0"/>
    <w:rsid w:val="00AC3363"/>
    <w:rsid w:val="00AC64CD"/>
    <w:rsid w:val="00AE2FF8"/>
    <w:rsid w:val="00AE38A2"/>
    <w:rsid w:val="00AF0895"/>
    <w:rsid w:val="00B00E26"/>
    <w:rsid w:val="00B02249"/>
    <w:rsid w:val="00B06E7E"/>
    <w:rsid w:val="00B40F5A"/>
    <w:rsid w:val="00BB6117"/>
    <w:rsid w:val="00BE1257"/>
    <w:rsid w:val="00BE6724"/>
    <w:rsid w:val="00BF4CC6"/>
    <w:rsid w:val="00C30F42"/>
    <w:rsid w:val="00C34A1E"/>
    <w:rsid w:val="00C46E5E"/>
    <w:rsid w:val="00C50F26"/>
    <w:rsid w:val="00C75300"/>
    <w:rsid w:val="00C82743"/>
    <w:rsid w:val="00C91D51"/>
    <w:rsid w:val="00C97DC9"/>
    <w:rsid w:val="00CA7DBE"/>
    <w:rsid w:val="00CD7757"/>
    <w:rsid w:val="00D35A34"/>
    <w:rsid w:val="00D507A2"/>
    <w:rsid w:val="00D617E2"/>
    <w:rsid w:val="00D66AB6"/>
    <w:rsid w:val="00DA3920"/>
    <w:rsid w:val="00DA6FDB"/>
    <w:rsid w:val="00DB5E2D"/>
    <w:rsid w:val="00DC65EF"/>
    <w:rsid w:val="00DD3FD8"/>
    <w:rsid w:val="00DE4050"/>
    <w:rsid w:val="00E304C9"/>
    <w:rsid w:val="00E3389C"/>
    <w:rsid w:val="00E5649F"/>
    <w:rsid w:val="00E637D8"/>
    <w:rsid w:val="00E65F96"/>
    <w:rsid w:val="00E700C6"/>
    <w:rsid w:val="00E71AF9"/>
    <w:rsid w:val="00E73A4A"/>
    <w:rsid w:val="00E84A11"/>
    <w:rsid w:val="00EB1046"/>
    <w:rsid w:val="00EB2C25"/>
    <w:rsid w:val="00ED50D0"/>
    <w:rsid w:val="00ED6580"/>
    <w:rsid w:val="00EE5F3D"/>
    <w:rsid w:val="00F442C4"/>
    <w:rsid w:val="00F874AC"/>
    <w:rsid w:val="00F91B44"/>
    <w:rsid w:val="00F91C54"/>
    <w:rsid w:val="00FA302C"/>
    <w:rsid w:val="00FB0A31"/>
    <w:rsid w:val="00FB1636"/>
    <w:rsid w:val="00FC23ED"/>
    <w:rsid w:val="00FF3698"/>
    <w:rsid w:val="01551ACE"/>
    <w:rsid w:val="01987FE8"/>
    <w:rsid w:val="01F176F8"/>
    <w:rsid w:val="01FD6C9D"/>
    <w:rsid w:val="024721D3"/>
    <w:rsid w:val="02811916"/>
    <w:rsid w:val="02A84AB0"/>
    <w:rsid w:val="034547DA"/>
    <w:rsid w:val="04243DB5"/>
    <w:rsid w:val="04C30BDB"/>
    <w:rsid w:val="055C30DB"/>
    <w:rsid w:val="05E31E62"/>
    <w:rsid w:val="06191E5D"/>
    <w:rsid w:val="064766ED"/>
    <w:rsid w:val="0661309E"/>
    <w:rsid w:val="08A471BD"/>
    <w:rsid w:val="08D12032"/>
    <w:rsid w:val="0A981059"/>
    <w:rsid w:val="0ADC4FB1"/>
    <w:rsid w:val="0AFA7594"/>
    <w:rsid w:val="0B4841CB"/>
    <w:rsid w:val="0BAA0645"/>
    <w:rsid w:val="0C111E58"/>
    <w:rsid w:val="0C177481"/>
    <w:rsid w:val="0C1C016F"/>
    <w:rsid w:val="0CC131CE"/>
    <w:rsid w:val="0E1A438E"/>
    <w:rsid w:val="0F4D4294"/>
    <w:rsid w:val="10AA2A1C"/>
    <w:rsid w:val="10BE010E"/>
    <w:rsid w:val="11932137"/>
    <w:rsid w:val="12B502CE"/>
    <w:rsid w:val="13173EAD"/>
    <w:rsid w:val="14027505"/>
    <w:rsid w:val="146475A4"/>
    <w:rsid w:val="15560574"/>
    <w:rsid w:val="15F27361"/>
    <w:rsid w:val="17A0779F"/>
    <w:rsid w:val="17AE76BB"/>
    <w:rsid w:val="180C184F"/>
    <w:rsid w:val="1A055AF4"/>
    <w:rsid w:val="1AB544D5"/>
    <w:rsid w:val="1AFD354D"/>
    <w:rsid w:val="1CC00E4E"/>
    <w:rsid w:val="1F533F4A"/>
    <w:rsid w:val="1F5E5516"/>
    <w:rsid w:val="20AD05D0"/>
    <w:rsid w:val="21E25535"/>
    <w:rsid w:val="22795849"/>
    <w:rsid w:val="22DE396A"/>
    <w:rsid w:val="255746EF"/>
    <w:rsid w:val="264E7259"/>
    <w:rsid w:val="26A41FEE"/>
    <w:rsid w:val="26D92385"/>
    <w:rsid w:val="27093A05"/>
    <w:rsid w:val="279664C8"/>
    <w:rsid w:val="27A62670"/>
    <w:rsid w:val="27C70430"/>
    <w:rsid w:val="27E014F2"/>
    <w:rsid w:val="28721254"/>
    <w:rsid w:val="2985733D"/>
    <w:rsid w:val="29BC580F"/>
    <w:rsid w:val="2B907022"/>
    <w:rsid w:val="2BA25FB3"/>
    <w:rsid w:val="2D1A54C4"/>
    <w:rsid w:val="2D1C4D7A"/>
    <w:rsid w:val="2DF56A64"/>
    <w:rsid w:val="2E343AA7"/>
    <w:rsid w:val="2E572DCE"/>
    <w:rsid w:val="2EA46BD0"/>
    <w:rsid w:val="2EED226E"/>
    <w:rsid w:val="2F2820FC"/>
    <w:rsid w:val="2FAC5238"/>
    <w:rsid w:val="2FAE5EA4"/>
    <w:rsid w:val="2FB860AF"/>
    <w:rsid w:val="2FCC6381"/>
    <w:rsid w:val="2FDC6A42"/>
    <w:rsid w:val="30483335"/>
    <w:rsid w:val="30E90D9E"/>
    <w:rsid w:val="31350B00"/>
    <w:rsid w:val="315216B2"/>
    <w:rsid w:val="31BD320E"/>
    <w:rsid w:val="323B725F"/>
    <w:rsid w:val="3306446B"/>
    <w:rsid w:val="33B3776F"/>
    <w:rsid w:val="3498562E"/>
    <w:rsid w:val="34B3498C"/>
    <w:rsid w:val="34B7733E"/>
    <w:rsid w:val="34BD6E42"/>
    <w:rsid w:val="34E90166"/>
    <w:rsid w:val="35452C17"/>
    <w:rsid w:val="35B32BB0"/>
    <w:rsid w:val="36174C78"/>
    <w:rsid w:val="36DF526D"/>
    <w:rsid w:val="374B5A83"/>
    <w:rsid w:val="375D309C"/>
    <w:rsid w:val="37A5308B"/>
    <w:rsid w:val="37E436AC"/>
    <w:rsid w:val="3932356A"/>
    <w:rsid w:val="39710B8C"/>
    <w:rsid w:val="39912999"/>
    <w:rsid w:val="39D934E9"/>
    <w:rsid w:val="3A445D6B"/>
    <w:rsid w:val="3C623DB2"/>
    <w:rsid w:val="3D104D78"/>
    <w:rsid w:val="3E547401"/>
    <w:rsid w:val="3FA64287"/>
    <w:rsid w:val="3FA776F6"/>
    <w:rsid w:val="40080BF4"/>
    <w:rsid w:val="407C22A8"/>
    <w:rsid w:val="4093139F"/>
    <w:rsid w:val="4234616D"/>
    <w:rsid w:val="42723962"/>
    <w:rsid w:val="42CD2946"/>
    <w:rsid w:val="42E3486C"/>
    <w:rsid w:val="4348021F"/>
    <w:rsid w:val="439B0C97"/>
    <w:rsid w:val="43A85162"/>
    <w:rsid w:val="43AF684F"/>
    <w:rsid w:val="43D9570B"/>
    <w:rsid w:val="45464C32"/>
    <w:rsid w:val="47AB6FCE"/>
    <w:rsid w:val="47D71A75"/>
    <w:rsid w:val="47EC4F35"/>
    <w:rsid w:val="4895654E"/>
    <w:rsid w:val="490F582F"/>
    <w:rsid w:val="49165B2B"/>
    <w:rsid w:val="49203B07"/>
    <w:rsid w:val="49D2233C"/>
    <w:rsid w:val="49E5407C"/>
    <w:rsid w:val="49F44C5D"/>
    <w:rsid w:val="4A5D0A54"/>
    <w:rsid w:val="4BE62B26"/>
    <w:rsid w:val="4CAF30A3"/>
    <w:rsid w:val="4CB50B6F"/>
    <w:rsid w:val="4CBE0994"/>
    <w:rsid w:val="4CCE5C39"/>
    <w:rsid w:val="4D021D86"/>
    <w:rsid w:val="4DB32AF8"/>
    <w:rsid w:val="4EB25B68"/>
    <w:rsid w:val="4F1D2EA8"/>
    <w:rsid w:val="504D4F36"/>
    <w:rsid w:val="5060196D"/>
    <w:rsid w:val="50B16A12"/>
    <w:rsid w:val="50CE08F1"/>
    <w:rsid w:val="5184129E"/>
    <w:rsid w:val="51C4760A"/>
    <w:rsid w:val="526A0F03"/>
    <w:rsid w:val="527466E7"/>
    <w:rsid w:val="52CC013D"/>
    <w:rsid w:val="53047AFC"/>
    <w:rsid w:val="5321183A"/>
    <w:rsid w:val="532D225D"/>
    <w:rsid w:val="53342159"/>
    <w:rsid w:val="535F1D9D"/>
    <w:rsid w:val="537108FA"/>
    <w:rsid w:val="540E2DBF"/>
    <w:rsid w:val="54675781"/>
    <w:rsid w:val="54FA6421"/>
    <w:rsid w:val="550822A6"/>
    <w:rsid w:val="565630A1"/>
    <w:rsid w:val="565B6970"/>
    <w:rsid w:val="56E66275"/>
    <w:rsid w:val="57266671"/>
    <w:rsid w:val="58185ADE"/>
    <w:rsid w:val="582E4750"/>
    <w:rsid w:val="59140E77"/>
    <w:rsid w:val="5A574759"/>
    <w:rsid w:val="5AF61AEB"/>
    <w:rsid w:val="5AF87E87"/>
    <w:rsid w:val="5B3B2464"/>
    <w:rsid w:val="5BB56ECC"/>
    <w:rsid w:val="5BC8220C"/>
    <w:rsid w:val="5BFE071F"/>
    <w:rsid w:val="5C2515ED"/>
    <w:rsid w:val="5CF52406"/>
    <w:rsid w:val="5D55380D"/>
    <w:rsid w:val="5DB91FED"/>
    <w:rsid w:val="5E021BE6"/>
    <w:rsid w:val="5E6A6B1A"/>
    <w:rsid w:val="5EA50B7A"/>
    <w:rsid w:val="5F2530EF"/>
    <w:rsid w:val="5F3D4A8E"/>
    <w:rsid w:val="5FDD10E7"/>
    <w:rsid w:val="5FED41D0"/>
    <w:rsid w:val="60200102"/>
    <w:rsid w:val="60597F1B"/>
    <w:rsid w:val="610712C2"/>
    <w:rsid w:val="61202383"/>
    <w:rsid w:val="61C8644C"/>
    <w:rsid w:val="62EA1BDB"/>
    <w:rsid w:val="633914DA"/>
    <w:rsid w:val="633B12A2"/>
    <w:rsid w:val="63750765"/>
    <w:rsid w:val="63EF49BB"/>
    <w:rsid w:val="647C714C"/>
    <w:rsid w:val="647F05E2"/>
    <w:rsid w:val="64EA5C9A"/>
    <w:rsid w:val="64F03BE6"/>
    <w:rsid w:val="650A1380"/>
    <w:rsid w:val="6569108E"/>
    <w:rsid w:val="664803B2"/>
    <w:rsid w:val="66BA7397"/>
    <w:rsid w:val="672E36D8"/>
    <w:rsid w:val="67386679"/>
    <w:rsid w:val="68856953"/>
    <w:rsid w:val="6964204C"/>
    <w:rsid w:val="6A4D27DB"/>
    <w:rsid w:val="6B7821FA"/>
    <w:rsid w:val="6BF026FC"/>
    <w:rsid w:val="6BFC26E7"/>
    <w:rsid w:val="6C847C6A"/>
    <w:rsid w:val="6D5B3D2B"/>
    <w:rsid w:val="6F916A69"/>
    <w:rsid w:val="6FE1390C"/>
    <w:rsid w:val="705160B5"/>
    <w:rsid w:val="705E2DA8"/>
    <w:rsid w:val="706B361B"/>
    <w:rsid w:val="70F30B37"/>
    <w:rsid w:val="71893F31"/>
    <w:rsid w:val="719C09CF"/>
    <w:rsid w:val="71A028FF"/>
    <w:rsid w:val="72507201"/>
    <w:rsid w:val="725D0F73"/>
    <w:rsid w:val="73EC6142"/>
    <w:rsid w:val="747437CD"/>
    <w:rsid w:val="748D6E00"/>
    <w:rsid w:val="74980B66"/>
    <w:rsid w:val="74C66732"/>
    <w:rsid w:val="74EB75B6"/>
    <w:rsid w:val="74EC4EE3"/>
    <w:rsid w:val="75071439"/>
    <w:rsid w:val="7561323F"/>
    <w:rsid w:val="76943AE5"/>
    <w:rsid w:val="76A92DB6"/>
    <w:rsid w:val="76AD0A7A"/>
    <w:rsid w:val="76F87E38"/>
    <w:rsid w:val="7824661F"/>
    <w:rsid w:val="78374A6B"/>
    <w:rsid w:val="78570929"/>
    <w:rsid w:val="78C956B2"/>
    <w:rsid w:val="78E71CAD"/>
    <w:rsid w:val="79167E9C"/>
    <w:rsid w:val="79255B14"/>
    <w:rsid w:val="798D3FFC"/>
    <w:rsid w:val="7A750010"/>
    <w:rsid w:val="7ABE2599"/>
    <w:rsid w:val="7BED0240"/>
    <w:rsid w:val="7C230514"/>
    <w:rsid w:val="7CEB6FA3"/>
    <w:rsid w:val="7DAE2D99"/>
    <w:rsid w:val="7DEA6CE5"/>
    <w:rsid w:val="7E154BC6"/>
    <w:rsid w:val="7E611BB9"/>
    <w:rsid w:val="7F87465A"/>
    <w:rsid w:val="7F8802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qFormat/>
    <w:uiPriority w:val="99"/>
    <w:rPr>
      <w:kern w:val="2"/>
      <w:sz w:val="18"/>
      <w:szCs w:val="18"/>
    </w:rPr>
  </w:style>
  <w:style w:type="paragraph" w:customStyle="1" w:styleId="11">
    <w:name w:val="List Paragraph1"/>
    <w:basedOn w:val="1"/>
    <w:qFormat/>
    <w:uiPriority w:val="99"/>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3131</Words>
  <Characters>3436</Characters>
  <Lines>25</Lines>
  <Paragraphs>7</Paragraphs>
  <TotalTime>9</TotalTime>
  <ScaleCrop>false</ScaleCrop>
  <LinksUpToDate>false</LinksUpToDate>
  <CharactersWithSpaces>3453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2020-02-13T09:02:00Z</dcterms:created>
  <dc:creator>null,null,总收发</dc:creator>
  <cp:lastModifiedBy>Administrator</cp:lastModifiedBy>
  <dcterms:modified xsi:type="dcterms:W3CDTF">2025-02-27T10:20:34Z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ICV">
    <vt:lpwstr>7870D028D0B54ED5B6AF3D9100C36E09</vt:lpwstr>
  </property>
</Properties>
</file>