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color w:val="000000" w:themeColor="text1"/>
          <w:sz w:val="84"/>
          <w:szCs w:val="84"/>
          <w:u w:val="single"/>
          <w14:textFill>
            <w14:solidFill>
              <w14:schemeClr w14:val="tx1"/>
            </w14:solidFill>
          </w14:textFill>
        </w:rPr>
      </w:pPr>
    </w:p>
    <w:p>
      <w:pPr>
        <w:ind w:firstLine="0"/>
        <w:jc w:val="cente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pPr>
      <w:r>
        <w:rPr>
          <w:rFonts w:hint="eastAsia" w:ascii="方正小标宋_GBK" w:hAnsi="方正小标宋_GBK" w:eastAsia="方正小标宋_GBK" w:cs="方正小标宋_GBK"/>
          <w:color w:val="auto"/>
          <w:sz w:val="44"/>
          <w:szCs w:val="44"/>
          <w:highlight w:val="none"/>
          <w:u w:val="none"/>
          <w:lang w:val="en-US" w:eastAsia="zh-CN"/>
        </w:rPr>
        <w:t>2025</w:t>
      </w:r>
      <w:r>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t>年屯昌县南吕镇中心幼儿园</w:t>
      </w: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单位</w:t>
      </w:r>
      <w:r>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t>预算</w:t>
      </w: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sectPr>
          <w:pgSz w:w="11906" w:h="16838"/>
          <w:pgMar w:top="1440" w:right="1800" w:bottom="1440" w:left="1800" w:header="851" w:footer="992" w:gutter="0"/>
          <w:pgNumType w:fmt="decimal"/>
          <w:cols w:space="720" w:num="1"/>
          <w:docGrid w:type="lines" w:linePitch="312" w:charSpace="0"/>
        </w:sect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屯昌县南吕镇中心幼儿园</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预算单位构成（单位公开没有这部分内容）</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lang w:eastAsia="zh-CN"/>
        </w:rPr>
        <w:t>屯昌县南吕镇中心幼儿园</w:t>
      </w:r>
      <w:r>
        <w:rPr>
          <w:rFonts w:hint="eastAsia" w:ascii="黑体" w:hAnsi="黑体" w:eastAsia="黑体" w:cs="黑体"/>
          <w:b w:val="0"/>
          <w:bCs w:val="0"/>
          <w:sz w:val="32"/>
          <w:szCs w:val="32"/>
          <w:lang w:val="en-US" w:eastAsia="zh-CN"/>
        </w:rPr>
        <w:t>2025年单位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lang w:eastAsia="zh-CN"/>
        </w:rPr>
        <w:t>屯昌县南吕镇中心幼儿园</w:t>
      </w:r>
      <w:r>
        <w:rPr>
          <w:rFonts w:hint="eastAsia" w:ascii="黑体" w:hAnsi="黑体" w:eastAsia="黑体" w:cs="黑体"/>
          <w:b w:val="0"/>
          <w:bCs w:val="0"/>
          <w:sz w:val="32"/>
          <w:szCs w:val="32"/>
          <w:lang w:val="en-US" w:eastAsia="zh-CN"/>
        </w:rPr>
        <w:t>2025年</w:t>
      </w:r>
      <w:r>
        <w:rPr>
          <w:rFonts w:hint="eastAsia" w:ascii="黑体" w:hAnsi="黑体" w:eastAsia="黑体"/>
          <w:sz w:val="32"/>
          <w:szCs w:val="32"/>
        </w:rPr>
        <w:t>预算情况说明</w:t>
      </w:r>
    </w:p>
    <w:p>
      <w:pPr>
        <w:pStyle w:val="7"/>
        <w:numPr>
          <w:ilvl w:val="-1"/>
          <w:numId w:val="0"/>
        </w:numPr>
        <w:ind w:left="0" w:firstLine="0" w:firstLineChars="0"/>
        <w:jc w:val="left"/>
        <w:rPr>
          <w:rFonts w:ascii="仿宋_GB2312" w:hAnsi="仿宋_GB2312" w:eastAsia="仿宋_GB2312" w:cs="仿宋_GB2312"/>
          <w:sz w:val="32"/>
          <w:szCs w:val="32"/>
        </w:rPr>
      </w:pP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lang w:eastAsia="zh-CN"/>
        </w:rPr>
        <w:t>屯昌县南吕镇中心幼儿园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keepNext w:val="0"/>
        <w:keepLines w:val="0"/>
        <w:pageBreakBefore w:val="0"/>
        <w:numPr>
          <w:ilvl w:val="-1"/>
          <w:numId w:val="0"/>
        </w:numPr>
        <w:kinsoku/>
        <w:overflowPunct/>
        <w:topLinePunct w:val="0"/>
        <w:autoSpaceDE/>
        <w:autoSpaceDN/>
        <w:bidi w:val="0"/>
        <w:adjustRightInd/>
        <w:snapToGrid/>
        <w:spacing w:line="590" w:lineRule="exact"/>
        <w:ind w:left="0" w:firstLine="640" w:firstLineChars="200"/>
        <w:jc w:val="both"/>
        <w:textAlignment w:val="auto"/>
        <w:rPr>
          <w:rFonts w:hint="eastAsia" w:ascii="黑体" w:hAnsi="黑体" w:eastAsia="黑体" w:cs="仿宋_GB2312"/>
          <w:sz w:val="32"/>
          <w:szCs w:val="32"/>
        </w:rPr>
      </w:pPr>
      <w:r>
        <w:rPr>
          <w:rFonts w:hint="eastAsia" w:ascii="黑体" w:hAnsi="黑体" w:eastAsia="黑体"/>
          <w:sz w:val="32"/>
          <w:szCs w:val="32"/>
          <w:lang w:eastAsia="zh-CN"/>
        </w:rPr>
        <w:t>一、</w:t>
      </w:r>
      <w:r>
        <w:rPr>
          <w:rFonts w:hint="eastAsia" w:ascii="黑体" w:hAnsi="黑体" w:eastAsia="黑体" w:cs="仿宋_GB2312"/>
          <w:sz w:val="32"/>
          <w:szCs w:val="32"/>
        </w:rPr>
        <w:t>主要职能</w:t>
      </w:r>
    </w:p>
    <w:p>
      <w:pPr>
        <w:pStyle w:val="8"/>
        <w:keepNext w:val="0"/>
        <w:keepLines w:val="0"/>
        <w:pageBreakBefore w:val="0"/>
        <w:numPr>
          <w:ilvl w:val="-1"/>
          <w:numId w:val="0"/>
        </w:numPr>
        <w:kinsoku/>
        <w:overflowPunct/>
        <w:topLinePunct w:val="0"/>
        <w:autoSpaceDE/>
        <w:autoSpaceDN/>
        <w:bidi w:val="0"/>
        <w:adjustRightInd/>
        <w:snapToGrid/>
        <w:spacing w:line="590" w:lineRule="exact"/>
        <w:ind w:left="0" w:leftChars="0" w:firstLine="560" w:firstLineChars="200"/>
        <w:jc w:val="left"/>
        <w:textAlignment w:val="auto"/>
        <w:rPr>
          <w:rFonts w:ascii="黑体" w:hAnsi="黑体" w:eastAsia="黑体" w:cs="仿宋_GB2312"/>
          <w:sz w:val="32"/>
          <w:szCs w:val="32"/>
        </w:rPr>
      </w:pPr>
      <w:r>
        <w:rPr>
          <w:rFonts w:hint="eastAsia" w:asciiTheme="minorEastAsia" w:hAnsiTheme="minorEastAsia" w:eastAsiaTheme="minorEastAsia" w:cstheme="minorEastAsia"/>
          <w:sz w:val="28"/>
          <w:szCs w:val="28"/>
        </w:rPr>
        <w:t>（一）</w:t>
      </w:r>
      <w:r>
        <w:rPr>
          <w:rFonts w:hint="eastAsia" w:ascii="宋体" w:hAnsi="宋体"/>
          <w:color w:val="000000"/>
          <w:kern w:val="0"/>
          <w:sz w:val="28"/>
          <w:szCs w:val="28"/>
          <w:shd w:val="clear" w:color="auto" w:fill="FFFFFF"/>
        </w:rPr>
        <w:t>认真贯彻执行党和国家的有关法律法规、方针、政策，</w:t>
      </w:r>
      <w:r>
        <w:rPr>
          <w:rFonts w:hint="eastAsia" w:ascii="宋体" w:hAnsi="宋体"/>
          <w:color w:val="000000"/>
          <w:spacing w:val="15"/>
          <w:kern w:val="0"/>
          <w:sz w:val="28"/>
          <w:szCs w:val="28"/>
          <w:shd w:val="clear" w:color="auto" w:fill="FFFFFF"/>
        </w:rPr>
        <w:t>坚持民主管理，依法办园，</w:t>
      </w:r>
      <w:r>
        <w:rPr>
          <w:rFonts w:hint="eastAsia" w:ascii="宋体" w:hAnsi="宋体"/>
          <w:color w:val="000000"/>
          <w:kern w:val="0"/>
          <w:sz w:val="28"/>
          <w:szCs w:val="28"/>
          <w:shd w:val="clear" w:color="auto" w:fill="FFFFFF"/>
        </w:rPr>
        <w:t>执行上级主管</w:t>
      </w:r>
      <w:r>
        <w:rPr>
          <w:rFonts w:hint="eastAsia" w:ascii="宋体" w:hAnsi="宋体"/>
          <w:color w:val="000000"/>
          <w:kern w:val="0"/>
          <w:sz w:val="28"/>
          <w:szCs w:val="28"/>
          <w:shd w:val="clear" w:color="auto" w:fill="FFFFFF"/>
          <w:lang w:eastAsia="zh-CN"/>
        </w:rPr>
        <w:t>单位</w:t>
      </w:r>
      <w:r>
        <w:rPr>
          <w:rFonts w:hint="eastAsia" w:ascii="宋体" w:hAnsi="宋体"/>
          <w:color w:val="000000"/>
          <w:kern w:val="0"/>
          <w:sz w:val="28"/>
          <w:szCs w:val="28"/>
          <w:shd w:val="clear" w:color="auto" w:fill="FFFFFF"/>
        </w:rPr>
        <w:t>的指示和决定。</w:t>
      </w:r>
    </w:p>
    <w:p>
      <w:pPr>
        <w:pStyle w:val="7"/>
        <w:keepNext w:val="0"/>
        <w:keepLines w:val="0"/>
        <w:pageBreakBefore w:val="0"/>
        <w:widowControl/>
        <w:shd w:val="clear" w:color="auto" w:fill="FFFFFF"/>
        <w:kinsoku/>
        <w:wordWrap w:val="0"/>
        <w:overflowPunct/>
        <w:topLinePunct w:val="0"/>
        <w:autoSpaceDE/>
        <w:autoSpaceDN/>
        <w:bidi w:val="0"/>
        <w:adjustRightInd/>
        <w:snapToGrid/>
        <w:spacing w:line="590" w:lineRule="exact"/>
        <w:ind w:left="0" w:firstLine="560" w:firstLineChars="200"/>
        <w:jc w:val="left"/>
        <w:textAlignment w:val="auto"/>
      </w:pPr>
      <w:r>
        <w:rPr>
          <w:rFonts w:hint="eastAsia" w:ascii="宋体" w:hAnsi="宋体"/>
          <w:color w:val="000000"/>
          <w:kern w:val="0"/>
          <w:sz w:val="28"/>
          <w:szCs w:val="28"/>
          <w:shd w:val="clear" w:color="auto" w:fill="FFFFFF"/>
        </w:rPr>
        <w:t>（二）实行保育和教育相结合的原则，</w:t>
      </w:r>
      <w:r>
        <w:rPr>
          <w:rFonts w:hint="eastAsia" w:ascii="宋体" w:hAnsi="宋体"/>
          <w:color w:val="000000"/>
          <w:spacing w:val="15"/>
          <w:kern w:val="0"/>
          <w:sz w:val="28"/>
          <w:szCs w:val="28"/>
          <w:shd w:val="clear" w:color="auto" w:fill="FFFFFF"/>
        </w:rPr>
        <w:t>对幼儿实施体、智、德、美诸方面全面发展的教育，促进其身心和谐发展。</w:t>
      </w:r>
      <w:r>
        <w:rPr>
          <w:rFonts w:hint="eastAsia" w:ascii="宋体" w:hAnsi="宋体"/>
          <w:color w:val="000000"/>
          <w:kern w:val="0"/>
          <w:sz w:val="28"/>
          <w:szCs w:val="28"/>
          <w:shd w:val="clear" w:color="auto" w:fill="FFFFFF"/>
        </w:rPr>
        <w:t>为家长解除后顾之忧，热忱为家长服务。</w:t>
      </w:r>
    </w:p>
    <w:p>
      <w:pPr>
        <w:pStyle w:val="7"/>
        <w:keepNext w:val="0"/>
        <w:keepLines w:val="0"/>
        <w:pageBreakBefore w:val="0"/>
        <w:widowControl/>
        <w:shd w:val="clear" w:color="auto" w:fill="FFFFFF"/>
        <w:kinsoku/>
        <w:wordWrap w:val="0"/>
        <w:overflowPunct/>
        <w:topLinePunct w:val="0"/>
        <w:autoSpaceDE/>
        <w:autoSpaceDN/>
        <w:bidi w:val="0"/>
        <w:adjustRightInd/>
        <w:snapToGrid/>
        <w:spacing w:line="590" w:lineRule="exact"/>
        <w:ind w:left="0" w:firstLine="560" w:firstLineChars="200"/>
        <w:jc w:val="left"/>
        <w:textAlignment w:val="auto"/>
      </w:pPr>
      <w:r>
        <w:rPr>
          <w:rFonts w:hint="eastAsia" w:ascii="宋体" w:hAnsi="宋体"/>
          <w:color w:val="000000"/>
          <w:kern w:val="0"/>
          <w:sz w:val="28"/>
          <w:szCs w:val="28"/>
          <w:shd w:val="clear" w:color="auto" w:fill="FFFFFF"/>
        </w:rPr>
        <w:t>（三）尊重儿童的人格尊严和基本权利，尊重儿童身心发展的特点和规律，为儿童提供健康、丰富的生活和活动环境。合理组织幼儿一日生活活动和其它活动，促进幼儿体智德美等和谐发展，全面实施素质教育。</w:t>
      </w:r>
    </w:p>
    <w:p>
      <w:pPr>
        <w:pStyle w:val="7"/>
        <w:keepNext w:val="0"/>
        <w:keepLines w:val="0"/>
        <w:pageBreakBefore w:val="0"/>
        <w:widowControl/>
        <w:shd w:val="clear" w:color="auto" w:fill="FFFFFF"/>
        <w:kinsoku/>
        <w:wordWrap w:val="0"/>
        <w:overflowPunct/>
        <w:topLinePunct w:val="0"/>
        <w:autoSpaceDE/>
        <w:autoSpaceDN/>
        <w:bidi w:val="0"/>
        <w:adjustRightInd/>
        <w:snapToGrid/>
        <w:spacing w:line="590" w:lineRule="exact"/>
        <w:ind w:left="0" w:firstLine="560" w:firstLineChars="200"/>
        <w:jc w:val="left"/>
        <w:textAlignment w:val="auto"/>
      </w:pPr>
      <w:r>
        <w:rPr>
          <w:rFonts w:hint="eastAsia" w:ascii="宋体" w:hAnsi="宋体"/>
          <w:color w:val="000000"/>
          <w:kern w:val="0"/>
          <w:sz w:val="28"/>
          <w:szCs w:val="28"/>
          <w:shd w:val="clear" w:color="auto" w:fill="FFFFFF"/>
        </w:rPr>
        <w:t>（四）严格执行幼儿园安全、卫生保健制度，保证幼儿身心健康和生命安全。</w:t>
      </w:r>
    </w:p>
    <w:p>
      <w:pPr>
        <w:keepNext w:val="0"/>
        <w:keepLines w:val="0"/>
        <w:pageBreakBefore w:val="0"/>
        <w:widowControl/>
        <w:shd w:val="clear" w:color="auto" w:fill="FFFFFF"/>
        <w:kinsoku/>
        <w:wordWrap w:val="0"/>
        <w:overflowPunct/>
        <w:topLinePunct w:val="0"/>
        <w:autoSpaceDE/>
        <w:autoSpaceDN/>
        <w:bidi w:val="0"/>
        <w:adjustRightInd/>
        <w:snapToGrid/>
        <w:spacing w:line="590" w:lineRule="exact"/>
        <w:ind w:firstLine="560" w:firstLineChars="200"/>
        <w:jc w:val="left"/>
        <w:textAlignment w:val="auto"/>
      </w:pPr>
      <w:r>
        <w:rPr>
          <w:rFonts w:hint="eastAsia" w:ascii="宋体" w:hAnsi="宋体"/>
          <w:color w:val="000000"/>
          <w:kern w:val="0"/>
          <w:sz w:val="28"/>
          <w:szCs w:val="28"/>
          <w:shd w:val="clear" w:color="auto" w:fill="FFFFFF"/>
        </w:rPr>
        <w:t>（五）充分利用幼儿和社区的资源优势，面向家长开展多种形式的早期教育宣传、指导等服务，促进家庭教育质量的不断提高。</w:t>
      </w:r>
    </w:p>
    <w:p>
      <w:pPr>
        <w:keepNext w:val="0"/>
        <w:keepLines w:val="0"/>
        <w:pageBreakBefore w:val="0"/>
        <w:widowControl/>
        <w:shd w:val="clear" w:color="auto" w:fill="FFFFFF"/>
        <w:kinsoku/>
        <w:wordWrap w:val="0"/>
        <w:overflowPunct/>
        <w:topLinePunct w:val="0"/>
        <w:autoSpaceDE/>
        <w:autoSpaceDN/>
        <w:bidi w:val="0"/>
        <w:adjustRightInd/>
        <w:snapToGrid/>
        <w:spacing w:line="590" w:lineRule="exact"/>
        <w:ind w:firstLine="560" w:firstLineChars="200"/>
        <w:jc w:val="left"/>
        <w:textAlignment w:val="auto"/>
      </w:pPr>
      <w:r>
        <w:rPr>
          <w:rFonts w:hint="eastAsia" w:ascii="宋体" w:hAnsi="宋体"/>
          <w:color w:val="000000"/>
          <w:kern w:val="0"/>
          <w:sz w:val="28"/>
          <w:szCs w:val="28"/>
          <w:shd w:val="clear" w:color="auto" w:fill="FFFFFF"/>
        </w:rPr>
        <w:t>（六）贯彻幼儿教育法规、传播科学教育理念、开展教育科学研究、培训师资，发挥市示范性幼儿园的示范、辐射作用。</w:t>
      </w:r>
    </w:p>
    <w:p>
      <w:pPr>
        <w:pStyle w:val="4"/>
        <w:keepNext w:val="0"/>
        <w:keepLines w:val="0"/>
        <w:pageBreakBefore w:val="0"/>
        <w:widowControl/>
        <w:kinsoku/>
        <w:wordWrap w:val="0"/>
        <w:overflowPunct/>
        <w:topLinePunct w:val="0"/>
        <w:autoSpaceDE/>
        <w:autoSpaceDN/>
        <w:bidi w:val="0"/>
        <w:adjustRightInd/>
        <w:snapToGrid/>
        <w:spacing w:line="590" w:lineRule="exact"/>
        <w:ind w:firstLine="560" w:firstLineChars="200"/>
        <w:jc w:val="left"/>
        <w:textAlignment w:val="auto"/>
        <w:rPr>
          <w:sz w:val="18"/>
          <w:szCs w:val="18"/>
        </w:rPr>
      </w:pPr>
      <w:r>
        <w:rPr>
          <w:rFonts w:hint="eastAsia" w:ascii="宋体" w:hAnsi="宋体"/>
          <w:color w:val="000000"/>
          <w:sz w:val="28"/>
          <w:szCs w:val="28"/>
        </w:rPr>
        <w:t>（七）加强幼儿园貌的建设，提高后勤服务的质量，为师生员工创造一个整洁、和谐的工作、学习环境。</w:t>
      </w:r>
    </w:p>
    <w:p>
      <w:pPr>
        <w:pStyle w:val="4"/>
        <w:keepNext w:val="0"/>
        <w:keepLines w:val="0"/>
        <w:pageBreakBefore w:val="0"/>
        <w:widowControl/>
        <w:kinsoku/>
        <w:wordWrap w:val="0"/>
        <w:overflowPunct/>
        <w:topLinePunct w:val="0"/>
        <w:autoSpaceDE/>
        <w:autoSpaceDN/>
        <w:bidi w:val="0"/>
        <w:adjustRightInd/>
        <w:snapToGrid/>
        <w:spacing w:line="590" w:lineRule="exact"/>
        <w:ind w:firstLine="560" w:firstLineChars="200"/>
        <w:jc w:val="left"/>
        <w:textAlignment w:val="auto"/>
        <w:rPr>
          <w:sz w:val="18"/>
          <w:szCs w:val="18"/>
        </w:rPr>
      </w:pPr>
      <w:r>
        <w:rPr>
          <w:rFonts w:hint="eastAsia" w:ascii="宋体" w:hAnsi="宋体"/>
          <w:color w:val="000000"/>
          <w:sz w:val="28"/>
          <w:szCs w:val="28"/>
        </w:rPr>
        <w:t>（八）认真贯彻上级文体卫生工作的有关方针，建立健全卫生保健制度，开展</w:t>
      </w:r>
      <w:r>
        <w:rPr>
          <w:rFonts w:hint="eastAsia" w:ascii="宋体" w:hAnsi="宋体"/>
          <w:color w:val="000000"/>
          <w:sz w:val="28"/>
          <w:szCs w:val="28"/>
          <w:lang w:val="en-US" w:eastAsia="zh-CN"/>
        </w:rPr>
        <w:t>丰富多彩</w:t>
      </w:r>
      <w:bookmarkStart w:id="0" w:name="_GoBack"/>
      <w:bookmarkEnd w:id="0"/>
      <w:r>
        <w:rPr>
          <w:rFonts w:hint="eastAsia" w:ascii="宋体" w:hAnsi="宋体"/>
          <w:color w:val="000000"/>
          <w:sz w:val="28"/>
          <w:szCs w:val="28"/>
        </w:rPr>
        <w:t>的文娱</w:t>
      </w:r>
      <w:r>
        <w:fldChar w:fldCharType="begin"/>
      </w:r>
      <w:r>
        <w:instrText xml:space="preserve"> HYPERLINK "http://rj.5ykj.com/" </w:instrText>
      </w:r>
      <w:r>
        <w:fldChar w:fldCharType="separate"/>
      </w:r>
      <w:r>
        <w:rPr>
          <w:rStyle w:val="9"/>
          <w:rFonts w:hint="eastAsia" w:ascii="宋体" w:hAnsi="宋体"/>
          <w:sz w:val="28"/>
          <w:szCs w:val="28"/>
          <w:u w:val="none"/>
        </w:rPr>
        <w:t>体育活动</w:t>
      </w:r>
      <w:r>
        <w:rPr>
          <w:rStyle w:val="9"/>
          <w:rFonts w:hint="eastAsia" w:ascii="宋体" w:hAnsi="宋体"/>
          <w:sz w:val="28"/>
          <w:szCs w:val="28"/>
          <w:u w:val="none"/>
        </w:rPr>
        <w:fldChar w:fldCharType="end"/>
      </w:r>
      <w:r>
        <w:rPr>
          <w:rFonts w:hint="eastAsia" w:ascii="宋体" w:hAnsi="宋体"/>
          <w:color w:val="000000"/>
          <w:sz w:val="28"/>
          <w:szCs w:val="28"/>
        </w:rPr>
        <w:t>，活跃师生生活，保护幼儿身心健康。</w:t>
      </w:r>
      <w:r>
        <w:rPr>
          <w:rFonts w:hint="eastAsia" w:ascii="宋体" w:hAnsi="宋体"/>
          <w:color w:val="000000"/>
          <w:sz w:val="28"/>
          <w:szCs w:val="28"/>
        </w:rPr>
        <w:br w:type="textWrapping"/>
      </w:r>
      <w:r>
        <w:rPr>
          <w:rFonts w:hint="eastAsia" w:ascii="宋体" w:hAnsi="宋体"/>
          <w:color w:val="000000"/>
          <w:sz w:val="28"/>
          <w:szCs w:val="28"/>
          <w:lang w:val="en-US" w:eastAsia="zh-CN"/>
        </w:rPr>
        <w:t xml:space="preserve">    </w:t>
      </w:r>
      <w:r>
        <w:rPr>
          <w:rFonts w:hint="eastAsia" w:ascii="宋体" w:hAnsi="宋体"/>
          <w:color w:val="000000"/>
          <w:sz w:val="28"/>
          <w:szCs w:val="28"/>
        </w:rPr>
        <w:t>（九）深入实际，全面做好对幼儿园各</w:t>
      </w:r>
      <w:r>
        <w:rPr>
          <w:rFonts w:hint="eastAsia" w:ascii="宋体" w:hAnsi="宋体"/>
          <w:color w:val="000000"/>
          <w:sz w:val="28"/>
          <w:szCs w:val="28"/>
          <w:lang w:eastAsia="zh-CN"/>
        </w:rPr>
        <w:t>单位</w:t>
      </w:r>
      <w:r>
        <w:rPr>
          <w:rFonts w:hint="eastAsia" w:ascii="宋体" w:hAnsi="宋体"/>
          <w:color w:val="000000"/>
          <w:sz w:val="28"/>
          <w:szCs w:val="28"/>
        </w:rPr>
        <w:t>的检查督促工作，及时总结经验，表彰先进。负责幼儿园各级行政干部的考核工作，组织对教职工的考核评比工作，根据成绩、考勤、贡献等情况，实施奖惩。</w:t>
      </w:r>
    </w:p>
    <w:p>
      <w:pPr>
        <w:pStyle w:val="4"/>
        <w:keepNext w:val="0"/>
        <w:keepLines w:val="0"/>
        <w:pageBreakBefore w:val="0"/>
        <w:widowControl/>
        <w:kinsoku/>
        <w:wordWrap w:val="0"/>
        <w:overflowPunct/>
        <w:topLinePunct w:val="0"/>
        <w:autoSpaceDE/>
        <w:autoSpaceDN/>
        <w:bidi w:val="0"/>
        <w:adjustRightInd/>
        <w:snapToGrid/>
        <w:spacing w:line="590" w:lineRule="exact"/>
        <w:ind w:firstLine="560" w:firstLineChars="200"/>
        <w:jc w:val="left"/>
        <w:textAlignment w:val="auto"/>
        <w:rPr>
          <w:sz w:val="18"/>
          <w:szCs w:val="18"/>
        </w:rPr>
      </w:pPr>
      <w:r>
        <w:rPr>
          <w:rFonts w:hint="eastAsia" w:ascii="宋体" w:hAnsi="宋体"/>
          <w:color w:val="000000"/>
          <w:sz w:val="28"/>
          <w:szCs w:val="28"/>
        </w:rPr>
        <w:t>（十）认真学习现代教育理论、管理理论，不断健全幼儿园的各项规章制度；虚心听取教职工对幼儿园管理的意见，不断提高幼儿园工作的管理水平。</w:t>
      </w:r>
    </w:p>
    <w:p>
      <w:pPr>
        <w:pStyle w:val="7"/>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二、单位</w:t>
      </w:r>
      <w:r>
        <w:rPr>
          <w:rFonts w:hint="eastAsia" w:ascii="黑体" w:hAnsi="黑体" w:eastAsia="黑体" w:cs="仿宋_GB2312"/>
          <w:sz w:val="32"/>
          <w:szCs w:val="32"/>
        </w:rPr>
        <w:t>预算单位构成（单位公开没有此部分内容）</w:t>
      </w:r>
    </w:p>
    <w:p>
      <w:pPr>
        <w:ind w:firstLine="800" w:firstLineChars="25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b w:val="0"/>
          <w:bCs w:val="0"/>
          <w:sz w:val="32"/>
          <w:szCs w:val="32"/>
          <w:lang w:eastAsia="zh-CN"/>
        </w:rPr>
        <w:t>屯昌县南吕镇中心幼儿园</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或单位预算公开表）</w:t>
      </w:r>
    </w:p>
    <w:p>
      <w:pPr>
        <w:rPr>
          <w:rFonts w:ascii="黑体" w:hAnsi="黑体" w:eastAsia="黑体"/>
          <w:sz w:val="32"/>
          <w:szCs w:val="32"/>
        </w:rPr>
      </w:pPr>
    </w:p>
    <w:p>
      <w:pPr>
        <w:ind w:left="4318" w:leftChars="304" w:hanging="3680" w:hangingChars="1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b w:val="0"/>
          <w:bCs w:val="0"/>
          <w:sz w:val="32"/>
          <w:szCs w:val="32"/>
        </w:rPr>
        <w:t xml:space="preserve"> </w:t>
      </w:r>
      <w:r>
        <w:rPr>
          <w:rFonts w:hint="eastAsia" w:ascii="黑体" w:hAnsi="黑体" w:eastAsia="黑体" w:cs="黑体"/>
          <w:b w:val="0"/>
          <w:bCs w:val="0"/>
          <w:sz w:val="32"/>
          <w:szCs w:val="32"/>
          <w:lang w:eastAsia="zh-CN"/>
        </w:rPr>
        <w:t>屯昌县南吕镇中心幼儿园</w:t>
      </w:r>
      <w:r>
        <w:rPr>
          <w:rFonts w:hint="eastAsia" w:ascii="黑体" w:hAnsi="黑体" w:eastAsia="黑体" w:cs="黑体"/>
          <w:b w:val="0"/>
          <w:bCs w:val="0"/>
          <w:sz w:val="32"/>
          <w:szCs w:val="32"/>
          <w:lang w:val="en-US" w:eastAsia="zh-CN"/>
        </w:rPr>
        <w:t>2025年单位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b w:val="0"/>
          <w:bCs w:val="0"/>
          <w:sz w:val="32"/>
          <w:szCs w:val="32"/>
        </w:rPr>
      </w:pPr>
      <w:r>
        <w:rPr>
          <w:rFonts w:hint="eastAsia" w:ascii="黑体" w:hAnsi="黑体" w:eastAsia="黑体"/>
          <w:sz w:val="32"/>
          <w:szCs w:val="32"/>
        </w:rPr>
        <w:t>一、</w:t>
      </w:r>
      <w:r>
        <w:rPr>
          <w:rFonts w:hint="eastAsia" w:ascii="黑体" w:hAnsi="黑体" w:eastAsia="黑体"/>
          <w:b w:val="0"/>
          <w:bCs w:val="0"/>
          <w:sz w:val="32"/>
          <w:szCs w:val="32"/>
        </w:rPr>
        <w:t>关于</w:t>
      </w:r>
      <w:r>
        <w:rPr>
          <w:rFonts w:hint="eastAsia" w:ascii="黑体" w:hAnsi="黑体" w:eastAsia="黑体" w:cs="黑体"/>
          <w:b w:val="0"/>
          <w:bCs w:val="0"/>
          <w:sz w:val="32"/>
          <w:szCs w:val="32"/>
          <w:lang w:eastAsia="zh-CN"/>
        </w:rPr>
        <w:t>屯昌县南吕镇中心幼儿园</w:t>
      </w:r>
      <w:r>
        <w:rPr>
          <w:rFonts w:hint="eastAsia" w:ascii="黑体" w:hAnsi="黑体" w:eastAsia="黑体" w:cs="黑体"/>
          <w:b w:val="0"/>
          <w:bCs w:val="0"/>
          <w:sz w:val="32"/>
          <w:szCs w:val="32"/>
          <w:lang w:val="en-US" w:eastAsia="zh-CN"/>
        </w:rPr>
        <w:t>2025年</w:t>
      </w:r>
      <w:r>
        <w:rPr>
          <w:rFonts w:hint="eastAsia" w:ascii="黑体" w:hAnsi="黑体" w:eastAsia="黑体"/>
          <w:b w:val="0"/>
          <w:bCs w:val="0"/>
          <w:sz w:val="32"/>
          <w:szCs w:val="32"/>
        </w:rPr>
        <w:t>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屯昌县南吕镇中心幼儿园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365.49</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5.48</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教育支出</w:t>
      </w:r>
      <w:r>
        <w:rPr>
          <w:rFonts w:hint="eastAsia" w:ascii="仿宋_GB2312" w:hAnsi="黑体" w:eastAsia="仿宋_GB2312"/>
          <w:sz w:val="32"/>
          <w:szCs w:val="32"/>
          <w:lang w:val="en-US" w:eastAsia="zh-CN"/>
        </w:rPr>
        <w:t>256.86万元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49.05万元、卫生健康支出36.26万元、住房保障支出28.80万元，</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屯昌县南吕镇中心幼儿园</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屯昌县南吕镇中心幼儿园</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365.49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24.62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增加一般公共预算拨款支出。</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cs="仿宋_GB2312"/>
          <w:sz w:val="32"/>
          <w:szCs w:val="32"/>
        </w:rPr>
      </w:pPr>
      <w:r>
        <w:rPr>
          <w:rFonts w:hint="eastAsia" w:ascii="仿宋_GB2312" w:hAnsi="黑体" w:eastAsia="仿宋_GB2312" w:cs="仿宋_GB2312"/>
          <w:sz w:val="32"/>
          <w:szCs w:val="32"/>
        </w:rPr>
        <w:t>教育支出</w:t>
      </w:r>
      <w:r>
        <w:rPr>
          <w:rFonts w:hint="eastAsia" w:ascii="仿宋_GB2312" w:hAnsi="黑体" w:eastAsia="仿宋_GB2312"/>
          <w:sz w:val="32"/>
          <w:szCs w:val="32"/>
          <w:lang w:val="en-US" w:eastAsia="zh-CN"/>
        </w:rPr>
        <w:t>256.86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，占</w:t>
      </w:r>
      <w:r>
        <w:rPr>
          <w:rFonts w:hint="eastAsia" w:ascii="仿宋_GB2312" w:hAnsi="黑体" w:eastAsia="仿宋_GB2312" w:cs="仿宋_GB2312"/>
          <w:sz w:val="32"/>
          <w:szCs w:val="32"/>
          <w:lang w:val="en-US" w:eastAsia="zh-CN"/>
        </w:rPr>
        <w:t>69.24%；</w:t>
      </w:r>
      <w:r>
        <w:rPr>
          <w:rFonts w:hint="eastAsia" w:ascii="仿宋_GB2312" w:hAnsi="黑体" w:eastAsia="仿宋_GB2312" w:cs="仿宋_GB2312"/>
          <w:sz w:val="32"/>
          <w:szCs w:val="32"/>
        </w:rPr>
        <w:t>社会保障和就业支出</w:t>
      </w:r>
      <w:r>
        <w:rPr>
          <w:rFonts w:hint="eastAsia" w:ascii="仿宋_GB2312" w:hAnsi="黑体" w:eastAsia="仿宋_GB2312"/>
          <w:sz w:val="32"/>
          <w:szCs w:val="32"/>
          <w:lang w:val="en-US" w:eastAsia="zh-CN"/>
        </w:rPr>
        <w:t>49.05</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，占</w:t>
      </w:r>
      <w:r>
        <w:rPr>
          <w:rFonts w:hint="eastAsia" w:ascii="仿宋_GB2312" w:hAnsi="黑体" w:eastAsia="仿宋_GB2312" w:cs="仿宋_GB2312"/>
          <w:sz w:val="32"/>
          <w:szCs w:val="32"/>
          <w:lang w:val="en-US" w:eastAsia="zh-CN"/>
        </w:rPr>
        <w:t>13.22%；</w:t>
      </w:r>
      <w:r>
        <w:rPr>
          <w:rFonts w:hint="eastAsia" w:ascii="仿宋_GB2312" w:hAnsi="黑体" w:eastAsia="仿宋_GB2312" w:cs="仿宋_GB2312"/>
          <w:sz w:val="32"/>
          <w:szCs w:val="32"/>
        </w:rPr>
        <w:t>卫生健康支出</w:t>
      </w:r>
      <w:r>
        <w:rPr>
          <w:rFonts w:hint="eastAsia" w:ascii="仿宋_GB2312" w:hAnsi="黑体" w:eastAsia="仿宋_GB2312"/>
          <w:sz w:val="32"/>
          <w:szCs w:val="32"/>
          <w:lang w:val="en-US" w:eastAsia="zh-CN"/>
        </w:rPr>
        <w:t>36.26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，占</w:t>
      </w:r>
      <w:r>
        <w:rPr>
          <w:rFonts w:hint="eastAsia" w:ascii="仿宋_GB2312" w:hAnsi="黑体" w:eastAsia="仿宋_GB2312" w:cs="仿宋_GB2312"/>
          <w:sz w:val="32"/>
          <w:szCs w:val="32"/>
          <w:lang w:val="en-US" w:eastAsia="zh-CN"/>
        </w:rPr>
        <w:t>9.77%；</w:t>
      </w:r>
      <w:r>
        <w:rPr>
          <w:rFonts w:hint="eastAsia" w:ascii="仿宋_GB2312" w:hAnsi="黑体" w:eastAsia="仿宋_GB2312" w:cs="仿宋_GB2312"/>
          <w:sz w:val="32"/>
          <w:szCs w:val="32"/>
        </w:rPr>
        <w:t>住房保障支出</w:t>
      </w:r>
      <w:r>
        <w:rPr>
          <w:rFonts w:hint="eastAsia" w:ascii="仿宋_GB2312" w:hAnsi="黑体" w:eastAsia="仿宋_GB2312" w:cs="仿宋_GB2312"/>
          <w:sz w:val="32"/>
          <w:szCs w:val="32"/>
          <w:lang w:val="en-US" w:eastAsia="zh-CN"/>
        </w:rPr>
        <w:t>28.80</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，占</w:t>
      </w:r>
      <w:r>
        <w:rPr>
          <w:rFonts w:hint="eastAsia" w:ascii="仿宋_GB2312" w:hAnsi="黑体" w:eastAsia="仿宋_GB2312" w:cs="仿宋_GB2312"/>
          <w:sz w:val="32"/>
          <w:szCs w:val="32"/>
          <w:lang w:val="en-US" w:eastAsia="zh-CN"/>
        </w:rPr>
        <w:t>7.76%。</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普通教育</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学前教育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256.86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增加17.86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lang w:eastAsia="zh-CN"/>
        </w:rPr>
        <w:t>社会保障和就业支出（类）行政事业单位养老支出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32.70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2.83</w:t>
      </w:r>
      <w:r>
        <w:rPr>
          <w:rFonts w:hint="eastAsia" w:ascii="仿宋_GB2312" w:hAnsi="黑体" w:eastAsia="仿宋_GB2312"/>
          <w:sz w:val="32"/>
          <w:szCs w:val="32"/>
        </w:rPr>
        <w:t>万元，</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16.35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卫生健康支出（类）行政事业单位医疗（款）事业单位医疗（项）2025年预算数为11.28万元，比上年预算数减少2.16万元，公务员医疗补助（项）2025年预算数为24万元，比上年预算数增加2.01万元，其他行政事业单位医疗支出（项）2025年预算数为0.98万元，比上年预算数减少0.05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sz w:val="32"/>
          <w:szCs w:val="32"/>
          <w:lang w:val="en-US" w:eastAsia="zh-CN"/>
        </w:rPr>
        <w:t>4.住房保障支出（类）住房改革支出（款）住房公积金（项）2025年预算数为28.80万元，比上年预算数增加2.41万元</w:t>
      </w:r>
      <w:r>
        <w:rPr>
          <w:rFonts w:hint="eastAsia" w:ascii="仿宋_GB2312" w:hAnsi="黑体" w:eastAsia="仿宋_GB2312"/>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eastAsia="zh-CN"/>
        </w:rPr>
        <w:t>关于屯昌县南吕镇中心幼儿园</w:t>
      </w:r>
      <w:r>
        <w:rPr>
          <w:rFonts w:hint="eastAsia" w:ascii="黑体" w:hAnsi="黑体" w:eastAsia="黑体"/>
          <w:sz w:val="32"/>
          <w:szCs w:val="32"/>
          <w:lang w:val="en-US" w:eastAsia="zh-CN"/>
        </w:rPr>
        <w:t>2025年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屯昌县南吕镇中心幼儿园</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一般公共预算基本支出为</w:t>
      </w:r>
      <w:r>
        <w:rPr>
          <w:rFonts w:hint="eastAsia" w:ascii="仿宋_GB2312" w:hAnsi="黑体" w:eastAsia="仿宋_GB2312"/>
          <w:sz w:val="32"/>
          <w:szCs w:val="32"/>
          <w:lang w:val="en-US" w:eastAsia="zh-CN"/>
        </w:rPr>
        <w:t>365.26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362.73</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绩效工资、</w:t>
      </w:r>
      <w:r>
        <w:rPr>
          <w:rFonts w:hint="eastAsia" w:ascii="仿宋_GB2312" w:hAnsi="黑体" w:eastAsia="仿宋_GB2312"/>
          <w:sz w:val="32"/>
          <w:szCs w:val="32"/>
        </w:rPr>
        <w:t>机关事业单位基本养老保险缴费、</w:t>
      </w:r>
      <w:r>
        <w:rPr>
          <w:rFonts w:hint="eastAsia" w:ascii="仿宋_GB2312" w:hAnsi="黑体" w:eastAsia="仿宋_GB2312"/>
          <w:sz w:val="32"/>
          <w:szCs w:val="32"/>
          <w:lang w:eastAsia="zh-CN"/>
        </w:rPr>
        <w:t>职业年金缴费、职工基本医疗保险缴费、</w:t>
      </w:r>
      <w:r>
        <w:rPr>
          <w:rFonts w:hint="eastAsia" w:ascii="仿宋_GB2312" w:hAnsi="黑体" w:eastAsia="仿宋_GB2312"/>
          <w:sz w:val="32"/>
          <w:szCs w:val="32"/>
        </w:rPr>
        <w:t>公务员医疗补助缴费、其他社会保障缴费、住房公积金、医疗费</w:t>
      </w:r>
      <w:r>
        <w:rPr>
          <w:rFonts w:hint="eastAsia" w:ascii="仿宋_GB2312" w:hAnsi="黑体" w:eastAsia="仿宋_GB2312"/>
          <w:sz w:val="32"/>
          <w:szCs w:val="32"/>
          <w:lang w:eastAsia="zh-CN"/>
        </w:rPr>
        <w:t>、邮电费等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2.54</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：工会经费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屯昌县南吕镇中心幼儿园</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（一）屯昌县南吕镇中心幼儿园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lang w:val="en-US" w:eastAsia="zh-CN"/>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（二）屯昌县南吕镇中心幼儿园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pPr>
        <w:ind w:firstLine="64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屯昌县南吕镇中心幼儿园</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屯昌县南吕镇中心幼儿园</w:t>
      </w:r>
      <w:r>
        <w:rPr>
          <w:rFonts w:hint="eastAsia" w:ascii="仿宋_GB2312" w:hAnsi="黑体" w:eastAsia="仿宋_GB2312"/>
          <w:sz w:val="32"/>
          <w:szCs w:val="32"/>
          <w:lang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lang w:eastAsia="zh-CN"/>
        </w:rPr>
        <w:t>无政府性资金预算。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0" w:firstLineChars="0"/>
        <w:rPr>
          <w:rFonts w:ascii="仿宋_GB2312" w:hAnsi="黑体" w:eastAsia="仿宋_GB2312"/>
          <w:sz w:val="32"/>
          <w:szCs w:val="32"/>
        </w:rPr>
      </w:pPr>
      <w:r>
        <w:rPr>
          <w:rFonts w:hint="eastAsia" w:ascii="仿宋_GB2312" w:hAnsi="黑体" w:eastAsia="仿宋_GB2312" w:cs="仿宋_GB2312"/>
          <w:sz w:val="32"/>
          <w:szCs w:val="32"/>
          <w:lang w:eastAsia="zh-CN"/>
        </w:rPr>
        <w:tab/>
      </w:r>
      <w:r>
        <w:rPr>
          <w:rFonts w:hint="eastAsia" w:ascii="仿宋_GB2312" w:hAnsi="黑体" w:eastAsia="仿宋_GB2312" w:cs="仿宋_GB2312"/>
          <w:sz w:val="32"/>
          <w:szCs w:val="32"/>
          <w:lang w:val="en-US" w:eastAsia="zh-CN"/>
        </w:rPr>
        <w:t xml:space="preserve">  </w:t>
      </w:r>
      <w:r>
        <w:rPr>
          <w:rFonts w:hint="eastAsia" w:ascii="仿宋_GB2312" w:hAnsi="黑体" w:eastAsia="仿宋_GB2312" w:cs="仿宋_GB2312"/>
          <w:sz w:val="32"/>
          <w:szCs w:val="32"/>
          <w:lang w:eastAsia="zh-CN"/>
        </w:rPr>
        <w:t>无政府性资金预算。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屯昌县南吕镇中心幼儿园</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屯昌县南吕镇中心幼儿园</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w:t>
      </w:r>
      <w:r>
        <w:rPr>
          <w:rFonts w:hint="eastAsia" w:ascii="仿宋_GB2312" w:hAnsi="黑体" w:eastAsia="仿宋_GB2312"/>
          <w:sz w:val="32"/>
          <w:szCs w:val="32"/>
        </w:rPr>
        <w:t>；支出包括：教育支出、</w:t>
      </w:r>
      <w:r>
        <w:rPr>
          <w:rFonts w:hint="eastAsia" w:ascii="仿宋_GB2312" w:hAnsi="黑体" w:eastAsia="仿宋_GB2312"/>
          <w:sz w:val="32"/>
          <w:szCs w:val="32"/>
          <w:lang w:eastAsia="zh-CN"/>
        </w:rPr>
        <w:t>社会保障和就业支出、卫生健康支出、住房保障支出</w:t>
      </w:r>
      <w:r>
        <w:rPr>
          <w:rFonts w:hint="eastAsia" w:ascii="仿宋_GB2312" w:hAnsi="黑体" w:eastAsia="仿宋_GB2312"/>
          <w:sz w:val="32"/>
          <w:szCs w:val="32"/>
        </w:rPr>
        <w:t>。</w:t>
      </w:r>
      <w:r>
        <w:rPr>
          <w:rFonts w:hint="eastAsia" w:ascii="仿宋_GB2312" w:hAnsi="黑体" w:eastAsia="仿宋_GB2312" w:cs="仿宋_GB2312"/>
          <w:sz w:val="32"/>
          <w:szCs w:val="32"/>
        </w:rPr>
        <w:t>屯昌县南吕镇中心幼儿园</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w:t>
      </w:r>
    </w:p>
    <w:p>
      <w:pPr>
        <w:numPr>
          <w:ilvl w:val="0"/>
          <w:numId w:val="6"/>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关于</w:t>
      </w:r>
      <w:r>
        <w:rPr>
          <w:rFonts w:hint="eastAsia" w:ascii="黑体" w:hAnsi="黑体" w:eastAsia="黑体" w:cs="Times New Roman"/>
          <w:sz w:val="32"/>
          <w:shd w:val="clear" w:color="auto" w:fill="FFFFFF"/>
          <w:lang w:eastAsia="zh-CN"/>
        </w:rPr>
        <w:t>屯昌县南吕镇中心幼儿园</w:t>
      </w:r>
      <w:r>
        <w:rPr>
          <w:rFonts w:hint="eastAsia" w:ascii="黑体" w:hAnsi="黑体" w:eastAsia="黑体" w:cs="Times New Roman"/>
          <w:sz w:val="32"/>
          <w:shd w:val="clear" w:color="auto" w:fill="FFFFFF"/>
          <w:lang w:val="en-US" w:eastAsia="zh-CN"/>
        </w:rPr>
        <w:t>2025年</w:t>
      </w:r>
      <w:r>
        <w:rPr>
          <w:rFonts w:hint="eastAsia" w:ascii="黑体" w:hAnsi="黑体" w:eastAsia="黑体" w:cs="Times New Roman"/>
          <w:sz w:val="32"/>
          <w:shd w:val="clear" w:color="auto" w:fill="FFFFFF"/>
        </w:rPr>
        <w:t>收入预算情</w:t>
      </w:r>
      <w:r>
        <w:rPr>
          <w:rFonts w:hint="eastAsia" w:ascii="黑体" w:hAnsi="黑体" w:eastAsia="黑体" w:cs="Times New Roman"/>
          <w:sz w:val="32"/>
          <w:shd w:val="clear" w:color="auto" w:fill="FFFFFF"/>
          <w:lang w:eastAsia="zh-CN"/>
        </w:rPr>
        <w:t>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屯昌县南吕镇中心幼儿园</w:t>
      </w: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5.48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1.48</w:t>
      </w:r>
      <w:r>
        <w:rPr>
          <w:rFonts w:hint="eastAsia" w:ascii="仿宋_GB2312" w:hAnsi="黑体" w:eastAsia="仿宋_GB2312"/>
          <w:sz w:val="32"/>
          <w:szCs w:val="32"/>
        </w:rPr>
        <w:t>%；</w:t>
      </w:r>
      <w:r>
        <w:rPr>
          <w:rFonts w:hint="eastAsia" w:ascii="仿宋_GB2312" w:hAnsi="黑体" w:eastAsia="仿宋_GB2312"/>
          <w:sz w:val="32"/>
          <w:szCs w:val="32"/>
          <w:lang w:eastAsia="zh-CN"/>
        </w:rPr>
        <w:t>一般公共预算收入</w:t>
      </w:r>
      <w:r>
        <w:rPr>
          <w:rFonts w:hint="eastAsia" w:ascii="仿宋_GB2312" w:hAnsi="黑体" w:eastAsia="仿宋_GB2312"/>
          <w:sz w:val="32"/>
          <w:szCs w:val="32"/>
          <w:lang w:val="en-US" w:eastAsia="zh-CN"/>
        </w:rPr>
        <w:t>365.49万元，占98.52%</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24.3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增加一般公共预算拨款收入</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屯昌县南吕镇中心幼儿园</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屯昌县南吕镇中心幼儿园</w:t>
      </w:r>
      <w:r>
        <w:rPr>
          <w:rFonts w:hint="eastAsia" w:ascii="仿宋_GB2312" w:hAnsi="黑体" w:eastAsia="仿宋_GB2312" w:cs="仿宋_GB2312"/>
          <w:sz w:val="32"/>
          <w:szCs w:val="32"/>
          <w:lang w:eastAsia="zh-CN"/>
        </w:rPr>
        <w:t>2025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370.97</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365.26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98.46</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5.71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1.54</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24.3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增加教育支出</w:t>
      </w:r>
      <w:r>
        <w:rPr>
          <w:rFonts w:hint="eastAsia" w:ascii="仿宋_GB2312" w:hAnsi="黑体" w:eastAsia="仿宋_GB2312"/>
          <w:sz w:val="32"/>
          <w:szCs w:val="32"/>
        </w:rPr>
        <w:t>。</w:t>
      </w:r>
    </w:p>
    <w:p>
      <w:pPr>
        <w:ind w:firstLine="0" w:firstLineChars="0"/>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年屯昌县南吕镇中心幼儿园本级机关运行经费预算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年屯昌县南吕镇中心幼儿园本级及下属各预算单位无政府采购预算。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楷体" w:hAnsi="楷体" w:eastAsia="楷体"/>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sz w:val="32"/>
          <w:szCs w:val="32"/>
          <w:lang w:eastAsia="zh-CN"/>
        </w:rPr>
        <w:t>屯昌县南吕镇中心幼儿园本级及下属各预算单位共有车辆0辆，其中，领导干部用车0辆，机要通信应急用车0辆、一般执法执勤用车0辆、特种专业技术用车0辆、其他用车0辆。单位价值100万元以上设备0台（套）。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黑体" w:hAnsi="黑体" w:eastAsia="黑体"/>
          <w:sz w:val="32"/>
          <w:szCs w:val="32"/>
          <w:lang w:eastAsia="zh-CN"/>
        </w:rPr>
      </w:pPr>
      <w:r>
        <w:rPr>
          <w:rFonts w:hint="eastAsia" w:ascii="仿宋_GB2312" w:hAnsi="黑体" w:eastAsia="仿宋_GB2312" w:cs="仿宋_GB2312"/>
          <w:sz w:val="32"/>
          <w:szCs w:val="32"/>
          <w:lang w:eastAsia="zh-CN"/>
        </w:rPr>
        <w:t>2025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屯昌县南吕镇中心幼儿园</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370.97</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762635" cy="31242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62635" cy="3124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4.6pt;width:60.05pt;mso-position-horizontal:outside;mso-position-horizontal-relative:margin;z-index:251661312;mso-width-relative:page;mso-height-relative:page;" filled="f" stroked="f" coordsize="21600,21600" o:gfxdata="UEsDBAoAAAAAAIdO4kAAAAAAAAAAAAAAAAAEAAAAZHJzL1BLAwQUAAAACACHTuJACoTdbNMAAAAE&#10;AQAADwAAAGRycy9kb3ducmV2LnhtbE2PO0/EMBCEeyT+g7VIdJydCCEIca7g0fE8QILOiZckwl5H&#10;9iZ3/Ht8NNCsNJrRzLf1euedWDCmMZCGYqVAIHXBjtRreH25PTkHkdiQNS4QavjGBOvm8KA2lQ1b&#10;esZlw73IJZQqo2FgniopUzegN2kVJqTsfYboDWcZe2mj2eZy72Sp1Jn0ZqS8MJgJrwbsvjaz1+De&#10;U7xrFX8s1/09Pz3K+e2meND6+KhQlyAYd/wXhj1+RocmM7VhJpuE05Af4d+790pVgGg1nF6UIJta&#10;/odvfgBQSwMEFAAAAAgAh07iQM2htycaAgAAEwQAAA4AAABkcnMvZTJvRG9jLnhtbK1TS44TMRDd&#10;I3EHy3vS+UBAUTqjMKMgpIgZKTNi7bjttCXbZWwn3eEAcANWs2HPuXIOyu50BgErxMZd7fq+V8/z&#10;q9ZochA+KLAlHQ2GlAjLoVJ2V9KH+9WLN5SEyGzFNFhR0qMI9Grx/Nm8cTMxhhp0JTzBIjbMGlfS&#10;OkY3K4rAa2FYGIATFp0SvGERf/2uqDxrsLrRxXg4nBYN+Mp54CIEvL3pnHSR60speLyVMohIdElx&#10;tphPn89tOovFnM12nrla8fMY7B+mMExZbHopdcMiI3uv/ihlFPcQQMYBB1OAlIqLjAHRjIa/odnU&#10;zImMBckJ7kJT+H9l+YfDnSeqKumEEssMruj07evp8cfp+xcySfQ0LswwauMwLrZvocU19/cBLxPq&#10;VnqTvoiHoB+JPl7IFW0kHC9fT8fTyStKOLomo/HLcSa/eEp2PsR3AgxJRkk97i5Tyg7rEHEQDO1D&#10;Ui8LK6V13p+2pCkpVh/mhIsHM7TFxAShGzVZsd22Z1xbqI4Iy0Oni+D4SmHzNQvxjnkUAiJBccdb&#10;PKQGbAJni5Ia/Oe/3ad43A96KWlQWCUNn/bMC0r0e4ubSyrsDd8b296we3MNqNURPhvHs4kJPure&#10;lB7MR9T8MnVBF7Mce5U09uZ17OSNb4aL5TIH7Z1Xu7pLQN05Ftd243hq01G53EeQKrOcKOp4OTOH&#10;ysvkn19Jkvav/znq6S0v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KhN1s0wAAAAQBAAAPAAAA&#10;AAAAAAEAIAAAACIAAABkcnMvZG93bnJldi54bWxQSwECFAAUAAAACACHTuJAzaG3JxoCAAATBAAA&#10;DgAAAAAAAAABACAAAAAiAQAAZHJzL2Uyb0RvYy54bWxQSwUGAAAAAAYABgBZAQAArgUAAAAA&#10;">
              <v:fill on="f" focussize="0,0"/>
              <v:stroke on="f" weight="0.5pt"/>
              <v:imagedata o:title=""/>
              <o:lock v:ext="edit" aspectratio="f"/>
              <v:textbox inset="0mm,0mm,0mm,0mm">
                <w:txbxContent>
                  <w:p>
                    <w:pPr>
                      <w:pStyle w:val="2"/>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C260EF8"/>
    <w:multiLevelType w:val="singleLevel"/>
    <w:tmpl w:val="6C260EF8"/>
    <w:lvl w:ilvl="0" w:tentative="0">
      <w:start w:val="7"/>
      <w:numFmt w:val="chineseCounting"/>
      <w:suff w:val="nothing"/>
      <w:lvlText w:val="%1、"/>
      <w:lvlJc w:val="left"/>
      <w:rPr>
        <w:rFonts w:hint="eastAsia"/>
      </w:r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4D3E14"/>
    <w:rsid w:val="46A93779"/>
    <w:rsid w:val="544D3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rPr>
      <w:rFonts w:cs="Times New Roman"/>
      <w:sz w:val="24"/>
      <w:szCs w:val="24"/>
    </w:rPr>
  </w:style>
  <w:style w:type="paragraph" w:customStyle="1" w:styleId="7">
    <w:name w:val="List Paragraph"/>
    <w:basedOn w:val="1"/>
    <w:qFormat/>
    <w:uiPriority w:val="34"/>
    <w:pPr>
      <w:ind w:firstLine="420" w:firstLineChars="200"/>
    </w:pPr>
  </w:style>
  <w:style w:type="paragraph" w:customStyle="1" w:styleId="8">
    <w:name w:val="列出段落1"/>
    <w:basedOn w:val="1"/>
    <w:qFormat/>
    <w:uiPriority w:val="34"/>
    <w:pPr>
      <w:ind w:firstLine="420" w:firstLineChars="200"/>
    </w:pPr>
  </w:style>
  <w:style w:type="character" w:customStyle="1" w:styleId="9">
    <w:name w:val="15"/>
    <w:basedOn w:val="6"/>
    <w:qFormat/>
    <w:uiPriority w:val="0"/>
    <w:rPr>
      <w:rFonts w:hint="default" w:ascii="Times New Roman" w:hAnsi="Times New Roman" w:cs="Times New Roman"/>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2025-02-28T00:47:00Z</dcterms:created>
  <dc:creator>子净</dc:creator>
  <cp:lastModifiedBy>县教育局收发员</cp:lastModifiedBy>
  <dcterms:modified xsi:type="dcterms:W3CDTF">2025-04-18T08:03:23Z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