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sz w:val="84"/>
          <w:szCs w:val="84"/>
          <w:u w:val="single"/>
        </w:rPr>
      </w:pPr>
    </w:p>
    <w:p>
      <w:pPr>
        <w:jc w:val="both"/>
        <w:rPr>
          <w:sz w:val="84"/>
          <w:szCs w:val="84"/>
          <w:u w:val="single"/>
        </w:rPr>
      </w:pPr>
    </w:p>
    <w:p>
      <w:pPr>
        <w:jc w:val="both"/>
        <w:rPr>
          <w:sz w:val="84"/>
          <w:szCs w:val="84"/>
          <w:u w:val="single"/>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屯昌县教育局</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rPr>
        <w:t>单位预算</w:t>
      </w:r>
      <w:r>
        <w:rPr>
          <w:rFonts w:hint="eastAsia" w:ascii="方正小标宋简体" w:hAnsi="方正小标宋简体" w:eastAsia="方正小标宋简体" w:cs="方正小标宋简体"/>
          <w:sz w:val="52"/>
          <w:szCs w:val="52"/>
          <w:lang w:val="en-US" w:eastAsia="zh-CN"/>
        </w:rPr>
        <w:t>公开说明</w:t>
      </w:r>
    </w:p>
    <w:p>
      <w:pPr>
        <w:ind w:firstLine="1680"/>
        <w:jc w:val="both"/>
        <w:rPr>
          <w:sz w:val="84"/>
          <w:szCs w:val="84"/>
        </w:rPr>
      </w:pPr>
    </w:p>
    <w:p>
      <w:pPr>
        <w:ind w:firstLine="1680"/>
        <w:jc w:val="both"/>
        <w:rPr>
          <w:sz w:val="84"/>
          <w:szCs w:val="84"/>
        </w:rPr>
      </w:pPr>
    </w:p>
    <w:p>
      <w:pPr>
        <w:ind w:firstLine="1680"/>
        <w:jc w:val="both"/>
        <w:rPr>
          <w:sz w:val="84"/>
          <w:szCs w:val="84"/>
        </w:rPr>
      </w:pPr>
    </w:p>
    <w:p>
      <w:pPr>
        <w:ind w:firstLine="1680"/>
        <w:jc w:val="both"/>
        <w:rPr>
          <w:sz w:val="84"/>
          <w:szCs w:val="84"/>
        </w:rPr>
      </w:pPr>
    </w:p>
    <w:p>
      <w:pPr>
        <w:ind w:firstLine="1680"/>
        <w:jc w:val="both"/>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both"/>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both"/>
        <w:rPr>
          <w:rFonts w:hint="eastAsia" w:ascii="黑体" w:hAnsi="黑体" w:eastAsia="黑体"/>
          <w:sz w:val="52"/>
          <w:szCs w:val="52"/>
        </w:rPr>
      </w:pPr>
    </w:p>
    <w:p>
      <w:pPr>
        <w:pStyle w:val="6"/>
        <w:numPr>
          <w:ilvl w:val="0"/>
          <w:numId w:val="1"/>
        </w:numPr>
        <w:spacing w:line="578" w:lineRule="exact"/>
        <w:ind w:firstLineChars="0"/>
        <w:jc w:val="both"/>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lang w:eastAsia="zh-CN"/>
        </w:rPr>
        <w:t xml:space="preserve"> </w:t>
      </w:r>
      <w:r>
        <w:rPr>
          <w:rFonts w:hint="eastAsia" w:ascii="黑体" w:hAnsi="黑体" w:eastAsia="黑体"/>
          <w:sz w:val="32"/>
          <w:szCs w:val="32"/>
          <w:lang w:eastAsia="zh-CN"/>
        </w:rPr>
        <w:t>屯昌县教育局</w:t>
      </w:r>
      <w:r>
        <w:rPr>
          <w:rFonts w:hint="eastAsia" w:ascii="黑体" w:hAnsi="黑体" w:eastAsia="黑体"/>
          <w:sz w:val="32"/>
          <w:szCs w:val="32"/>
        </w:rPr>
        <w:t>概况</w:t>
      </w:r>
    </w:p>
    <w:p>
      <w:pPr>
        <w:pStyle w:val="6"/>
        <w:numPr>
          <w:ilvl w:val="0"/>
          <w:numId w:val="2"/>
        </w:numPr>
        <w:spacing w:line="578" w:lineRule="exact"/>
        <w:ind w:firstLineChars="0"/>
        <w:jc w:val="both"/>
        <w:rPr>
          <w:rFonts w:ascii="黑体" w:hAnsi="黑体" w:eastAsia="黑体"/>
          <w:sz w:val="32"/>
          <w:szCs w:val="32"/>
        </w:rPr>
      </w:pPr>
      <w:r>
        <w:rPr>
          <w:rFonts w:hint="eastAsia" w:ascii="黑体" w:hAnsi="黑体" w:eastAsia="黑体"/>
          <w:sz w:val="32"/>
          <w:szCs w:val="32"/>
        </w:rPr>
        <w:t>主要职能</w:t>
      </w:r>
    </w:p>
    <w:p>
      <w:pPr>
        <w:pStyle w:val="6"/>
        <w:numPr>
          <w:ilvl w:val="0"/>
          <w:numId w:val="2"/>
        </w:numPr>
        <w:spacing w:line="578" w:lineRule="exact"/>
        <w:ind w:firstLineChars="0"/>
        <w:jc w:val="both"/>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spacing w:line="578" w:lineRule="exact"/>
        <w:ind w:firstLineChars="0"/>
        <w:jc w:val="both"/>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屯昌县教育局</w:t>
      </w:r>
      <w:r>
        <w:rPr>
          <w:rFonts w:hint="eastAsia" w:ascii="黑体" w:hAnsi="黑体" w:eastAsia="黑体"/>
          <w:sz w:val="32"/>
          <w:szCs w:val="32"/>
        </w:rPr>
        <w:t>预算表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spacing w:line="578" w:lineRule="exact"/>
        <w:ind w:firstLineChars="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spacing w:line="578" w:lineRule="exact"/>
        <w:ind w:firstLineChars="0"/>
        <w:jc w:val="both"/>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spacing w:line="578" w:lineRule="exact"/>
        <w:ind w:firstLineChars="0"/>
        <w:jc w:val="both"/>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spacing w:line="578" w:lineRule="exact"/>
        <w:ind w:firstLineChars="0"/>
        <w:jc w:val="both"/>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spacing w:line="578" w:lineRule="exact"/>
        <w:ind w:firstLineChars="0"/>
        <w:jc w:val="both"/>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spacing w:line="578" w:lineRule="exact"/>
        <w:ind w:firstLineChars="0"/>
        <w:jc w:val="both"/>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屯昌县教育局</w:t>
      </w:r>
      <w:r>
        <w:rPr>
          <w:rFonts w:hint="eastAsia" w:ascii="黑体" w:hAnsi="黑体" w:eastAsia="黑体"/>
          <w:sz w:val="32"/>
          <w:szCs w:val="32"/>
          <w:lang w:val="en-US" w:eastAsia="zh-CN"/>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6"/>
        <w:numPr>
          <w:ilvl w:val="0"/>
          <w:numId w:val="1"/>
        </w:numPr>
        <w:spacing w:line="578" w:lineRule="exact"/>
        <w:ind w:firstLineChars="0"/>
        <w:jc w:val="both"/>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both"/>
        <w:rPr>
          <w:rFonts w:ascii="黑体" w:hAnsi="黑体" w:eastAsia="黑体"/>
          <w:sz w:val="32"/>
          <w:szCs w:val="32"/>
        </w:rPr>
      </w:pPr>
    </w:p>
    <w:p>
      <w:pPr>
        <w:pStyle w:val="6"/>
        <w:numPr>
          <w:ilvl w:val="0"/>
          <w:numId w:val="4"/>
        </w:numPr>
        <w:spacing w:line="578" w:lineRule="exact"/>
        <w:ind w:firstLineChars="0"/>
        <w:jc w:val="both"/>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6"/>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lang w:eastAsia="zh-CN"/>
        </w:rPr>
        <w:t>屯昌县教育局</w:t>
      </w:r>
      <w:r>
        <w:rPr>
          <w:rFonts w:hint="eastAsia" w:ascii="黑体" w:hAnsi="黑体" w:eastAsia="黑体"/>
          <w:sz w:val="32"/>
          <w:szCs w:val="32"/>
        </w:rPr>
        <w:t>概况</w:t>
      </w:r>
    </w:p>
    <w:p>
      <w:pPr>
        <w:spacing w:line="578" w:lineRule="exact"/>
        <w:jc w:val="both"/>
        <w:rPr>
          <w:rFonts w:ascii="仿宋_GB2312" w:hAnsi="仿宋_GB2312" w:eastAsia="仿宋_GB2312" w:cs="仿宋_GB2312"/>
          <w:sz w:val="32"/>
          <w:szCs w:val="32"/>
        </w:rPr>
      </w:pPr>
    </w:p>
    <w:p>
      <w:pPr>
        <w:pStyle w:val="6"/>
        <w:numPr>
          <w:ilvl w:val="0"/>
          <w:numId w:val="5"/>
        </w:numPr>
        <w:spacing w:line="578" w:lineRule="exact"/>
        <w:ind w:firstLineChars="0"/>
        <w:jc w:val="both"/>
        <w:rPr>
          <w:rFonts w:ascii="黑体" w:hAnsi="黑体" w:eastAsia="黑体" w:cs="仿宋_GB2312"/>
          <w:sz w:val="32"/>
          <w:szCs w:val="32"/>
        </w:rPr>
      </w:pPr>
      <w:r>
        <w:rPr>
          <w:rFonts w:hint="eastAsia" w:ascii="黑体" w:hAnsi="黑体" w:eastAsia="黑体" w:cs="仿宋_GB2312"/>
          <w:sz w:val="32"/>
          <w:szCs w:val="32"/>
        </w:rPr>
        <w:t>主要职能</w:t>
      </w:r>
    </w:p>
    <w:p>
      <w:pPr>
        <w:pStyle w:val="3"/>
        <w:widowControl/>
        <w:spacing w:beforeAutospacing="0" w:afterAutospacing="0"/>
        <w:ind w:firstLine="640" w:firstLineChars="200"/>
        <w:jc w:val="both"/>
        <w:rPr>
          <w:rFonts w:ascii="仿宋_GB2312" w:hAnsi="仿宋_GB2312" w:eastAsia="仿宋_GB2312" w:cs="仿宋_GB2312"/>
          <w:sz w:val="32"/>
          <w:szCs w:val="32"/>
        </w:rPr>
      </w:pPr>
      <w:r>
        <w:rPr>
          <w:rFonts w:ascii="仿宋_GB2312" w:hAnsi="仿宋_GB2312" w:eastAsia="仿宋_GB2312" w:cs="仿宋_GB2312"/>
          <w:sz w:val="32"/>
          <w:szCs w:val="32"/>
        </w:rPr>
        <w:t>（一）贯彻执行党和国家的教育、科技创新工作的方针、政策、法律、法规；落实县委县政府和县委教育工作领导小组的决策部署、中国（海南）自由贸易试验区和中国特色自由贸易港政策措施。</w:t>
      </w:r>
    </w:p>
    <w:p>
      <w:pPr>
        <w:pStyle w:val="3"/>
        <w:widowControl/>
        <w:spacing w:beforeAutospacing="0" w:afterAutospacing="0"/>
        <w:ind w:firstLine="640" w:firstLineChars="200"/>
        <w:jc w:val="both"/>
        <w:rPr>
          <w:rFonts w:ascii="仿宋_GB2312" w:hAnsi="仿宋_GB2312" w:eastAsia="仿宋_GB2312" w:cs="仿宋_GB2312"/>
          <w:sz w:val="32"/>
          <w:szCs w:val="32"/>
        </w:rPr>
      </w:pPr>
      <w:r>
        <w:rPr>
          <w:rFonts w:ascii="仿宋_GB2312" w:hAnsi="仿宋_GB2312" w:eastAsia="仿宋_GB2312" w:cs="仿宋_GB2312"/>
          <w:sz w:val="32"/>
          <w:szCs w:val="32"/>
        </w:rPr>
        <w:t>（二）负责对全县各级各类学校贯彻落实中央、省委关于加强党的建设和思想政治工作的方针政策和县委有关决策部署情况进行检查、指导与督促；领导局机关及所属单位（学校）党组织的工作。</w:t>
      </w:r>
    </w:p>
    <w:p>
      <w:pPr>
        <w:pStyle w:val="3"/>
        <w:widowControl/>
        <w:spacing w:beforeAutospacing="0" w:afterAutospacing="0"/>
        <w:ind w:firstLine="640" w:firstLineChars="200"/>
        <w:jc w:val="both"/>
      </w:pPr>
      <w:r>
        <w:rPr>
          <w:rFonts w:ascii="仿宋_GB2312" w:hAnsi="仿宋_GB2312" w:eastAsia="仿宋_GB2312" w:cs="仿宋_GB2312"/>
          <w:sz w:val="32"/>
          <w:szCs w:val="32"/>
        </w:rPr>
        <w:t>（三）研究拟订教育改革与发展的政策、计划、规划并组织实施。指导全县各级各类学校的教育教学改革与发展，研究提出有关教育工作的意见和建议。统筹规划和协调管理全县各级各类教育资源，指导监督全县各级各类学校及其他教育机构的设置。统筹协调全县教育信息化建设工作。 负责教育基本信息的统计、分析和发布。</w:t>
      </w:r>
    </w:p>
    <w:p>
      <w:pPr>
        <w:pStyle w:val="3"/>
        <w:widowControl/>
        <w:spacing w:beforeAutospacing="0" w:afterAutospacing="0"/>
        <w:ind w:firstLine="640" w:firstLineChars="200"/>
        <w:jc w:val="both"/>
      </w:pPr>
      <w:r>
        <w:rPr>
          <w:rFonts w:ascii="仿宋_GB2312" w:hAnsi="仿宋_GB2312" w:eastAsia="仿宋_GB2312" w:cs="仿宋_GB2312"/>
          <w:sz w:val="32"/>
          <w:szCs w:val="32"/>
        </w:rPr>
        <w:t>（四）依法组织实施对全县各级各类学校及其他教育机构督导评估和检查验收工作。负责对各镇人民政府履行教育职责、各级各类教育机构及其他教育机构的办学情况进行督导、检查、评估。监测全县各级各类教育发展水平和质量。 负责组织全县教育重大事项的专项督导。</w:t>
      </w:r>
    </w:p>
    <w:p>
      <w:pPr>
        <w:pStyle w:val="3"/>
        <w:widowControl/>
        <w:spacing w:beforeAutospacing="0" w:afterAutospacing="0"/>
        <w:ind w:firstLine="640" w:firstLineChars="200"/>
        <w:jc w:val="both"/>
      </w:pPr>
      <w:r>
        <w:rPr>
          <w:rFonts w:ascii="仿宋_GB2312" w:hAnsi="仿宋_GB2312" w:eastAsia="仿宋_GB2312" w:cs="仿宋_GB2312"/>
          <w:sz w:val="32"/>
          <w:szCs w:val="32"/>
        </w:rPr>
        <w:t>（五）负责推进义务教育均衡发展， 促进教育公平。 统筹指导少数民族教育工作，协调对少数民族地区教育的扶持与援助。负责全县幼儿教育、义务教育、普通高中教育、特殊教育和校外教育的统筹管理工作，全面实施素质教育。</w:t>
      </w:r>
    </w:p>
    <w:p>
      <w:pPr>
        <w:pStyle w:val="3"/>
        <w:widowControl/>
        <w:spacing w:beforeAutospacing="0" w:afterAutospacing="0"/>
        <w:ind w:firstLine="640" w:firstLineChars="200"/>
        <w:jc w:val="both"/>
      </w:pPr>
      <w:r>
        <w:rPr>
          <w:rFonts w:ascii="仿宋_GB2312" w:hAnsi="仿宋_GB2312" w:eastAsia="仿宋_GB2312" w:cs="仿宋_GB2312"/>
          <w:sz w:val="32"/>
          <w:szCs w:val="32"/>
        </w:rPr>
        <w:t>（六）负责全县教学教研、教学信息化建设管理等工作；统筹管理本部门教育经费及县外对本县的教育援助、教育贷款；参与拟订教育经费筹措、教育拨款、教育基建投资、教育收费的政策规定；监测全县教育经费的筹措和使用情况； 组织管理全县学生资助工作；协调开展全县教育系统内部审计工作。</w:t>
      </w:r>
    </w:p>
    <w:p>
      <w:pPr>
        <w:pStyle w:val="3"/>
        <w:widowControl/>
        <w:spacing w:beforeAutospacing="0" w:afterAutospacing="0"/>
        <w:ind w:firstLine="640" w:firstLineChars="200"/>
        <w:jc w:val="both"/>
      </w:pPr>
      <w:r>
        <w:rPr>
          <w:rFonts w:ascii="仿宋_GB2312" w:hAnsi="仿宋_GB2312" w:eastAsia="仿宋_GB2312" w:cs="仿宋_GB2312"/>
          <w:sz w:val="32"/>
          <w:szCs w:val="32"/>
        </w:rPr>
        <w:t>（七）指导全县各级各类学校思想政治工作、德育工作、 法制宣传教育工作、体育卫生与美育工作、劳动教育及国防教育工作。指导、协调教育系统维护稳定以及学校安全工作。</w:t>
      </w:r>
    </w:p>
    <w:p>
      <w:pPr>
        <w:pStyle w:val="3"/>
        <w:widowControl/>
        <w:spacing w:beforeAutospacing="0" w:afterAutospacing="0"/>
        <w:ind w:firstLine="640" w:firstLineChars="200"/>
        <w:jc w:val="both"/>
      </w:pPr>
      <w:r>
        <w:rPr>
          <w:rFonts w:ascii="仿宋_GB2312" w:hAnsi="仿宋_GB2312" w:eastAsia="仿宋_GB2312" w:cs="仿宋_GB2312"/>
          <w:sz w:val="32"/>
          <w:szCs w:val="32"/>
        </w:rPr>
        <w:t>（八）主管全县教师和外国专家工作。统筹协调各级各类学校校长、教师培训和教师教育，指导教师资格制度、教师专业技术职务制度的实施。指导全县各级各类学校人事制度改革工作，推进全县教育领域人才及外国专家队伍建设。</w:t>
      </w:r>
    </w:p>
    <w:p>
      <w:pPr>
        <w:pStyle w:val="3"/>
        <w:widowControl/>
        <w:spacing w:beforeAutospacing="0" w:afterAutospacing="0"/>
        <w:ind w:firstLine="640" w:firstLineChars="200"/>
        <w:jc w:val="both"/>
      </w:pPr>
      <w:r>
        <w:rPr>
          <w:rFonts w:ascii="仿宋_GB2312" w:hAnsi="仿宋_GB2312" w:eastAsia="仿宋_GB2312" w:cs="仿宋_GB2312"/>
          <w:sz w:val="32"/>
          <w:szCs w:val="32"/>
        </w:rPr>
        <w:t>（九）负责全县中小学的学籍管理工作，指导义务教育和学前教育的学籍管理工作。负责招生考务工作。制定实施中小学招生改革方案，制订中小学招生计划并负责组织实施。负责中小学校和高中毕业证书的验印和发放。</w:t>
      </w:r>
    </w:p>
    <w:p>
      <w:pPr>
        <w:pStyle w:val="3"/>
        <w:widowControl/>
        <w:spacing w:beforeAutospacing="0" w:afterAutospacing="0"/>
        <w:ind w:firstLine="640" w:firstLineChars="200"/>
        <w:jc w:val="both"/>
      </w:pPr>
      <w:r>
        <w:rPr>
          <w:rFonts w:ascii="仿宋_GB2312" w:hAnsi="仿宋_GB2312" w:eastAsia="仿宋_GB2312" w:cs="仿宋_GB2312"/>
          <w:sz w:val="32"/>
          <w:szCs w:val="32"/>
        </w:rPr>
        <w:t>（十）加强教育领域对外开放。组织和开展国内外教育交流与合作。</w:t>
      </w:r>
    </w:p>
    <w:p>
      <w:pPr>
        <w:pStyle w:val="3"/>
        <w:widowControl/>
        <w:spacing w:beforeAutospacing="0" w:afterAutospacing="0"/>
        <w:ind w:firstLine="640" w:firstLineChars="200"/>
        <w:jc w:val="both"/>
      </w:pPr>
      <w:r>
        <w:rPr>
          <w:rFonts w:ascii="仿宋_GB2312" w:hAnsi="仿宋_GB2312" w:eastAsia="仿宋_GB2312" w:cs="仿宋_GB2312"/>
          <w:sz w:val="32"/>
          <w:szCs w:val="32"/>
        </w:rPr>
        <w:t>（十一）承担全县语言文字的管理工作。制订全县语言文字中长期规划并组织实施，指导语言文字规范化建设，监督检查语言文字的应用情况，负责普通话推广和普通话水平测试管理工作。</w:t>
      </w:r>
    </w:p>
    <w:p>
      <w:pPr>
        <w:pStyle w:val="3"/>
        <w:widowControl/>
        <w:spacing w:beforeAutospacing="0" w:afterAutospacing="0"/>
        <w:ind w:firstLine="640" w:firstLineChars="200"/>
        <w:jc w:val="both"/>
      </w:pPr>
      <w:r>
        <w:rPr>
          <w:rFonts w:ascii="仿宋_GB2312" w:hAnsi="仿宋_GB2312" w:eastAsia="仿宋_GB2312" w:cs="仿宋_GB2312"/>
          <w:sz w:val="32"/>
          <w:szCs w:val="32"/>
        </w:rPr>
        <w:t>（十二）管理全县科技成果、科技奖励、科技保密、技术市场等工作；促进科技咨询、科技评估、专利服务、技术交易等社会中介组织的发展，推动科技服务体系的建设。</w:t>
      </w:r>
    </w:p>
    <w:p>
      <w:pPr>
        <w:pStyle w:val="6"/>
        <w:numPr>
          <w:ilvl w:val="0"/>
          <w:numId w:val="0"/>
        </w:numPr>
        <w:spacing w:line="578" w:lineRule="exact"/>
        <w:ind w:leftChars="0"/>
        <w:jc w:val="both"/>
        <w:rPr>
          <w:rFonts w:ascii="黑体" w:hAnsi="黑体" w:eastAsia="黑体" w:cs="仿宋_GB2312"/>
          <w:sz w:val="32"/>
          <w:szCs w:val="32"/>
        </w:rPr>
      </w:pPr>
      <w:r>
        <w:rPr>
          <w:rFonts w:ascii="仿宋_GB2312" w:hAnsi="仿宋_GB2312" w:eastAsia="仿宋_GB2312" w:cs="仿宋_GB2312"/>
          <w:sz w:val="32"/>
          <w:szCs w:val="32"/>
        </w:rPr>
        <w:t>（十三）承办县委、县政府和上级部门交办的其他任务。</w:t>
      </w:r>
    </w:p>
    <w:p>
      <w:pPr>
        <w:spacing w:line="578" w:lineRule="exact"/>
        <w:ind w:left="800"/>
        <w:jc w:val="both"/>
        <w:rPr>
          <w:rFonts w:ascii="仿宋_GB2312" w:hAnsi="黑体" w:eastAsia="仿宋_GB2312" w:cs="仿宋_GB2312"/>
          <w:sz w:val="32"/>
          <w:szCs w:val="32"/>
        </w:rPr>
      </w:pP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屯昌县教育局</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spacing w:line="578" w:lineRule="exact"/>
        <w:ind w:left="800"/>
        <w:jc w:val="both"/>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w:t>
      </w:r>
      <w:bookmarkStart w:id="0" w:name="_GoBack"/>
      <w:bookmarkEnd w:id="0"/>
      <w:r>
        <w:rPr>
          <w:rFonts w:hint="eastAsia" w:ascii="仿宋" w:hAnsi="仿宋" w:eastAsia="仿宋" w:cs="仿宋"/>
          <w:b/>
          <w:sz w:val="32"/>
          <w:szCs w:val="32"/>
        </w:rPr>
        <w:t>单位预算公开表）</w:t>
      </w:r>
    </w:p>
    <w:p>
      <w:pPr>
        <w:spacing w:line="578" w:lineRule="exact"/>
        <w:jc w:val="both"/>
        <w:rPr>
          <w:rFonts w:ascii="黑体" w:hAnsi="黑体" w:eastAsia="黑体"/>
          <w:sz w:val="32"/>
          <w:szCs w:val="32"/>
        </w:rPr>
      </w:pP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eastAsia="zh-CN"/>
        </w:rPr>
        <w:t>屯昌县教育局</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spacing w:line="578" w:lineRule="exact"/>
        <w:jc w:val="both"/>
        <w:rPr>
          <w:rFonts w:ascii="黑体" w:hAnsi="黑体" w:eastAsia="黑体"/>
          <w:sz w:val="32"/>
          <w:szCs w:val="32"/>
        </w:rPr>
      </w:pPr>
    </w:p>
    <w:p>
      <w:pPr>
        <w:spacing w:line="578" w:lineRule="exact"/>
        <w:ind w:firstLine="640" w:firstLineChars="200"/>
        <w:jc w:val="both"/>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屯昌县教育局</w:t>
      </w:r>
      <w:r>
        <w:rPr>
          <w:rFonts w:hint="eastAsia" w:ascii="黑体" w:hAnsi="黑体" w:eastAsia="黑体"/>
          <w:sz w:val="32"/>
          <w:szCs w:val="32"/>
          <w:lang w:val="en-US" w:eastAsia="zh-CN"/>
        </w:rPr>
        <w:t>2025</w:t>
      </w:r>
      <w:r>
        <w:rPr>
          <w:rFonts w:hint="eastAsia" w:ascii="黑体" w:hAnsi="黑体" w:eastAsia="黑体"/>
          <w:sz w:val="32"/>
          <w:szCs w:val="32"/>
        </w:rPr>
        <w:t>年财政拨款收支预算情况的总体说明</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屯昌县教育局</w:t>
      </w:r>
      <w:r>
        <w:rPr>
          <w:rFonts w:hint="eastAsia" w:ascii="仿宋" w:hAnsi="仿宋" w:eastAsia="仿宋" w:cs="仿宋"/>
          <w:sz w:val="32"/>
          <w:szCs w:val="32"/>
          <w:lang w:val="en-US" w:eastAsia="zh-CN"/>
        </w:rPr>
        <w:t>2025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30543.3</w:t>
      </w:r>
      <w:r>
        <w:rPr>
          <w:rFonts w:hint="eastAsia" w:ascii="仿宋" w:hAnsi="仿宋" w:eastAsia="仿宋" w:cs="仿宋"/>
          <w:sz w:val="32"/>
          <w:szCs w:val="32"/>
        </w:rPr>
        <w:t>万元。其中，收入总计15271.65万元，包括一般公共预算本年收入15164.49万元、上年结转107.16万元，政府性基金预算本年收入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万元；支出总计15271.65万元，包括一般公共服务支出48.15万元、</w:t>
      </w:r>
      <w:r>
        <w:rPr>
          <w:rFonts w:hint="eastAsia" w:ascii="仿宋" w:hAnsi="仿宋" w:eastAsia="仿宋" w:cs="仿宋"/>
          <w:sz w:val="32"/>
          <w:szCs w:val="32"/>
          <w:lang w:val="en-US" w:eastAsia="zh-CN"/>
        </w:rPr>
        <w:t>教育支出14994.85万元</w:t>
      </w:r>
      <w:r>
        <w:rPr>
          <w:rFonts w:hint="eastAsia" w:ascii="仿宋" w:hAnsi="仿宋" w:eastAsia="仿宋" w:cs="仿宋"/>
          <w:sz w:val="32"/>
          <w:szCs w:val="32"/>
          <w:lang w:eastAsia="zh-CN"/>
        </w:rPr>
        <w:t>、</w:t>
      </w:r>
      <w:r>
        <w:rPr>
          <w:rFonts w:hint="eastAsia" w:ascii="仿宋" w:hAnsi="仿宋" w:eastAsia="仿宋" w:cs="仿宋"/>
          <w:sz w:val="32"/>
          <w:szCs w:val="32"/>
        </w:rPr>
        <w:t> 社会保障和就业支出71.68</w:t>
      </w:r>
      <w:r>
        <w:rPr>
          <w:rFonts w:hint="eastAsia" w:ascii="仿宋" w:hAnsi="仿宋" w:eastAsia="仿宋" w:cs="仿宋"/>
          <w:sz w:val="32"/>
          <w:szCs w:val="32"/>
          <w:lang w:val="en-US" w:eastAsia="zh-CN"/>
        </w:rPr>
        <w:t>万元、 卫生健康支出119.75万元、 城乡社区支出 0.83万元、 住房保障支出36.39万元，</w:t>
      </w:r>
      <w:r>
        <w:rPr>
          <w:rFonts w:hint="eastAsia" w:ascii="仿宋" w:hAnsi="仿宋" w:eastAsia="仿宋" w:cs="仿宋"/>
          <w:sz w:val="32"/>
          <w:szCs w:val="32"/>
        </w:rPr>
        <w:t>结转下年</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jc w:val="both"/>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屯昌县教育局</w:t>
      </w:r>
      <w:r>
        <w:rPr>
          <w:rFonts w:hint="eastAsia" w:ascii="黑体" w:hAnsi="黑体" w:eastAsia="黑体"/>
          <w:sz w:val="32"/>
          <w:szCs w:val="32"/>
          <w:lang w:val="en-US" w:eastAsia="zh-CN"/>
        </w:rPr>
        <w:t>2025</w:t>
      </w:r>
      <w:r>
        <w:rPr>
          <w:rFonts w:hint="eastAsia" w:ascii="黑体" w:hAnsi="黑体" w:eastAsia="黑体"/>
          <w:sz w:val="32"/>
          <w:szCs w:val="32"/>
        </w:rPr>
        <w:t>年一般公共预算当年拨款情况说明</w:t>
      </w:r>
    </w:p>
    <w:p>
      <w:pPr>
        <w:spacing w:line="578" w:lineRule="exact"/>
        <w:ind w:firstLine="640"/>
        <w:jc w:val="both"/>
        <w:rPr>
          <w:rFonts w:ascii="楷体" w:hAnsi="楷体" w:eastAsia="楷体"/>
          <w:sz w:val="32"/>
          <w:szCs w:val="32"/>
        </w:rPr>
      </w:pPr>
      <w:r>
        <w:rPr>
          <w:rFonts w:hint="eastAsia" w:ascii="楷体" w:hAnsi="楷体" w:eastAsia="楷体"/>
          <w:sz w:val="32"/>
          <w:szCs w:val="32"/>
        </w:rPr>
        <w:t>（一）一般公共预算当年规模变化情况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屯昌县教育局</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年一般公共预算当年拨款15164.49万元，比上年预算数减少9299.78万元，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教育业务经费减少。</w:t>
      </w:r>
    </w:p>
    <w:p>
      <w:pPr>
        <w:spacing w:line="578" w:lineRule="exact"/>
        <w:ind w:firstLine="640"/>
        <w:jc w:val="both"/>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800" w:firstLineChars="250"/>
        <w:jc w:val="both"/>
        <w:rPr>
          <w:rFonts w:hint="default" w:ascii="仿宋" w:hAnsi="仿宋" w:eastAsia="仿宋" w:cs="仿宋"/>
          <w:sz w:val="32"/>
          <w:szCs w:val="32"/>
          <w:lang w:val="en-US"/>
        </w:rPr>
      </w:pPr>
      <w:r>
        <w:rPr>
          <w:rFonts w:hint="eastAsia" w:ascii="仿宋" w:hAnsi="仿宋" w:eastAsia="仿宋" w:cs="仿宋"/>
          <w:sz w:val="32"/>
          <w:szCs w:val="32"/>
        </w:rPr>
        <w:t>一般公共服务（类）支出48.15万元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占0.32%；教育支出14994.85万元，占98.19%；</w:t>
      </w:r>
      <w:r>
        <w:rPr>
          <w:rFonts w:hint="eastAsia" w:ascii="仿宋" w:hAnsi="仿宋" w:eastAsia="仿宋" w:cs="仿宋"/>
          <w:sz w:val="32"/>
          <w:szCs w:val="32"/>
        </w:rPr>
        <w:t>社会保障和就业支出71.68</w:t>
      </w:r>
      <w:r>
        <w:rPr>
          <w:rFonts w:hint="eastAsia" w:ascii="仿宋" w:hAnsi="仿宋" w:eastAsia="仿宋" w:cs="仿宋"/>
          <w:sz w:val="32"/>
          <w:szCs w:val="32"/>
          <w:lang w:val="en-US" w:eastAsia="zh-CN"/>
        </w:rPr>
        <w:t>万元，占0.47%；卫生健康支出119.75万元，占0.78%； 城乡社区支出 0.83万元，占0.01%； 住房保障支出36.39万元，占0.24%。</w:t>
      </w:r>
    </w:p>
    <w:p>
      <w:pPr>
        <w:spacing w:line="578" w:lineRule="exact"/>
        <w:ind w:firstLine="640"/>
        <w:jc w:val="both"/>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1.一般公共服务（类）其他共产党事务支出（款）其他共产党事务支出（项）</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48.15</w:t>
      </w:r>
      <w:r>
        <w:rPr>
          <w:rFonts w:hint="eastAsia" w:ascii="仿宋_GB2312" w:hAnsi="黑体" w:eastAsia="仿宋_GB2312"/>
          <w:sz w:val="32"/>
          <w:szCs w:val="32"/>
        </w:rPr>
        <w:t>万元，比上年</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了</w:t>
      </w:r>
      <w:r>
        <w:rPr>
          <w:rFonts w:hint="eastAsia" w:ascii="仿宋_GB2312" w:hAnsi="黑体" w:eastAsia="仿宋_GB2312"/>
          <w:sz w:val="32"/>
          <w:szCs w:val="32"/>
          <w:lang w:val="en-US" w:eastAsia="zh-CN"/>
        </w:rPr>
        <w:t>29.44</w:t>
      </w:r>
      <w:r>
        <w:rPr>
          <w:rFonts w:hint="eastAsia" w:ascii="仿宋_GB2312" w:hAnsi="黑体" w:eastAsia="仿宋_GB2312"/>
          <w:sz w:val="32"/>
          <w:szCs w:val="32"/>
        </w:rPr>
        <w:t>万元，主要原因是党建经费</w:t>
      </w:r>
      <w:r>
        <w:rPr>
          <w:rFonts w:hint="eastAsia" w:ascii="仿宋_GB2312" w:hAnsi="黑体" w:eastAsia="仿宋_GB2312"/>
          <w:sz w:val="32"/>
          <w:szCs w:val="32"/>
          <w:lang w:val="en-US" w:eastAsia="zh-CN"/>
        </w:rPr>
        <w:t>增加</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（1）教育支出（类）教育管理事务（款）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预算数为384.50万元，比上年预算数</w:t>
      </w:r>
      <w:r>
        <w:rPr>
          <w:rFonts w:hint="eastAsia" w:ascii="仿宋_GB2312" w:hAnsi="黑体" w:eastAsia="仿宋_GB2312"/>
          <w:sz w:val="32"/>
          <w:szCs w:val="32"/>
          <w:lang w:eastAsia="zh-CN"/>
        </w:rPr>
        <w:t>减少3644.96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教育经费减少</w:t>
      </w:r>
      <w:r>
        <w:rPr>
          <w:rFonts w:hint="eastAsia" w:ascii="仿宋_GB2312" w:hAnsi="黑体" w:eastAsia="仿宋_GB2312"/>
          <w:sz w:val="32"/>
          <w:szCs w:val="32"/>
        </w:rPr>
        <w:t>；（2）</w:t>
      </w:r>
      <w:r>
        <w:rPr>
          <w:rFonts w:hint="eastAsia" w:ascii="仿宋_GB2312" w:hAnsi="黑体" w:eastAsia="仿宋_GB2312" w:cs="仿宋_GB2312"/>
          <w:sz w:val="32"/>
          <w:szCs w:val="32"/>
        </w:rPr>
        <w:t>教育支出（类）普通教育（款）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rPr>
        <w:t>14,220.48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减少4436.89</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教育工程量</w:t>
      </w:r>
      <w:r>
        <w:rPr>
          <w:rFonts w:hint="eastAsia" w:ascii="仿宋_GB2312" w:hAnsi="黑体" w:eastAsia="仿宋_GB2312"/>
          <w:sz w:val="32"/>
          <w:szCs w:val="32"/>
          <w:lang w:eastAsia="zh-CN"/>
        </w:rPr>
        <w:t>减少</w:t>
      </w:r>
      <w:r>
        <w:rPr>
          <w:rFonts w:hint="eastAsia" w:ascii="仿宋_GB2312" w:hAnsi="黑体" w:eastAsia="仿宋_GB2312"/>
          <w:sz w:val="32"/>
          <w:szCs w:val="32"/>
        </w:rPr>
        <w:t>；（3）</w:t>
      </w:r>
      <w:r>
        <w:rPr>
          <w:rFonts w:hint="eastAsia" w:ascii="仿宋_GB2312" w:hAnsi="黑体" w:eastAsia="仿宋_GB2312" w:cs="仿宋_GB2312"/>
          <w:sz w:val="32"/>
          <w:szCs w:val="32"/>
        </w:rPr>
        <w:t>教育支出（类）特殊教育（款）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预算数为281.79万元，比上年预算数</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166.03万元，主要是特殊教育经费</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w:t>
      </w: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教育支出（类）其他教育支出（款）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108.08</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增加14.08</w:t>
      </w:r>
      <w:r>
        <w:rPr>
          <w:rFonts w:hint="eastAsia" w:ascii="仿宋_GB2312" w:hAnsi="黑体" w:eastAsia="仿宋_GB2312"/>
          <w:sz w:val="32"/>
          <w:szCs w:val="32"/>
        </w:rPr>
        <w:t>万元，主</w:t>
      </w:r>
      <w:r>
        <w:rPr>
          <w:rFonts w:hint="eastAsia" w:ascii="仿宋_GB2312" w:hAnsi="黑体" w:eastAsia="仿宋_GB2312" w:cs="仿宋_GB2312"/>
          <w:sz w:val="32"/>
          <w:szCs w:val="32"/>
        </w:rPr>
        <w:t>要是教育</w:t>
      </w:r>
      <w:r>
        <w:rPr>
          <w:rFonts w:hint="eastAsia" w:ascii="仿宋_GB2312" w:hAnsi="黑体" w:eastAsia="仿宋_GB2312" w:cs="仿宋_GB2312"/>
          <w:sz w:val="32"/>
          <w:szCs w:val="32"/>
          <w:lang w:eastAsia="zh-CN"/>
        </w:rPr>
        <w:t>支出项目</w:t>
      </w:r>
      <w:r>
        <w:rPr>
          <w:rFonts w:hint="eastAsia" w:ascii="仿宋_GB2312" w:hAnsi="黑体" w:eastAsia="仿宋_GB2312" w:cs="仿宋_GB2312"/>
          <w:sz w:val="32"/>
          <w:szCs w:val="32"/>
          <w:lang w:val="en-US" w:eastAsia="zh-CN"/>
        </w:rPr>
        <w:t>增加</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社会保障和就业支出（类）行政事业单位养老支出（款）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rPr>
        <w:t>69.04</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减少605.21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特岗教师的养老保险自2025年起不在教育局支出</w:t>
      </w:r>
      <w:r>
        <w:rPr>
          <w:rFonts w:hint="eastAsia" w:ascii="仿宋_GB2312" w:hAnsi="黑体" w:eastAsia="仿宋_GB2312"/>
          <w:sz w:val="32"/>
          <w:szCs w:val="32"/>
          <w:lang w:eastAsia="zh-CN"/>
        </w:rPr>
        <w:t>；</w:t>
      </w:r>
      <w:r>
        <w:rPr>
          <w:rFonts w:hint="eastAsia" w:ascii="仿宋_GB2312" w:hAnsi="黑体" w:eastAsia="仿宋_GB2312" w:cs="仿宋_GB2312"/>
          <w:sz w:val="32"/>
          <w:szCs w:val="32"/>
        </w:rPr>
        <w:t>社会保障和就业支出（类）抚恤（款）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2.64万元，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0.68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预留抚恤金提标</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.卫生健康支出</w:t>
      </w:r>
      <w:r>
        <w:rPr>
          <w:rFonts w:hint="eastAsia" w:ascii="仿宋_GB2312" w:hAnsi="黑体" w:eastAsia="仿宋_GB2312" w:cs="仿宋_GB2312"/>
          <w:sz w:val="32"/>
          <w:szCs w:val="32"/>
        </w:rPr>
        <w:t>（类）行政事业单位医疗（款）</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预算数为119.75万元，比上年预算数</w:t>
      </w:r>
      <w:r>
        <w:rPr>
          <w:rFonts w:hint="eastAsia" w:ascii="仿宋_GB2312" w:hAnsi="黑体" w:eastAsia="仿宋_GB2312"/>
          <w:sz w:val="32"/>
          <w:szCs w:val="32"/>
          <w:lang w:val="en-US" w:eastAsia="zh-CN"/>
        </w:rPr>
        <w:t>减少327.71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特岗教师的医疗保险自2025年起不在教育局支出</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6.住房保障支出</w:t>
      </w:r>
      <w:r>
        <w:rPr>
          <w:rFonts w:hint="eastAsia" w:ascii="仿宋_GB2312" w:hAnsi="黑体" w:eastAsia="仿宋_GB2312" w:cs="仿宋_GB2312"/>
          <w:sz w:val="32"/>
          <w:szCs w:val="32"/>
        </w:rPr>
        <w:t>（类）住房改革支出（款）住房公积金（项）</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rPr>
        <w:t>36.39万元，</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w:t>
      </w:r>
      <w:r>
        <w:rPr>
          <w:rFonts w:hint="eastAsia" w:ascii="仿宋_GB2312" w:hAnsi="黑体" w:eastAsia="仿宋_GB2312"/>
          <w:sz w:val="32"/>
          <w:szCs w:val="32"/>
          <w:lang w:eastAsia="zh-CN"/>
        </w:rPr>
        <w:t>388.92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特岗教师的公积金自2025年起不在教育局支出</w:t>
      </w:r>
      <w:r>
        <w:rPr>
          <w:rFonts w:hint="eastAsia" w:ascii="仿宋_GB2312" w:hAnsi="黑体" w:eastAsia="仿宋_GB2312"/>
          <w:sz w:val="32"/>
          <w:szCs w:val="32"/>
        </w:rPr>
        <w:t>。</w:t>
      </w:r>
    </w:p>
    <w:p>
      <w:pPr>
        <w:spacing w:line="578" w:lineRule="exact"/>
        <w:ind w:firstLine="640"/>
        <w:jc w:val="both"/>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屯昌县教育局</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pPr>
        <w:spacing w:line="578" w:lineRule="exact"/>
        <w:ind w:firstLine="640" w:firstLineChars="200"/>
        <w:jc w:val="both"/>
        <w:rPr>
          <w:rFonts w:hint="eastAsia" w:ascii="仿宋" w:hAnsi="仿宋" w:eastAsia="仿宋" w:cs="仿宋"/>
          <w:sz w:val="32"/>
          <w:szCs w:val="32"/>
        </w:rPr>
      </w:pPr>
      <w:r>
        <w:rPr>
          <w:rFonts w:hint="eastAsia" w:ascii="仿宋_GB2312" w:hAnsi="黑体" w:eastAsia="仿宋_GB2312"/>
          <w:sz w:val="32"/>
          <w:szCs w:val="32"/>
          <w:lang w:eastAsia="zh-CN"/>
        </w:rPr>
        <w:t>屯昌县教育局</w:t>
      </w:r>
      <w:r>
        <w:rPr>
          <w:rFonts w:hint="eastAsia" w:ascii="仿宋_GB2312" w:hAnsi="黑体" w:eastAsia="仿宋_GB2312"/>
          <w:sz w:val="32"/>
          <w:szCs w:val="32"/>
          <w:lang w:val="en-US" w:eastAsia="zh-CN"/>
        </w:rPr>
        <w:t>2025</w:t>
      </w:r>
      <w:r>
        <w:rPr>
          <w:rFonts w:hint="eastAsia" w:ascii="仿宋" w:hAnsi="仿宋" w:eastAsia="仿宋" w:cs="仿宋"/>
          <w:sz w:val="32"/>
          <w:szCs w:val="32"/>
        </w:rPr>
        <w:t>年一般公共预算基本支出为609.68万元，其中：</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人员经费564.78万元，主要包括：</w:t>
      </w:r>
      <w:r>
        <w:rPr>
          <w:rFonts w:hint="eastAsia" w:ascii="仿宋_GB2312" w:hAnsi="黑体" w:eastAsia="仿宋_GB2312"/>
          <w:sz w:val="32"/>
          <w:szCs w:val="32"/>
        </w:rPr>
        <w:t>基本工资、津贴补贴、奖金、社会保障缴费、住房公积金等</w:t>
      </w:r>
      <w:r>
        <w:rPr>
          <w:rFonts w:hint="eastAsia" w:ascii="仿宋" w:hAnsi="仿宋" w:eastAsia="仿宋" w:cs="仿宋"/>
          <w:sz w:val="32"/>
          <w:szCs w:val="32"/>
        </w:rPr>
        <w:t>;</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公用经费34.07万元，主要包括：</w:t>
      </w:r>
      <w:r>
        <w:rPr>
          <w:rFonts w:hint="eastAsia" w:ascii="仿宋_GB2312" w:hAnsi="黑体" w:eastAsia="仿宋_GB2312"/>
          <w:sz w:val="32"/>
          <w:szCs w:val="32"/>
        </w:rPr>
        <w:t>办公费、邮电费、水费、电费、工会经费</w:t>
      </w:r>
      <w:r>
        <w:rPr>
          <w:rFonts w:hint="eastAsia" w:ascii="仿宋_GB2312" w:hAnsi="黑体" w:eastAsia="仿宋_GB2312"/>
          <w:sz w:val="32"/>
          <w:szCs w:val="32"/>
          <w:lang w:eastAsia="zh-CN"/>
        </w:rPr>
        <w:t>等</w:t>
      </w:r>
      <w:r>
        <w:rPr>
          <w:rFonts w:hint="eastAsia" w:ascii="仿宋" w:hAnsi="仿宋" w:eastAsia="仿宋" w:cs="仿宋"/>
          <w:sz w:val="32"/>
          <w:szCs w:val="32"/>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屯昌县教育局</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屯昌县教育局</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年一般公共预算“三公”经费预算数为</w:t>
      </w:r>
      <w:r>
        <w:rPr>
          <w:rFonts w:hint="eastAsia" w:ascii="仿宋" w:hAnsi="仿宋" w:eastAsia="仿宋" w:cs="仿宋"/>
          <w:sz w:val="32"/>
          <w:szCs w:val="32"/>
          <w:lang w:val="en-US" w:eastAsia="zh-CN"/>
        </w:rPr>
        <w:t>2.8</w:t>
      </w:r>
      <w:r>
        <w:rPr>
          <w:rFonts w:hint="eastAsia" w:ascii="仿宋" w:hAnsi="仿宋" w:eastAsia="仿宋" w:cs="仿宋"/>
          <w:sz w:val="32"/>
          <w:szCs w:val="32"/>
        </w:rPr>
        <w:t>万元，其中：</w:t>
      </w:r>
    </w:p>
    <w:p>
      <w:pPr>
        <w:spacing w:line="578" w:lineRule="exact"/>
        <w:ind w:firstLine="630"/>
        <w:jc w:val="both"/>
        <w:rPr>
          <w:rFonts w:hint="eastAsia" w:ascii="仿宋" w:hAnsi="仿宋" w:eastAsia="仿宋" w:cs="仿宋"/>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 w:hAnsi="仿宋" w:eastAsia="仿宋" w:cs="仿宋"/>
          <w:sz w:val="32"/>
          <w:shd w:val="clear" w:color="auto" w:fill="FFFFFF"/>
        </w:rPr>
        <w:t>；公务用车购置及运行费</w:t>
      </w:r>
      <w:r>
        <w:rPr>
          <w:rFonts w:hint="eastAsia" w:ascii="仿宋" w:hAnsi="仿宋" w:eastAsia="仿宋" w:cs="仿宋"/>
          <w:sz w:val="32"/>
          <w:szCs w:val="32"/>
          <w:lang w:val="en-US" w:eastAsia="zh-CN"/>
        </w:rPr>
        <w:t>2</w:t>
      </w:r>
      <w:r>
        <w:rPr>
          <w:rFonts w:hint="eastAsia" w:ascii="仿宋" w:hAnsi="仿宋" w:eastAsia="仿宋" w:cs="仿宋"/>
          <w:sz w:val="32"/>
          <w:szCs w:val="32"/>
        </w:rPr>
        <w:t>万元</w:t>
      </w:r>
      <w:r>
        <w:rPr>
          <w:rFonts w:hint="eastAsia" w:ascii="仿宋_GB2312" w:hAnsi="黑体" w:eastAsia="仿宋_GB2312"/>
          <w:sz w:val="32"/>
          <w:szCs w:val="32"/>
        </w:rPr>
        <w:t>（其中，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2</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1辆</w:t>
      </w:r>
      <w:r>
        <w:rPr>
          <w:rFonts w:hint="eastAsia" w:ascii="仿宋" w:hAnsi="仿宋" w:eastAsia="仿宋" w:cs="仿宋"/>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0.8</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 w:hAnsi="仿宋" w:eastAsia="仿宋" w:cs="仿宋"/>
          <w:sz w:val="32"/>
          <w:shd w:val="clear" w:color="auto" w:fill="FFFFFF"/>
        </w:rPr>
        <w:t>。</w:t>
      </w:r>
    </w:p>
    <w:p>
      <w:pPr>
        <w:ind w:firstLine="640" w:firstLineChars="200"/>
        <w:rPr>
          <w:rFonts w:ascii="仿宋_GB2312" w:hAnsi="黑体" w:eastAsia="仿宋_GB2312" w:cs="Times New Roman"/>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屯昌县教育局</w:t>
      </w:r>
      <w:r>
        <w:rPr>
          <w:rFonts w:hint="eastAsia" w:ascii="仿宋" w:hAnsi="仿宋" w:eastAsia="仿宋" w:cs="仿宋"/>
          <w:sz w:val="32"/>
          <w:szCs w:val="32"/>
          <w:lang w:val="en-US" w:eastAsia="zh-CN"/>
        </w:rPr>
        <w:t>2025</w:t>
      </w:r>
      <w:r>
        <w:rPr>
          <w:rFonts w:hint="eastAsia" w:ascii="仿宋" w:hAnsi="仿宋" w:eastAsia="仿宋" w:cs="仿宋"/>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spacing w:line="578" w:lineRule="exact"/>
        <w:jc w:val="both"/>
        <w:rPr>
          <w:rFonts w:hint="eastAsia" w:ascii="仿宋" w:hAnsi="仿宋" w:eastAsia="仿宋" w:cs="仿宋"/>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屯昌县教育局</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年政府性基金预算当年拨款情况说明</w:t>
      </w:r>
    </w:p>
    <w:p>
      <w:pPr>
        <w:spacing w:line="578" w:lineRule="exact"/>
        <w:ind w:firstLine="640"/>
        <w:jc w:val="both"/>
        <w:rPr>
          <w:rFonts w:ascii="楷体" w:hAnsi="楷体" w:eastAsia="楷体"/>
          <w:sz w:val="32"/>
          <w:szCs w:val="32"/>
        </w:rPr>
      </w:pPr>
      <w:r>
        <w:rPr>
          <w:rFonts w:hint="eastAsia" w:ascii="楷体" w:hAnsi="楷体" w:eastAsia="楷体"/>
          <w:sz w:val="32"/>
          <w:szCs w:val="32"/>
        </w:rPr>
        <w:t>（一）政府性基金预算当年规模变化情况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屯昌县教育局</w:t>
      </w:r>
      <w:r>
        <w:rPr>
          <w:rFonts w:hint="eastAsia" w:ascii="仿宋" w:hAnsi="仿宋" w:eastAsia="仿宋" w:cs="仿宋"/>
          <w:sz w:val="32"/>
          <w:szCs w:val="32"/>
          <w:lang w:val="en-US" w:eastAsia="zh-CN"/>
        </w:rPr>
        <w:t>2025</w:t>
      </w:r>
      <w:r>
        <w:rPr>
          <w:rFonts w:hint="eastAsia" w:ascii="仿宋" w:hAnsi="仿宋" w:eastAsia="仿宋" w:cs="仿宋"/>
          <w:sz w:val="32"/>
          <w:szCs w:val="32"/>
        </w:rPr>
        <w:t>年政府性基金预算当年拨款</w:t>
      </w:r>
      <w:r>
        <w:rPr>
          <w:rFonts w:hint="eastAsia" w:ascii="仿宋" w:hAnsi="仿宋" w:eastAsia="仿宋" w:cs="仿宋"/>
          <w:sz w:val="32"/>
          <w:szCs w:val="32"/>
          <w:lang w:val="en-US" w:eastAsia="zh-CN"/>
        </w:rPr>
        <w:t>0.83</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0.83</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结转2024年屯昌县中小学心理健康教育日常经费</w:t>
      </w:r>
      <w:r>
        <w:rPr>
          <w:rFonts w:hint="eastAsia" w:ascii="仿宋" w:hAnsi="仿宋" w:eastAsia="仿宋" w:cs="仿宋"/>
          <w:sz w:val="32"/>
          <w:szCs w:val="32"/>
        </w:rPr>
        <w:t>。</w:t>
      </w:r>
    </w:p>
    <w:p>
      <w:pPr>
        <w:spacing w:line="578" w:lineRule="exact"/>
        <w:ind w:firstLine="640"/>
        <w:jc w:val="both"/>
        <w:rPr>
          <w:rFonts w:ascii="楷体" w:hAnsi="楷体" w:eastAsia="楷体"/>
          <w:sz w:val="32"/>
          <w:szCs w:val="32"/>
        </w:rPr>
      </w:pPr>
      <w:r>
        <w:rPr>
          <w:rFonts w:hint="eastAsia" w:ascii="楷体" w:hAnsi="楷体" w:eastAsia="楷体"/>
          <w:sz w:val="32"/>
          <w:szCs w:val="32"/>
        </w:rPr>
        <w:t>（二）政府性基金预算当年拨款结构情况</w:t>
      </w:r>
    </w:p>
    <w:p>
      <w:pPr>
        <w:spacing w:line="578"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城乡社区支出（类）国有土地使用权出让收入安排的支出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款</w:t>
      </w:r>
      <w:r>
        <w:rPr>
          <w:rFonts w:hint="eastAsia" w:ascii="仿宋" w:hAnsi="仿宋" w:eastAsia="仿宋" w:cs="仿宋"/>
          <w:sz w:val="32"/>
          <w:szCs w:val="32"/>
          <w:lang w:eastAsia="zh-CN"/>
        </w:rPr>
        <w:t>）其他国有土地使用权出让收入安排的支出（</w:t>
      </w:r>
      <w:r>
        <w:rPr>
          <w:rFonts w:hint="eastAsia" w:ascii="仿宋" w:hAnsi="仿宋" w:eastAsia="仿宋" w:cs="仿宋"/>
          <w:sz w:val="32"/>
          <w:szCs w:val="32"/>
          <w:lang w:val="en-US" w:eastAsia="zh-CN"/>
        </w:rPr>
        <w:t>项</w:t>
      </w:r>
      <w:r>
        <w:rPr>
          <w:rFonts w:hint="eastAsia" w:ascii="仿宋" w:hAnsi="仿宋" w:eastAsia="仿宋" w:cs="仿宋"/>
          <w:sz w:val="32"/>
          <w:szCs w:val="32"/>
          <w:lang w:eastAsia="zh-CN"/>
        </w:rPr>
        <w:t>）</w:t>
      </w:r>
      <w:r>
        <w:rPr>
          <w:rFonts w:hint="eastAsia" w:ascii="仿宋" w:hAnsi="仿宋" w:eastAsia="仿宋" w:cs="仿宋"/>
          <w:sz w:val="32"/>
          <w:szCs w:val="32"/>
        </w:rPr>
        <w:t>支出</w:t>
      </w:r>
      <w:r>
        <w:rPr>
          <w:rFonts w:hint="eastAsia" w:ascii="仿宋" w:hAnsi="仿宋" w:eastAsia="仿宋" w:cs="仿宋"/>
          <w:sz w:val="32"/>
          <w:szCs w:val="32"/>
          <w:lang w:val="en-US" w:eastAsia="zh-CN"/>
        </w:rPr>
        <w:t>0.83</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spacing w:line="578" w:lineRule="exact"/>
        <w:ind w:firstLine="640"/>
        <w:jc w:val="both"/>
        <w:rPr>
          <w:rFonts w:ascii="楷体" w:hAnsi="楷体" w:eastAsia="楷体"/>
          <w:sz w:val="32"/>
          <w:szCs w:val="32"/>
        </w:rPr>
      </w:pPr>
      <w:r>
        <w:rPr>
          <w:rFonts w:hint="eastAsia" w:ascii="楷体" w:hAnsi="楷体" w:eastAsia="楷体"/>
          <w:sz w:val="32"/>
          <w:szCs w:val="32"/>
        </w:rPr>
        <w:t>（三）政府性基金预算当年拨款具体使用情况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城乡社区支出（类）国有土地使用权出让收入安排的支出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款</w:t>
      </w:r>
      <w:r>
        <w:rPr>
          <w:rFonts w:hint="eastAsia" w:ascii="仿宋" w:hAnsi="仿宋" w:eastAsia="仿宋" w:cs="仿宋"/>
          <w:sz w:val="32"/>
          <w:szCs w:val="32"/>
          <w:lang w:eastAsia="zh-CN"/>
        </w:rPr>
        <w:t>）其他国有土地使用权出让收入安排的支出（</w:t>
      </w:r>
      <w:r>
        <w:rPr>
          <w:rFonts w:hint="eastAsia" w:ascii="仿宋" w:hAnsi="仿宋" w:eastAsia="仿宋" w:cs="仿宋"/>
          <w:sz w:val="32"/>
          <w:szCs w:val="32"/>
          <w:lang w:val="en-US" w:eastAsia="zh-CN"/>
        </w:rPr>
        <w:t>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0.83</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0.83</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结转2024年屯昌县中小学心理健康教育日常经费</w:t>
      </w:r>
      <w:r>
        <w:rPr>
          <w:rFonts w:hint="eastAsia" w:ascii="仿宋" w:hAnsi="仿宋" w:eastAsia="仿宋" w:cs="仿宋"/>
          <w:sz w:val="32"/>
          <w:szCs w:val="32"/>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eastAsia="zh-CN"/>
        </w:rPr>
        <w:t>屯昌县教育局</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jc w:val="both"/>
        <w:rPr>
          <w:rFonts w:hint="eastAsia" w:ascii="仿宋" w:hAnsi="仿宋" w:eastAsia="仿宋" w:cs="仿宋"/>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eastAsia="zh-CN"/>
        </w:rPr>
        <w:t>屯昌县教育局</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cs="仿宋_GB2312"/>
          <w:sz w:val="32"/>
          <w:szCs w:val="32"/>
          <w:lang w:eastAsia="zh-CN"/>
        </w:rPr>
        <w:t>、上年结转收入</w:t>
      </w:r>
      <w:r>
        <w:rPr>
          <w:rFonts w:hint="eastAsia" w:ascii="仿宋_GB2312" w:hAnsi="黑体" w:eastAsia="仿宋_GB2312"/>
          <w:sz w:val="32"/>
          <w:szCs w:val="32"/>
        </w:rPr>
        <w:t>；支出包括：教育支出、社会保障和就业支出、卫生健康支出、住房保障支出</w:t>
      </w:r>
      <w:r>
        <w:rPr>
          <w:rFonts w:hint="eastAsia" w:ascii="仿宋" w:hAnsi="仿宋" w:eastAsia="仿宋" w:cs="仿宋"/>
          <w:sz w:val="32"/>
          <w:szCs w:val="32"/>
        </w:rPr>
        <w:t>。</w:t>
      </w:r>
      <w:r>
        <w:rPr>
          <w:rFonts w:hint="eastAsia" w:ascii="仿宋" w:hAnsi="仿宋" w:eastAsia="仿宋" w:cs="仿宋"/>
          <w:sz w:val="32"/>
          <w:szCs w:val="32"/>
          <w:lang w:eastAsia="zh-CN"/>
        </w:rPr>
        <w:t>屯昌县教育局</w:t>
      </w:r>
      <w:r>
        <w:rPr>
          <w:rFonts w:hint="eastAsia" w:ascii="仿宋" w:hAnsi="仿宋" w:eastAsia="仿宋" w:cs="仿宋"/>
          <w:sz w:val="32"/>
          <w:szCs w:val="32"/>
          <w:lang w:val="en-US" w:eastAsia="zh-CN"/>
        </w:rPr>
        <w:t>2025</w:t>
      </w:r>
      <w:r>
        <w:rPr>
          <w:rFonts w:hint="eastAsia" w:ascii="仿宋" w:hAnsi="仿宋" w:eastAsia="仿宋" w:cs="仿宋"/>
          <w:sz w:val="32"/>
          <w:szCs w:val="32"/>
        </w:rPr>
        <w:t>年收支总预算</w:t>
      </w:r>
      <w:r>
        <w:rPr>
          <w:rFonts w:hint="eastAsia" w:ascii="仿宋" w:hAnsi="仿宋" w:eastAsia="仿宋" w:cs="仿宋"/>
          <w:sz w:val="32"/>
          <w:szCs w:val="32"/>
          <w:lang w:val="en-US" w:eastAsia="zh-CN"/>
        </w:rPr>
        <w:t>30543.3</w:t>
      </w:r>
      <w:r>
        <w:rPr>
          <w:rFonts w:hint="eastAsia" w:ascii="仿宋" w:hAnsi="仿宋" w:eastAsia="仿宋" w:cs="仿宋"/>
          <w:sz w:val="32"/>
          <w:szCs w:val="32"/>
        </w:rPr>
        <w:t>万元。</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屯昌县教育局</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年收入预算情况说明</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屯昌县教育局</w:t>
      </w:r>
      <w:r>
        <w:rPr>
          <w:rFonts w:hint="eastAsia" w:ascii="仿宋" w:hAnsi="仿宋" w:eastAsia="仿宋" w:cs="仿宋"/>
          <w:sz w:val="32"/>
          <w:szCs w:val="32"/>
          <w:lang w:val="en-US" w:eastAsia="zh-CN"/>
        </w:rPr>
        <w:t>2025</w:t>
      </w:r>
      <w:r>
        <w:rPr>
          <w:rFonts w:hint="eastAsia" w:ascii="仿宋" w:hAnsi="仿宋" w:eastAsia="仿宋" w:cs="仿宋"/>
          <w:sz w:val="32"/>
          <w:szCs w:val="32"/>
        </w:rPr>
        <w:t>年收入预算15164.49万元，其中：上年结转107.16万元，占</w:t>
      </w:r>
      <w:r>
        <w:rPr>
          <w:rFonts w:hint="eastAsia" w:ascii="仿宋" w:hAnsi="仿宋" w:eastAsia="仿宋" w:cs="仿宋"/>
          <w:sz w:val="32"/>
          <w:szCs w:val="32"/>
          <w:lang w:val="en-US" w:eastAsia="zh-CN"/>
        </w:rPr>
        <w:t>0.7</w:t>
      </w:r>
      <w:r>
        <w:rPr>
          <w:rFonts w:hint="eastAsia" w:ascii="仿宋" w:hAnsi="仿宋" w:eastAsia="仿宋" w:cs="仿宋"/>
          <w:sz w:val="32"/>
          <w:szCs w:val="32"/>
        </w:rPr>
        <w:t>%；经费拨款收入15164.49万元，占</w:t>
      </w:r>
      <w:r>
        <w:rPr>
          <w:rFonts w:hint="eastAsia" w:ascii="仿宋" w:hAnsi="仿宋" w:eastAsia="仿宋" w:cs="仿宋"/>
          <w:sz w:val="32"/>
          <w:szCs w:val="32"/>
          <w:lang w:val="en-US" w:eastAsia="zh-CN"/>
        </w:rPr>
        <w:t>99.3</w:t>
      </w:r>
      <w:r>
        <w:rPr>
          <w:rFonts w:hint="eastAsia" w:ascii="仿宋" w:hAnsi="仿宋" w:eastAsia="仿宋" w:cs="仿宋"/>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%；专项收入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%。比上年预算数减少9299.78万元，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教育业务经费减少</w:t>
      </w:r>
      <w:r>
        <w:rPr>
          <w:rFonts w:hint="eastAsia" w:ascii="仿宋" w:hAnsi="仿宋" w:eastAsia="仿宋" w:cs="仿宋"/>
          <w:sz w:val="32"/>
          <w:szCs w:val="32"/>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屯昌县教育局</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年支出预算情况说明</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屯昌县教育局</w:t>
      </w:r>
      <w:r>
        <w:rPr>
          <w:rFonts w:hint="eastAsia" w:ascii="仿宋" w:hAnsi="仿宋" w:eastAsia="仿宋" w:cs="仿宋"/>
          <w:sz w:val="32"/>
          <w:szCs w:val="32"/>
          <w:lang w:val="en-US" w:eastAsia="zh-CN"/>
        </w:rPr>
        <w:t>2025</w:t>
      </w:r>
      <w:r>
        <w:rPr>
          <w:rFonts w:hint="eastAsia" w:ascii="仿宋" w:hAnsi="仿宋" w:eastAsia="仿宋" w:cs="仿宋"/>
          <w:sz w:val="32"/>
          <w:szCs w:val="32"/>
        </w:rPr>
        <w:t>年支出预算15,270.82万元，其中：基本支出609.68万元，占</w:t>
      </w:r>
      <w:r>
        <w:rPr>
          <w:rFonts w:hint="eastAsia" w:ascii="仿宋" w:hAnsi="仿宋" w:eastAsia="仿宋" w:cs="仿宋"/>
          <w:sz w:val="32"/>
          <w:szCs w:val="32"/>
          <w:lang w:val="en-US" w:eastAsia="zh-CN"/>
        </w:rPr>
        <w:t>3.99</w:t>
      </w:r>
      <w:r>
        <w:rPr>
          <w:rFonts w:hint="eastAsia" w:ascii="仿宋" w:hAnsi="仿宋" w:eastAsia="仿宋" w:cs="仿宋"/>
          <w:sz w:val="32"/>
          <w:szCs w:val="32"/>
        </w:rPr>
        <w:t>%；项目支出14661.14万元，占</w:t>
      </w:r>
      <w:r>
        <w:rPr>
          <w:rFonts w:hint="eastAsia" w:ascii="仿宋" w:hAnsi="仿宋" w:eastAsia="仿宋" w:cs="仿宋"/>
          <w:sz w:val="32"/>
          <w:szCs w:val="32"/>
          <w:lang w:val="en-US" w:eastAsia="zh-CN"/>
        </w:rPr>
        <w:t>96.01</w:t>
      </w:r>
      <w:r>
        <w:rPr>
          <w:rFonts w:hint="eastAsia" w:ascii="仿宋" w:hAnsi="仿宋" w:eastAsia="仿宋" w:cs="仿宋"/>
          <w:sz w:val="32"/>
          <w:szCs w:val="32"/>
        </w:rPr>
        <w:t>%。比上年预算数</w:t>
      </w:r>
      <w:r>
        <w:rPr>
          <w:rFonts w:hint="eastAsia" w:ascii="仿宋" w:hAnsi="仿宋" w:eastAsia="仿宋" w:cs="仿宋"/>
          <w:sz w:val="32"/>
          <w:szCs w:val="32"/>
          <w:lang w:val="en-US" w:eastAsia="zh-CN"/>
        </w:rPr>
        <w:t>减少</w:t>
      </w:r>
      <w:r>
        <w:rPr>
          <w:rFonts w:hint="eastAsia" w:ascii="仿宋" w:hAnsi="仿宋" w:eastAsia="仿宋" w:cs="仿宋"/>
          <w:sz w:val="32"/>
          <w:szCs w:val="32"/>
        </w:rPr>
        <w:t>9193.45万元，主要是</w:t>
      </w:r>
      <w:r>
        <w:rPr>
          <w:rFonts w:hint="eastAsia" w:ascii="仿宋" w:hAnsi="仿宋" w:eastAsia="仿宋" w:cs="仿宋"/>
          <w:sz w:val="32"/>
          <w:szCs w:val="32"/>
          <w:lang w:val="en-US" w:eastAsia="zh-CN"/>
        </w:rPr>
        <w:t>特岗教师社保缴交不在教育系统支出以及基建项目减少</w:t>
      </w:r>
      <w:r>
        <w:rPr>
          <w:rFonts w:hint="eastAsia" w:ascii="仿宋" w:hAnsi="仿宋" w:eastAsia="仿宋" w:cs="仿宋"/>
          <w:sz w:val="32"/>
          <w:szCs w:val="32"/>
        </w:rPr>
        <w:t>。</w:t>
      </w:r>
    </w:p>
    <w:p>
      <w:pPr>
        <w:spacing w:line="578" w:lineRule="exact"/>
        <w:ind w:firstLine="640" w:firstLineChars="200"/>
        <w:jc w:val="both"/>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jc w:val="both"/>
        <w:rPr>
          <w:rFonts w:ascii="楷体" w:hAnsi="楷体" w:eastAsia="楷体"/>
          <w:sz w:val="32"/>
          <w:szCs w:val="32"/>
        </w:rPr>
      </w:pPr>
      <w:r>
        <w:rPr>
          <w:rFonts w:hint="eastAsia" w:ascii="楷体" w:hAnsi="楷体" w:eastAsia="楷体"/>
          <w:sz w:val="32"/>
          <w:szCs w:val="32"/>
        </w:rPr>
        <w:t>（一）机关运行经费</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屯昌县教育局</w:t>
      </w:r>
      <w:r>
        <w:rPr>
          <w:rFonts w:hint="eastAsia" w:ascii="仿宋" w:hAnsi="仿宋" w:eastAsia="仿宋" w:cs="仿宋"/>
          <w:sz w:val="32"/>
          <w:szCs w:val="32"/>
        </w:rPr>
        <w:t>的机关运行经费预算</w:t>
      </w:r>
      <w:r>
        <w:rPr>
          <w:rFonts w:hint="eastAsia" w:ascii="仿宋" w:hAnsi="仿宋" w:eastAsia="仿宋" w:cs="仿宋"/>
          <w:sz w:val="32"/>
          <w:szCs w:val="32"/>
          <w:lang w:val="en-US" w:eastAsia="zh-CN"/>
        </w:rPr>
        <w:t>34.07</w:t>
      </w:r>
      <w:r>
        <w:rPr>
          <w:rFonts w:hint="eastAsia" w:ascii="仿宋" w:hAnsi="仿宋" w:eastAsia="仿宋" w:cs="仿宋"/>
          <w:sz w:val="32"/>
          <w:szCs w:val="32"/>
        </w:rPr>
        <w:t>万元。</w:t>
      </w:r>
    </w:p>
    <w:p>
      <w:pPr>
        <w:spacing w:line="578" w:lineRule="exact"/>
        <w:ind w:firstLine="640" w:firstLineChars="200"/>
        <w:jc w:val="both"/>
        <w:rPr>
          <w:rFonts w:ascii="楷体" w:hAnsi="楷体" w:eastAsia="楷体"/>
          <w:sz w:val="32"/>
          <w:szCs w:val="32"/>
        </w:rPr>
      </w:pPr>
      <w:r>
        <w:rPr>
          <w:rFonts w:hint="eastAsia" w:ascii="楷体" w:hAnsi="楷体" w:eastAsia="楷体"/>
          <w:sz w:val="32"/>
          <w:szCs w:val="32"/>
        </w:rPr>
        <w:t>（二）政府采购情况</w:t>
      </w:r>
    </w:p>
    <w:p>
      <w:pPr>
        <w:spacing w:line="578" w:lineRule="exact"/>
        <w:ind w:firstLine="640"/>
        <w:jc w:val="both"/>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eastAsia="zh-CN"/>
        </w:rPr>
        <w:t>屯昌县教育局</w:t>
      </w:r>
      <w:r>
        <w:rPr>
          <w:rFonts w:hint="eastAsia" w:ascii="仿宋" w:hAnsi="仿宋" w:eastAsia="仿宋" w:cs="仿宋"/>
          <w:sz w:val="32"/>
          <w:szCs w:val="32"/>
        </w:rPr>
        <w:t>政府采购预算总额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万元，其中：政府采购货物预算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firstLineChars="200"/>
        <w:jc w:val="both"/>
        <w:rPr>
          <w:rFonts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截至</w:t>
      </w:r>
      <w:r>
        <w:rPr>
          <w:rFonts w:hint="eastAsia" w:ascii="仿宋" w:hAnsi="仿宋" w:eastAsia="仿宋" w:cs="仿宋"/>
          <w:sz w:val="32"/>
          <w:szCs w:val="32"/>
          <w:lang w:val="en-US" w:eastAsia="zh-CN"/>
        </w:rPr>
        <w:t>2024</w:t>
      </w:r>
      <w:r>
        <w:rPr>
          <w:rFonts w:hint="eastAsia" w:ascii="仿宋" w:hAnsi="仿宋" w:eastAsia="仿宋" w:cs="仿宋"/>
          <w:sz w:val="32"/>
          <w:szCs w:val="32"/>
        </w:rPr>
        <w:t>年12月31日，</w:t>
      </w:r>
      <w:r>
        <w:rPr>
          <w:rFonts w:hint="eastAsia" w:ascii="仿宋_GB2312" w:hAnsi="黑体" w:eastAsia="仿宋_GB2312" w:cs="仿宋_GB2312"/>
          <w:sz w:val="32"/>
          <w:szCs w:val="32"/>
          <w:lang w:eastAsia="zh-CN"/>
        </w:rPr>
        <w:t>屯昌县教育局</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辆，其中其他用车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r>
        <w:rPr>
          <w:rFonts w:hint="eastAsia" w:ascii="仿宋" w:hAnsi="仿宋" w:eastAsia="仿宋" w:cs="仿宋"/>
          <w:sz w:val="32"/>
          <w:szCs w:val="32"/>
        </w:rPr>
        <w:t>。</w:t>
      </w:r>
    </w:p>
    <w:p>
      <w:pPr>
        <w:spacing w:line="578" w:lineRule="exact"/>
        <w:ind w:firstLine="640" w:firstLineChars="200"/>
        <w:jc w:val="both"/>
        <w:rPr>
          <w:rFonts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eastAsia="zh-CN"/>
        </w:rPr>
        <w:t>屯昌县教育局</w:t>
      </w:r>
      <w:r>
        <w:rPr>
          <w:rFonts w:hint="eastAsia" w:ascii="仿宋" w:hAnsi="仿宋" w:eastAsia="仿宋" w:cs="仿宋"/>
          <w:sz w:val="32"/>
          <w:szCs w:val="32"/>
          <w:lang w:val="en-US" w:eastAsia="zh-CN"/>
        </w:rPr>
        <w:t>50</w:t>
      </w:r>
      <w:r>
        <w:rPr>
          <w:rFonts w:hint="eastAsia" w:ascii="仿宋" w:hAnsi="仿宋" w:eastAsia="仿宋" w:cs="仿宋"/>
          <w:sz w:val="32"/>
          <w:szCs w:val="32"/>
        </w:rPr>
        <w:t>个项目实行绩效目标管理，涉及一般公共预算</w:t>
      </w:r>
      <w:r>
        <w:rPr>
          <w:rFonts w:hint="eastAsia" w:ascii="仿宋" w:hAnsi="仿宋" w:eastAsia="仿宋" w:cs="仿宋"/>
          <w:sz w:val="32"/>
          <w:szCs w:val="32"/>
          <w:lang w:val="en-US" w:eastAsia="zh-CN"/>
        </w:rPr>
        <w:t>15202.93</w:t>
      </w:r>
      <w:r>
        <w:rPr>
          <w:rFonts w:hint="eastAsia" w:ascii="仿宋" w:hAnsi="仿宋" w:eastAsia="仿宋" w:cs="仿宋"/>
          <w:sz w:val="32"/>
          <w:szCs w:val="32"/>
        </w:rPr>
        <w:t>万元、政府性基金</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rPr>
          <w:rFonts w:hint="eastAsia" w:ascii="黑体" w:hAnsi="黑体" w:eastAsia="黑体"/>
          <w:b w:val="0"/>
          <w:bCs/>
          <w:sz w:val="32"/>
          <w:szCs w:val="32"/>
        </w:rPr>
      </w:pPr>
      <w:r>
        <w:rPr>
          <w:rFonts w:hint="eastAsia" w:ascii="黑体" w:hAnsi="黑体" w:eastAsia="黑体"/>
          <w:b w:val="0"/>
          <w:bCs/>
          <w:sz w:val="32"/>
          <w:szCs w:val="32"/>
        </w:rPr>
        <w:br w:type="page"/>
      </w: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both"/>
        <w:rPr>
          <w:rFonts w:ascii="仿宋_GB2312" w:eastAsia="仿宋_GB2312" w:cs="宋体"/>
          <w:bCs/>
          <w:color w:val="000000"/>
          <w:kern w:val="0"/>
          <w:sz w:val="32"/>
          <w:szCs w:val="32"/>
          <w:lang w:val="zh-CN"/>
        </w:rPr>
      </w:pP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both"/>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both"/>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both"/>
      </w:pPr>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0ED007F"/>
    <w:rsid w:val="01943A12"/>
    <w:rsid w:val="07105743"/>
    <w:rsid w:val="136032D3"/>
    <w:rsid w:val="221D6C54"/>
    <w:rsid w:val="262E1B3A"/>
    <w:rsid w:val="273175A3"/>
    <w:rsid w:val="28371B5E"/>
    <w:rsid w:val="2E1F0AAA"/>
    <w:rsid w:val="2F847D0F"/>
    <w:rsid w:val="41BD3466"/>
    <w:rsid w:val="46843364"/>
    <w:rsid w:val="61F01DAC"/>
    <w:rsid w:val="746C7FC3"/>
    <w:rsid w:val="7DDA4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Normal (Web)"/>
    <w:basedOn w:val="1"/>
    <w:semiHidden/>
    <w:unhideWhenUsed/>
    <w:qFormat/>
    <w:uiPriority w:val="99"/>
    <w:pPr>
      <w:spacing w:beforeAutospacing="1" w:afterAutospacing="1"/>
      <w:jc w:val="left"/>
    </w:pPr>
    <w:rPr>
      <w:rFonts w:cs="Times New Roman"/>
      <w:kern w:val="0"/>
      <w:sz w:val="24"/>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2025-02-28T02:00:37Z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