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屯昌县南坤镇加握幼儿园</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单位</w:t>
      </w:r>
      <w:bookmarkStart w:id="0" w:name="_GoBack"/>
      <w:bookmarkEnd w:id="0"/>
      <w:r>
        <w:rPr>
          <w:rFonts w:hint="eastAsia" w:ascii="方正小标宋简体" w:hAnsi="方正小标宋简体" w:eastAsia="方正小标宋简体" w:cs="方正小标宋简体"/>
          <w:sz w:val="52"/>
          <w:szCs w:val="52"/>
        </w:rPr>
        <w:t>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both"/>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5"/>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屯昌县</w:t>
      </w:r>
      <w:r>
        <w:rPr>
          <w:rFonts w:hint="eastAsia" w:ascii="黑体" w:hAnsi="黑体" w:eastAsia="黑体"/>
          <w:sz w:val="32"/>
          <w:szCs w:val="32"/>
          <w:lang w:eastAsia="zh-CN"/>
        </w:rPr>
        <w:t>南坤镇加握</w:t>
      </w:r>
      <w:r>
        <w:rPr>
          <w:rFonts w:hint="eastAsia" w:ascii="黑体" w:hAnsi="黑体" w:eastAsia="黑体"/>
          <w:sz w:val="32"/>
          <w:szCs w:val="32"/>
        </w:rPr>
        <w:t>幼儿园概况</w:t>
      </w:r>
    </w:p>
    <w:p>
      <w:pPr>
        <w:rPr>
          <w:rFonts w:hint="eastAsia" w:ascii="黑体" w:hAnsi="黑体" w:eastAsia="黑体" w:cs="黑体"/>
          <w:sz w:val="32"/>
          <w:szCs w:val="32"/>
        </w:rPr>
      </w:pPr>
      <w:r>
        <w:rPr>
          <w:rFonts w:hint="eastAsia" w:ascii="黑体" w:hAnsi="黑体" w:eastAsia="黑体" w:cs="黑体"/>
          <w:sz w:val="32"/>
          <w:szCs w:val="32"/>
          <w:lang w:eastAsia="zh-CN"/>
        </w:rPr>
        <w:t>第二部分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屯昌县南坤镇加握幼儿园</w:t>
      </w:r>
      <w:r>
        <w:rPr>
          <w:rFonts w:hint="eastAsia" w:ascii="黑体" w:hAnsi="黑体" w:eastAsia="黑体" w:cs="黑体"/>
          <w:sz w:val="32"/>
          <w:szCs w:val="32"/>
          <w:lang w:val="en-US" w:eastAsia="zh-CN"/>
        </w:rPr>
        <w:t>2024年</w:t>
      </w:r>
      <w:r>
        <w:rPr>
          <w:rFonts w:hint="eastAsia" w:ascii="黑体" w:hAnsi="黑体" w:eastAsia="黑体" w:cs="黑体"/>
          <w:sz w:val="32"/>
          <w:szCs w:val="32"/>
        </w:rPr>
        <w:t>预算</w:t>
      </w:r>
      <w:r>
        <w:rPr>
          <w:rFonts w:hint="eastAsia" w:ascii="黑体" w:hAnsi="黑体" w:eastAsia="黑体" w:cs="黑体"/>
          <w:sz w:val="32"/>
          <w:szCs w:val="32"/>
          <w:lang w:eastAsia="zh-CN"/>
        </w:rPr>
        <w:t>公开</w:t>
      </w:r>
      <w:r>
        <w:rPr>
          <w:rFonts w:hint="eastAsia" w:ascii="黑体" w:hAnsi="黑体" w:eastAsia="黑体" w:cs="黑体"/>
          <w:sz w:val="32"/>
          <w:szCs w:val="32"/>
        </w:rPr>
        <w:t>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屯昌县南坤镇加握幼儿园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单位预算情况说明</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第四部分</w:t>
      </w:r>
      <w:r>
        <w:rPr>
          <w:rFonts w:hint="eastAsia" w:ascii="黑体" w:hAnsi="黑体" w:eastAsia="黑体" w:cs="黑体"/>
          <w:sz w:val="32"/>
          <w:szCs w:val="32"/>
          <w:lang w:val="en-US" w:eastAsia="zh-CN"/>
        </w:rPr>
        <w:t xml:space="preserve"> </w:t>
      </w:r>
      <w:r>
        <w:rPr>
          <w:rFonts w:hint="eastAsia" w:ascii="黑体" w:hAnsi="黑体" w:eastAsia="黑体"/>
          <w:sz w:val="32"/>
          <w:szCs w:val="32"/>
        </w:rPr>
        <w:t>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5"/>
        <w:numPr>
          <w:ilvl w:val="0"/>
          <w:numId w:val="0"/>
        </w:numPr>
        <w:ind w:leftChars="0"/>
        <w:jc w:val="center"/>
        <w:rPr>
          <w:rFonts w:ascii="仿宋_GB2312" w:hAnsi="仿宋_GB2312" w:eastAsia="仿宋_GB2312" w:cs="仿宋_GB2312"/>
          <w:sz w:val="32"/>
          <w:szCs w:val="32"/>
        </w:rPr>
      </w:pPr>
      <w:r>
        <w:rPr>
          <w:rFonts w:hint="eastAsia" w:ascii="黑体" w:hAnsi="黑体" w:eastAsia="黑体"/>
          <w:sz w:val="32"/>
          <w:szCs w:val="32"/>
          <w:lang w:eastAsia="zh-CN"/>
        </w:rPr>
        <w:t>第一部分</w:t>
      </w:r>
      <w:r>
        <w:rPr>
          <w:rFonts w:hint="eastAsia" w:ascii="黑体" w:hAnsi="黑体" w:eastAsia="黑体"/>
          <w:sz w:val="32"/>
          <w:szCs w:val="32"/>
        </w:rPr>
        <w:t xml:space="preserve"> 屯昌县</w:t>
      </w:r>
      <w:r>
        <w:rPr>
          <w:rFonts w:hint="eastAsia" w:ascii="黑体" w:hAnsi="黑体" w:eastAsia="黑体"/>
          <w:sz w:val="32"/>
          <w:szCs w:val="32"/>
          <w:lang w:eastAsia="zh-CN"/>
        </w:rPr>
        <w:t>南坤镇加握</w:t>
      </w:r>
      <w:r>
        <w:rPr>
          <w:rFonts w:hint="eastAsia" w:ascii="黑体" w:hAnsi="黑体" w:eastAsia="黑体"/>
          <w:sz w:val="32"/>
          <w:szCs w:val="32"/>
        </w:rPr>
        <w:t>幼儿园概况</w:t>
      </w:r>
    </w:p>
    <w:p>
      <w:pPr>
        <w:pStyle w:val="4"/>
        <w:numPr>
          <w:ilvl w:val="0"/>
          <w:numId w:val="0"/>
        </w:numPr>
        <w:ind w:left="630" w:leftChars="0"/>
        <w:jc w:val="left"/>
        <w:rPr>
          <w:rFonts w:ascii="黑体" w:hAnsi="黑体" w:eastAsia="黑体" w:cs="仿宋_GB2312"/>
          <w:sz w:val="32"/>
          <w:szCs w:val="32"/>
        </w:rPr>
      </w:pPr>
      <w:r>
        <w:rPr>
          <w:rFonts w:hint="eastAsia" w:ascii="黑体" w:hAnsi="黑体" w:eastAsia="黑体" w:cs="仿宋_GB2312"/>
          <w:sz w:val="32"/>
          <w:szCs w:val="32"/>
          <w:lang w:val="en-US" w:eastAsia="zh-CN"/>
        </w:rPr>
        <w:t>一、</w:t>
      </w:r>
      <w:r>
        <w:rPr>
          <w:rFonts w:hint="eastAsia" w:ascii="黑体" w:hAnsi="黑体" w:eastAsia="黑体" w:cs="仿宋_GB2312"/>
          <w:sz w:val="32"/>
          <w:szCs w:val="32"/>
        </w:rPr>
        <w:t>主要职能</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（一）实行保育和教育相结合的原则，为家长解除后顾之忧，热忱为家长服务。</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（二）为儿童提供健康、丰富的生活和活动环境，促进幼儿体智德美等和谐发展，全面实施素质教育。</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（三）严格执行幼儿园安全、卫生保健制度，保证幼儿身心健康和生命安全。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（四）充分利用幼儿和社区的资源优势，面向家长开展多种形式的早期教育宣传、指导等服务，促进家庭教育质量的不断提高。</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（五）贯彻幼儿教育法规、传播科学教育理念、开展教育科学研究、培训师资，发挥示范性幼儿园的示范、辐射作用。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（六）承办上级主管部门交办的其他工作。</w:t>
      </w:r>
    </w:p>
    <w:p>
      <w:pPr>
        <w:pStyle w:val="4"/>
        <w:numPr>
          <w:ilvl w:val="0"/>
          <w:numId w:val="0"/>
        </w:numPr>
        <w:ind w:leftChars="0" w:firstLine="640" w:firstLineChars="200"/>
        <w:jc w:val="left"/>
        <w:rPr>
          <w:rFonts w:hint="eastAsia" w:ascii="楷体_GB2312" w:hAnsi="楷体_GB2312" w:eastAsia="楷体_GB2312" w:cs="楷体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第二部分屯昌县南坤镇加握幼儿园202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hint="eastAsia" w:ascii="仿宋_GB2312" w:hAnsi="黑体" w:eastAsia="仿宋_GB2312"/>
          <w:b w:val="0"/>
          <w:bCs/>
          <w:sz w:val="32"/>
          <w:szCs w:val="32"/>
        </w:rPr>
      </w:pPr>
      <w:r>
        <w:rPr>
          <w:rFonts w:hint="eastAsia" w:ascii="仿宋_GB2312" w:hAnsi="黑体" w:eastAsia="仿宋_GB2312"/>
          <w:b w:val="0"/>
          <w:bCs/>
          <w:sz w:val="32"/>
          <w:szCs w:val="32"/>
        </w:rPr>
        <w:t>（此部分内容为单位预算公开表）</w:t>
      </w:r>
    </w:p>
    <w:p>
      <w:pPr>
        <w:rPr>
          <w:rFonts w:ascii="黑体" w:hAnsi="黑体" w:eastAsia="黑体"/>
          <w:sz w:val="32"/>
          <w:szCs w:val="32"/>
        </w:rPr>
      </w:pPr>
    </w:p>
    <w:p>
      <w:pPr>
        <w:pStyle w:val="4"/>
        <w:numPr>
          <w:ilvl w:val="0"/>
          <w:numId w:val="3"/>
        </w:numPr>
        <w:ind w:leftChars="0"/>
        <w:jc w:val="center"/>
        <w:rPr>
          <w:rFonts w:hint="eastAsia" w:ascii="黑体" w:hAnsi="黑体" w:eastAsia="黑体"/>
          <w:sz w:val="32"/>
          <w:szCs w:val="32"/>
        </w:rPr>
      </w:pPr>
      <w:r>
        <w:rPr>
          <w:rFonts w:hint="eastAsia" w:ascii="黑体" w:hAnsi="黑体" w:eastAsia="黑体" w:cs="黑体"/>
          <w:sz w:val="32"/>
          <w:szCs w:val="32"/>
        </w:rPr>
        <w:t>屯昌县南坤镇加握幼儿园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w:t>
      </w:r>
    </w:p>
    <w:p>
      <w:pPr>
        <w:pStyle w:val="4"/>
        <w:numPr>
          <w:ilvl w:val="0"/>
          <w:numId w:val="0"/>
        </w:numPr>
        <w:ind w:leftChars="200"/>
        <w:jc w:val="center"/>
        <w:rPr>
          <w:rFonts w:ascii="黑体" w:hAnsi="黑体" w:eastAsia="黑体"/>
          <w:sz w:val="32"/>
          <w:szCs w:val="32"/>
        </w:rPr>
      </w:pPr>
      <w:r>
        <w:rPr>
          <w:rFonts w:hint="eastAsia" w:ascii="黑体" w:hAnsi="黑体" w:eastAsia="黑体"/>
          <w:sz w:val="32"/>
          <w:szCs w:val="32"/>
        </w:rPr>
        <w:t>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屯昌县南坤镇加握幼儿园</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142.01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133.54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133.54</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8.46</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142.01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142.01</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屯昌县南坤镇加握幼儿园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142.01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1.68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人员工资福利增加。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101.38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71.38</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17.17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12.88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10.58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101.38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2.43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人员工资福利增加。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17.17</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0.71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人员工资福利增加。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12.88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1.12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人员工资福利增加。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4.</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10.38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0.2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rPr>
          <w:rFonts w:hint="eastAsia" w:ascii="黑体" w:hAnsi="黑体" w:eastAsia="黑体" w:cs="黑体"/>
          <w:sz w:val="32"/>
          <w:szCs w:val="32"/>
        </w:rPr>
      </w:pPr>
      <w:r>
        <w:rPr>
          <w:rFonts w:hint="eastAsia" w:ascii="黑体" w:hAnsi="黑体" w:eastAsia="黑体"/>
          <w:sz w:val="32"/>
          <w:szCs w:val="32"/>
        </w:rPr>
        <w:t>三、关</w:t>
      </w:r>
      <w:r>
        <w:rPr>
          <w:rFonts w:hint="eastAsia" w:ascii="黑体" w:hAnsi="黑体" w:eastAsia="黑体" w:cs="黑体"/>
          <w:sz w:val="32"/>
          <w:szCs w:val="32"/>
        </w:rPr>
        <w:t>于屯昌县南坤镇加握幼儿园202</w:t>
      </w:r>
      <w:r>
        <w:rPr>
          <w:rFonts w:hint="eastAsia" w:ascii="黑体" w:hAnsi="黑体" w:eastAsia="黑体" w:cs="黑体"/>
          <w:sz w:val="32"/>
          <w:szCs w:val="32"/>
          <w:lang w:val="en-US" w:eastAsia="zh-CN"/>
        </w:rPr>
        <w:t>5</w:t>
      </w:r>
      <w:r>
        <w:rPr>
          <w:rFonts w:hint="eastAsia" w:ascii="黑体" w:hAnsi="黑体" w:eastAsia="黑体" w:cs="黑体"/>
          <w:sz w:val="32"/>
          <w:szCs w:val="32"/>
        </w:rPr>
        <w:t>年一般公共预算基本支出情况说明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133.40</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132.53</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公用经费0.87万元，主要包括：工会经费。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w:t>
      </w:r>
      <w:r>
        <w:rPr>
          <w:rFonts w:hint="eastAsia" w:ascii="黑体" w:hAnsi="黑体" w:eastAsia="黑体" w:cs="黑体"/>
          <w:sz w:val="32"/>
          <w:szCs w:val="32"/>
        </w:rPr>
        <w:t>于屯昌县南坤镇加握幼儿园202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rPr>
        <w:t>屯昌县南坤镇加握幼儿园202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屯昌县南坤镇加握幼儿园202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numPr>
          <w:ilvl w:val="0"/>
          <w:numId w:val="4"/>
        </w:numPr>
        <w:ind w:left="-10" w:leftChars="0" w:firstLine="640" w:firstLineChars="0"/>
        <w:jc w:val="left"/>
        <w:rPr>
          <w:rFonts w:hint="eastAsia" w:ascii="楷体" w:hAnsi="楷体" w:eastAsia="楷体"/>
          <w:sz w:val="32"/>
          <w:szCs w:val="32"/>
        </w:rPr>
      </w:pPr>
      <w:r>
        <w:rPr>
          <w:rFonts w:hint="eastAsia" w:ascii="楷体" w:hAnsi="楷体" w:eastAsia="楷体"/>
          <w:sz w:val="32"/>
          <w:szCs w:val="32"/>
        </w:rPr>
        <w:t>政府性基金预算当年拨款结构情况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numPr>
          <w:ilvl w:val="0"/>
          <w:numId w:val="5"/>
        </w:numPr>
        <w:ind w:firstLine="640"/>
        <w:jc w:val="left"/>
        <w:rPr>
          <w:rFonts w:hint="eastAsia" w:ascii="楷体" w:hAnsi="楷体" w:eastAsia="楷体"/>
          <w:sz w:val="32"/>
          <w:szCs w:val="32"/>
        </w:rPr>
      </w:pPr>
      <w:r>
        <w:rPr>
          <w:rFonts w:hint="eastAsia" w:ascii="楷体" w:hAnsi="楷体" w:eastAsia="楷体"/>
          <w:sz w:val="32"/>
          <w:szCs w:val="32"/>
        </w:rPr>
        <w:t>政府性基金预算当年拨款具体使用情况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rPr>
        <w:t>屯昌县南坤镇加握幼儿园202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屯昌县南坤镇加握幼儿园</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；支出包括：教育支出、社会保障和就业支出、卫生健康支出、住房保障支出。屯昌县南坤镇加握幼儿园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142.01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zCs w:val="32"/>
        </w:rPr>
        <w:t>关</w:t>
      </w:r>
      <w:r>
        <w:rPr>
          <w:rFonts w:hint="eastAsia" w:ascii="黑体" w:hAnsi="黑体" w:eastAsia="黑体" w:cs="黑体"/>
          <w:sz w:val="32"/>
          <w:szCs w:val="32"/>
        </w:rPr>
        <w:t>于屯昌县南坤镇加握幼儿园202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屯昌县南坤镇加握幼儿园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142.01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8.46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w:t>
      </w:r>
      <w:r>
        <w:rPr>
          <w:rFonts w:hint="eastAsia" w:ascii="仿宋_GB2312" w:hAnsi="黑体" w:eastAsia="仿宋_GB2312"/>
          <w:sz w:val="32"/>
          <w:szCs w:val="32"/>
        </w:rPr>
        <w:t>%；一般公共预算收入133.54万元，占</w:t>
      </w:r>
      <w:r>
        <w:rPr>
          <w:rFonts w:hint="eastAsia" w:ascii="仿宋_GB2312" w:hAnsi="黑体" w:eastAsia="仿宋_GB2312" w:cs="仿宋_GB2312"/>
          <w:sz w:val="32"/>
          <w:szCs w:val="32"/>
          <w:lang w:val="en-US" w:eastAsia="zh-CN"/>
        </w:rPr>
        <w:t>94</w:t>
      </w:r>
      <w:r>
        <w:rPr>
          <w:rFonts w:hint="eastAsia" w:ascii="仿宋_GB2312" w:hAnsi="黑体" w:eastAsia="仿宋_GB2312"/>
          <w:sz w:val="32"/>
          <w:szCs w:val="32"/>
        </w:rPr>
        <w:t>%。</w:t>
      </w:r>
      <w:r>
        <w:rPr>
          <w:rFonts w:hint="eastAsia" w:ascii="仿宋_GB2312" w:hAnsi="黑体" w:eastAsia="仿宋_GB2312"/>
          <w:color w:val="000000"/>
          <w:sz w:val="32"/>
          <w:szCs w:val="32"/>
        </w:rPr>
        <w:t>比上年预算数</w:t>
      </w:r>
      <w:r>
        <w:rPr>
          <w:rFonts w:hint="eastAsia" w:ascii="仿宋_GB2312" w:hAnsi="黑体" w:eastAsia="仿宋_GB2312"/>
          <w:color w:val="000000"/>
          <w:sz w:val="32"/>
          <w:szCs w:val="32"/>
          <w:lang w:eastAsia="zh-CN"/>
        </w:rPr>
        <w:t>增加</w:t>
      </w:r>
      <w:r>
        <w:rPr>
          <w:rFonts w:hint="eastAsia" w:ascii="仿宋_GB2312" w:hAnsi="黑体" w:eastAsia="仿宋_GB2312" w:cs="仿宋_GB2312"/>
          <w:color w:val="000000"/>
          <w:sz w:val="32"/>
          <w:szCs w:val="32"/>
          <w:lang w:eastAsia="zh-CN"/>
        </w:rPr>
        <w:t>，</w:t>
      </w:r>
      <w:r>
        <w:rPr>
          <w:rFonts w:hint="eastAsia" w:ascii="仿宋_GB2312" w:hAnsi="黑体" w:eastAsia="仿宋_GB2312"/>
          <w:sz w:val="32"/>
          <w:szCs w:val="32"/>
        </w:rPr>
        <w:t>主要是</w:t>
      </w:r>
      <w:r>
        <w:rPr>
          <w:rFonts w:hint="eastAsia" w:ascii="仿宋_GB2312" w:hAnsi="黑体" w:eastAsia="仿宋_GB2312"/>
          <w:sz w:val="32"/>
          <w:szCs w:val="32"/>
          <w:lang w:eastAsia="zh-CN"/>
        </w:rPr>
        <w:t>人员工资福利增加。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rPr>
        <w:t>屯昌县南坤镇加握幼儿园202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olor w:val="000000"/>
          <w:sz w:val="32"/>
          <w:szCs w:val="32"/>
        </w:rPr>
      </w:pPr>
      <w:r>
        <w:rPr>
          <w:rFonts w:hint="eastAsia" w:ascii="仿宋_GB2312" w:hAnsi="黑体" w:eastAsia="仿宋_GB2312"/>
          <w:sz w:val="32"/>
          <w:szCs w:val="32"/>
        </w:rPr>
        <w:t>屯昌县南坤镇加握幼儿园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142.01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133.4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93.93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8.61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olor w:val="000000"/>
          <w:sz w:val="32"/>
          <w:szCs w:val="32"/>
        </w:rPr>
        <w:t>主要是人员工资福利增加。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年屯昌县南坤镇加握幼儿园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年12月31日，屯昌县南坤镇加握幼儿园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黑体" w:hAnsi="黑体" w:eastAsia="黑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年屯昌县南坤镇加握幼儿园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w:t>
      </w:r>
      <w:r>
        <w:rPr>
          <w:rFonts w:hint="eastAsia" w:ascii="仿宋_GB2312" w:hAnsi="黑体" w:eastAsia="仿宋_GB2312" w:cs="仿宋_GB2312"/>
          <w:color w:val="000000"/>
          <w:sz w:val="32"/>
          <w:szCs w:val="32"/>
        </w:rPr>
        <w:t>涉及一般公共预算</w:t>
      </w:r>
      <w:r>
        <w:rPr>
          <w:rFonts w:hint="eastAsia" w:ascii="仿宋_GB2312" w:hAnsi="黑体" w:eastAsia="仿宋_GB2312" w:cs="仿宋_GB2312"/>
          <w:sz w:val="32"/>
          <w:szCs w:val="32"/>
          <w:lang w:val="en-US" w:eastAsia="zh-CN"/>
        </w:rPr>
        <w:t>133.55</w:t>
      </w:r>
      <w:r>
        <w:rPr>
          <w:rFonts w:hint="eastAsia" w:ascii="仿宋_GB2312" w:hAnsi="黑体" w:eastAsia="仿宋_GB2312"/>
          <w:color w:val="000000"/>
          <w:sz w:val="32"/>
          <w:szCs w:val="32"/>
        </w:rPr>
        <w:t>万元、政府性基金</w:t>
      </w:r>
      <w:r>
        <w:rPr>
          <w:rFonts w:hint="eastAsia" w:ascii="仿宋_GB2312" w:hAnsi="黑体" w:eastAsia="仿宋_GB2312" w:cs="仿宋_GB2312"/>
          <w:color w:val="000000"/>
          <w:sz w:val="32"/>
          <w:szCs w:val="32"/>
        </w:rPr>
        <w:t>0</w:t>
      </w:r>
      <w:r>
        <w:rPr>
          <w:rFonts w:hint="eastAsia" w:ascii="仿宋_GB2312" w:hAnsi="黑体" w:eastAsia="仿宋_GB2312"/>
          <w:color w:val="000000"/>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78C74"/>
    <w:multiLevelType w:val="singleLevel"/>
    <w:tmpl w:val="A1078C74"/>
    <w:lvl w:ilvl="0" w:tentative="0">
      <w:start w:val="3"/>
      <w:numFmt w:val="chineseCounting"/>
      <w:suff w:val="nothing"/>
      <w:lvlText w:val="（%1）"/>
      <w:lvlJc w:val="left"/>
      <w:rPr>
        <w:rFonts w:hint="eastAsia"/>
      </w:rPr>
    </w:lvl>
  </w:abstractNum>
  <w:abstractNum w:abstractNumId="1">
    <w:nsid w:val="F9D017B3"/>
    <w:multiLevelType w:val="singleLevel"/>
    <w:tmpl w:val="F9D017B3"/>
    <w:lvl w:ilvl="0" w:tentative="0">
      <w:start w:val="2"/>
      <w:numFmt w:val="chineseCounting"/>
      <w:suff w:val="nothing"/>
      <w:lvlText w:val="（%1）"/>
      <w:lvlJc w:val="left"/>
      <w:pPr>
        <w:ind w:left="-10"/>
      </w:pPr>
      <w:rPr>
        <w:rFonts w:hint="eastAsia"/>
      </w:r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EFB4421"/>
    <w:multiLevelType w:val="singleLevel"/>
    <w:tmpl w:val="3EFB4421"/>
    <w:lvl w:ilvl="0" w:tentative="0">
      <w:start w:val="3"/>
      <w:numFmt w:val="chineseCounting"/>
      <w:suff w:val="space"/>
      <w:lvlText w:val="第%1部分"/>
      <w:lvlJc w:val="left"/>
      <w:rPr>
        <w:rFonts w:hint="eastAsia"/>
      </w:r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NWQyYTFmZDYxZWE1MTk3ZTBhZmFlMTFmZjNmNjEifQ=="/>
  </w:docVars>
  <w:rsids>
    <w:rsidRoot w:val="61F3322C"/>
    <w:rsid w:val="0046071E"/>
    <w:rsid w:val="019F1377"/>
    <w:rsid w:val="03D33559"/>
    <w:rsid w:val="17C74D2B"/>
    <w:rsid w:val="1D5F77B4"/>
    <w:rsid w:val="1F9C6A9E"/>
    <w:rsid w:val="257F6C45"/>
    <w:rsid w:val="2B614A80"/>
    <w:rsid w:val="2E070DA0"/>
    <w:rsid w:val="32452FC5"/>
    <w:rsid w:val="38E9376A"/>
    <w:rsid w:val="395B40DE"/>
    <w:rsid w:val="3BFF2436"/>
    <w:rsid w:val="3EB76FF8"/>
    <w:rsid w:val="3F281CA4"/>
    <w:rsid w:val="3F572AFA"/>
    <w:rsid w:val="4146162F"/>
    <w:rsid w:val="421A0739"/>
    <w:rsid w:val="4C867DBD"/>
    <w:rsid w:val="4E7E368F"/>
    <w:rsid w:val="557473E3"/>
    <w:rsid w:val="57833AC4"/>
    <w:rsid w:val="5DA14CA4"/>
    <w:rsid w:val="5DB86E4B"/>
    <w:rsid w:val="61F3322C"/>
    <w:rsid w:val="629F64DF"/>
    <w:rsid w:val="63311334"/>
    <w:rsid w:val="6BCC7390"/>
    <w:rsid w:val="6D2A6A64"/>
    <w:rsid w:val="708B7819"/>
    <w:rsid w:val="7F3B2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3149</Words>
  <Characters>3394</Characters>
  <Lines>0</Lines>
  <Paragraphs>0</Paragraphs>
  <TotalTime>13</TotalTime>
  <ScaleCrop>false</ScaleCrop>
  <LinksUpToDate>false</LinksUpToDate>
  <CharactersWithSpaces>3404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2024-02-22T01:07:00Z</dcterms:created>
  <dc:creator>木木莹。</dc:creator>
  <cp:lastModifiedBy>子净</cp:lastModifiedBy>
  <dcterms:modified xsi:type="dcterms:W3CDTF">2025-02-28T07:46:30Z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00E583B2E5034CFE83CFCAA8A08E57E8_13</vt:lpwstr>
  </property>
  <property fmtid="{D5CDD505-2E9C-101B-9397-08002B2CF9AE}" pid="4" name="KSOTemplateDocerSaveRecord">
    <vt:lpwstr>eyJoZGlkIjoiMWU4NWQyYTFmZDYxZWE1MTk3ZTBhZmFlMTFmZjNmNjEiLCJ1c2VySWQiOiIyNTE4NDAyMDYifQ==</vt:lpwstr>
  </property>
</Properties>
</file>