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202</w:t>
      </w:r>
      <w:r>
        <w:rPr>
          <w:rFonts w:hint="eastAsia" w:ascii="方正小标宋_GBK" w:hAnsi="方正小标宋_GBK" w:eastAsia="方正小标宋_GBK" w:cs="方正小标宋_GBK"/>
          <w:sz w:val="44"/>
          <w:szCs w:val="44"/>
          <w:lang w:val="en-US" w:eastAsia="zh-CN"/>
        </w:rPr>
        <w:t>5</w:t>
      </w:r>
      <w:r>
        <w:rPr>
          <w:rFonts w:hint="eastAsia" w:ascii="方正小标宋_GBK" w:hAnsi="方正小标宋_GBK" w:eastAsia="方正小标宋_GBK" w:cs="方正小标宋_GBK"/>
          <w:sz w:val="44"/>
          <w:szCs w:val="44"/>
        </w:rPr>
        <w:t>年屯昌县南坤镇</w:t>
      </w:r>
      <w:r>
        <w:rPr>
          <w:rFonts w:hint="eastAsia" w:ascii="方正小标宋_GBK" w:hAnsi="方正小标宋_GBK" w:eastAsia="方正小标宋_GBK" w:cs="方正小标宋_GBK"/>
          <w:sz w:val="44"/>
          <w:szCs w:val="44"/>
          <w:lang w:val="en-US" w:eastAsia="zh-CN"/>
        </w:rPr>
        <w:t>藤寨</w:t>
      </w:r>
      <w:r>
        <w:rPr>
          <w:rFonts w:hint="eastAsia" w:ascii="方正小标宋_GBK" w:hAnsi="方正小标宋_GBK" w:eastAsia="方正小标宋_GBK" w:cs="方正小标宋_GBK"/>
          <w:sz w:val="44"/>
          <w:szCs w:val="44"/>
        </w:rPr>
        <w:t>幼儿园</w:t>
      </w:r>
    </w:p>
    <w:p>
      <w:pPr>
        <w:jc w:val="center"/>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rPr>
        <w:t>单位预算</w:t>
      </w:r>
      <w:r>
        <w:rPr>
          <w:rFonts w:hint="eastAsia" w:ascii="方正小标宋_GBK" w:hAnsi="方正小标宋_GBK" w:eastAsia="方正小标宋_GBK" w:cs="方正小标宋_GBK"/>
          <w:sz w:val="44"/>
          <w:szCs w:val="44"/>
          <w:lang w:val="en-US" w:eastAsia="zh-CN"/>
        </w:rPr>
        <w:t>公开说明</w:t>
      </w: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rPr>
          <w:rFonts w:hint="eastAsia" w:ascii="黑体" w:hAnsi="黑体" w:eastAsia="黑体"/>
          <w:sz w:val="52"/>
          <w:szCs w:val="52"/>
        </w:rPr>
      </w:pPr>
      <w:r>
        <w:rPr>
          <w:rFonts w:hint="eastAsia" w:ascii="黑体" w:hAnsi="黑体" w:eastAsia="黑体"/>
          <w:sz w:val="52"/>
          <w:szCs w:val="52"/>
        </w:rPr>
        <w:br w:type="page"/>
      </w:r>
    </w:p>
    <w:p>
      <w:pPr>
        <w:jc w:val="both"/>
        <w:rPr>
          <w:rFonts w:hint="eastAsia" w:ascii="黑体" w:hAnsi="黑体" w:eastAsia="黑体"/>
          <w:sz w:val="52"/>
          <w:szCs w:val="52"/>
        </w:rPr>
      </w:pPr>
      <w:bookmarkStart w:id="0" w:name="_GoBack"/>
      <w:bookmarkEnd w:id="0"/>
    </w:p>
    <w:p>
      <w:pPr>
        <w:jc w:val="center"/>
        <w:rPr>
          <w:rFonts w:ascii="黑体" w:hAnsi="黑体" w:eastAsia="黑体"/>
          <w:sz w:val="52"/>
          <w:szCs w:val="52"/>
        </w:rPr>
      </w:pPr>
      <w:r>
        <w:rPr>
          <w:rFonts w:hint="eastAsia" w:ascii="黑体" w:hAnsi="黑体" w:eastAsia="黑体"/>
          <w:sz w:val="52"/>
          <w:szCs w:val="52"/>
        </w:rPr>
        <w:t>目录</w:t>
      </w:r>
    </w:p>
    <w:p>
      <w:pPr>
        <w:pStyle w:val="5"/>
        <w:numPr>
          <w:ilvl w:val="0"/>
          <w:numId w:val="1"/>
        </w:numPr>
        <w:ind w:firstLineChars="0"/>
        <w:jc w:val="left"/>
        <w:rPr>
          <w:rFonts w:hint="eastAsia" w:ascii="黑体" w:hAnsi="黑体" w:eastAsia="黑体" w:cs="黑体"/>
          <w:sz w:val="32"/>
          <w:szCs w:val="32"/>
        </w:rPr>
      </w:pPr>
      <w:r>
        <w:rPr>
          <w:rFonts w:hint="eastAsia" w:ascii="黑体" w:hAnsi="黑体" w:eastAsia="黑体"/>
          <w:sz w:val="32"/>
          <w:szCs w:val="32"/>
        </w:rPr>
        <w:t xml:space="preserve"> 屯昌县</w:t>
      </w:r>
      <w:r>
        <w:rPr>
          <w:rFonts w:hint="eastAsia" w:ascii="黑体" w:hAnsi="黑体" w:eastAsia="黑体"/>
          <w:sz w:val="32"/>
          <w:szCs w:val="32"/>
          <w:lang w:eastAsia="zh-CN"/>
        </w:rPr>
        <w:t>南坤镇</w:t>
      </w:r>
      <w:r>
        <w:rPr>
          <w:rFonts w:hint="eastAsia" w:ascii="黑体" w:hAnsi="黑体" w:eastAsia="黑体"/>
          <w:sz w:val="32"/>
          <w:szCs w:val="32"/>
          <w:lang w:val="en-US" w:eastAsia="zh-CN"/>
        </w:rPr>
        <w:t>藤寨幼儿</w:t>
      </w:r>
      <w:r>
        <w:rPr>
          <w:rFonts w:hint="eastAsia" w:ascii="黑体" w:hAnsi="黑体" w:eastAsia="黑体"/>
          <w:sz w:val="32"/>
          <w:szCs w:val="32"/>
        </w:rPr>
        <w:t>园概况</w:t>
      </w:r>
    </w:p>
    <w:p>
      <w:pPr>
        <w:rPr>
          <w:rFonts w:hint="eastAsia" w:ascii="黑体" w:hAnsi="黑体" w:eastAsia="黑体" w:cs="黑体"/>
          <w:sz w:val="32"/>
          <w:szCs w:val="32"/>
        </w:rPr>
      </w:pPr>
      <w:r>
        <w:rPr>
          <w:rFonts w:hint="eastAsia" w:ascii="黑体" w:hAnsi="黑体" w:eastAsia="黑体" w:cs="黑体"/>
          <w:sz w:val="32"/>
          <w:szCs w:val="32"/>
          <w:lang w:eastAsia="zh-CN"/>
        </w:rPr>
        <w:t>第二部分</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屯昌县南坤镇</w:t>
      </w:r>
      <w:r>
        <w:rPr>
          <w:rFonts w:hint="eastAsia" w:ascii="黑体" w:hAnsi="黑体" w:eastAsia="黑体" w:cs="黑体"/>
          <w:sz w:val="32"/>
          <w:szCs w:val="32"/>
          <w:lang w:val="en-US" w:eastAsia="zh-CN"/>
        </w:rPr>
        <w:t>藤寨</w:t>
      </w:r>
      <w:r>
        <w:rPr>
          <w:rFonts w:hint="eastAsia" w:ascii="黑体" w:hAnsi="黑体" w:eastAsia="黑体" w:cs="黑体"/>
          <w:sz w:val="32"/>
          <w:szCs w:val="32"/>
        </w:rPr>
        <w:t>幼儿园</w:t>
      </w:r>
      <w:r>
        <w:rPr>
          <w:rFonts w:hint="eastAsia" w:ascii="黑体" w:hAnsi="黑体" w:eastAsia="黑体" w:cs="黑体"/>
          <w:sz w:val="32"/>
          <w:szCs w:val="32"/>
          <w:lang w:val="en-US" w:eastAsia="zh-CN"/>
        </w:rPr>
        <w:t>2025年</w:t>
      </w:r>
      <w:r>
        <w:rPr>
          <w:rFonts w:hint="eastAsia" w:ascii="黑体" w:hAnsi="黑体" w:eastAsia="黑体" w:cs="黑体"/>
          <w:sz w:val="32"/>
          <w:szCs w:val="32"/>
        </w:rPr>
        <w:t>预算</w:t>
      </w:r>
      <w:r>
        <w:rPr>
          <w:rFonts w:hint="eastAsia" w:ascii="黑体" w:hAnsi="黑体" w:eastAsia="黑体" w:cs="黑体"/>
          <w:sz w:val="32"/>
          <w:szCs w:val="32"/>
          <w:lang w:eastAsia="zh-CN"/>
        </w:rPr>
        <w:t>公开</w:t>
      </w:r>
      <w:r>
        <w:rPr>
          <w:rFonts w:hint="eastAsia" w:ascii="黑体" w:hAnsi="黑体" w:eastAsia="黑体" w:cs="黑体"/>
          <w:sz w:val="32"/>
          <w:szCs w:val="32"/>
        </w:rPr>
        <w:t>表</w:t>
      </w:r>
    </w:p>
    <w:p>
      <w:pPr>
        <w:pStyle w:val="4"/>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4"/>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4"/>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4"/>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4"/>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4"/>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4"/>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4"/>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4"/>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4"/>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4"/>
        <w:numPr>
          <w:ilvl w:val="0"/>
          <w:numId w:val="0"/>
        </w:numPr>
        <w:ind w:leftChars="0"/>
        <w:jc w:val="left"/>
        <w:rPr>
          <w:rFonts w:ascii="仿宋_GB2312" w:hAnsi="仿宋_GB2312" w:eastAsia="仿宋_GB2312" w:cs="仿宋_GB2312"/>
          <w:sz w:val="32"/>
          <w:szCs w:val="32"/>
        </w:rPr>
      </w:pPr>
      <w:r>
        <w:rPr>
          <w:rFonts w:hint="eastAsia" w:ascii="黑体" w:hAnsi="黑体" w:eastAsia="黑体" w:cs="黑体"/>
          <w:sz w:val="32"/>
          <w:szCs w:val="32"/>
          <w:lang w:eastAsia="zh-CN"/>
        </w:rPr>
        <w:t>第三部分</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屯昌县南坤镇</w:t>
      </w:r>
      <w:r>
        <w:rPr>
          <w:rFonts w:hint="eastAsia" w:ascii="黑体" w:hAnsi="黑体" w:eastAsia="黑体" w:cs="黑体"/>
          <w:sz w:val="32"/>
          <w:szCs w:val="32"/>
          <w:lang w:val="en-US" w:eastAsia="zh-CN"/>
        </w:rPr>
        <w:t>藤寨</w:t>
      </w:r>
      <w:r>
        <w:rPr>
          <w:rFonts w:hint="eastAsia" w:ascii="黑体" w:hAnsi="黑体" w:eastAsia="黑体" w:cs="黑体"/>
          <w:sz w:val="32"/>
          <w:szCs w:val="32"/>
        </w:rPr>
        <w:t>幼儿园</w:t>
      </w:r>
      <w:r>
        <w:rPr>
          <w:rFonts w:hint="eastAsia" w:ascii="黑体" w:hAnsi="黑体" w:eastAsia="黑体" w:cs="黑体"/>
          <w:sz w:val="32"/>
          <w:szCs w:val="32"/>
          <w:lang w:val="en-US" w:eastAsia="zh-CN"/>
        </w:rPr>
        <w:t>2025</w:t>
      </w:r>
      <w:r>
        <w:rPr>
          <w:rFonts w:hint="eastAsia" w:ascii="黑体" w:hAnsi="黑体" w:eastAsia="黑体" w:cs="黑体"/>
          <w:sz w:val="32"/>
          <w:szCs w:val="32"/>
        </w:rPr>
        <w:t>年</w:t>
      </w:r>
      <w:r>
        <w:rPr>
          <w:rFonts w:hint="eastAsia" w:ascii="黑体" w:hAnsi="黑体" w:eastAsia="黑体"/>
          <w:sz w:val="32"/>
          <w:szCs w:val="32"/>
        </w:rPr>
        <w:t>单位预算情况说明</w:t>
      </w:r>
    </w:p>
    <w:p>
      <w:pPr>
        <w:pStyle w:val="4"/>
        <w:numPr>
          <w:ilvl w:val="0"/>
          <w:numId w:val="0"/>
        </w:numPr>
        <w:ind w:leftChars="0"/>
        <w:jc w:val="left"/>
        <w:rPr>
          <w:rFonts w:ascii="仿宋_GB2312" w:hAnsi="仿宋_GB2312" w:eastAsia="仿宋_GB2312" w:cs="仿宋_GB2312"/>
          <w:sz w:val="32"/>
          <w:szCs w:val="32"/>
        </w:rPr>
      </w:pPr>
      <w:r>
        <w:rPr>
          <w:rFonts w:hint="eastAsia" w:ascii="黑体" w:hAnsi="黑体" w:eastAsia="黑体" w:cs="黑体"/>
          <w:sz w:val="32"/>
          <w:szCs w:val="32"/>
          <w:lang w:eastAsia="zh-CN"/>
        </w:rPr>
        <w:t>第四部分</w:t>
      </w:r>
      <w:r>
        <w:rPr>
          <w:rFonts w:hint="eastAsia" w:ascii="黑体" w:hAnsi="黑体" w:eastAsia="黑体" w:cs="黑体"/>
          <w:sz w:val="32"/>
          <w:szCs w:val="32"/>
          <w:lang w:val="en-US" w:eastAsia="zh-CN"/>
        </w:rPr>
        <w:t xml:space="preserve"> </w:t>
      </w:r>
      <w:r>
        <w:rPr>
          <w:rFonts w:hint="eastAsia" w:ascii="黑体" w:hAnsi="黑体" w:eastAsia="黑体"/>
          <w:sz w:val="32"/>
          <w:szCs w:val="32"/>
        </w:rPr>
        <w:t>名词解释</w:t>
      </w:r>
    </w:p>
    <w:p>
      <w:pPr>
        <w:pStyle w:val="4"/>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5"/>
        <w:numPr>
          <w:ilvl w:val="0"/>
          <w:numId w:val="0"/>
        </w:numPr>
        <w:ind w:leftChars="0"/>
        <w:jc w:val="center"/>
        <w:rPr>
          <w:rFonts w:ascii="仿宋_GB2312" w:hAnsi="仿宋_GB2312" w:eastAsia="仿宋_GB2312" w:cs="仿宋_GB2312"/>
          <w:sz w:val="32"/>
          <w:szCs w:val="32"/>
        </w:rPr>
      </w:pPr>
      <w:r>
        <w:rPr>
          <w:rFonts w:hint="eastAsia" w:ascii="黑体" w:hAnsi="黑体" w:eastAsia="黑体"/>
          <w:sz w:val="32"/>
          <w:szCs w:val="32"/>
          <w:lang w:eastAsia="zh-CN"/>
        </w:rPr>
        <w:t>第一部分</w:t>
      </w:r>
      <w:r>
        <w:rPr>
          <w:rFonts w:hint="eastAsia" w:ascii="黑体" w:hAnsi="黑体" w:eastAsia="黑体"/>
          <w:sz w:val="32"/>
          <w:szCs w:val="32"/>
        </w:rPr>
        <w:t xml:space="preserve"> 屯昌县</w:t>
      </w:r>
      <w:r>
        <w:rPr>
          <w:rFonts w:hint="eastAsia" w:ascii="黑体" w:hAnsi="黑体" w:eastAsia="黑体"/>
          <w:sz w:val="32"/>
          <w:szCs w:val="32"/>
          <w:lang w:eastAsia="zh-CN"/>
        </w:rPr>
        <w:t>南坤镇</w:t>
      </w:r>
      <w:r>
        <w:rPr>
          <w:rFonts w:hint="eastAsia" w:ascii="黑体" w:hAnsi="黑体" w:eastAsia="黑体"/>
          <w:sz w:val="32"/>
          <w:szCs w:val="32"/>
          <w:lang w:val="en-US" w:eastAsia="zh-CN"/>
        </w:rPr>
        <w:t>藤寨幼</w:t>
      </w:r>
      <w:r>
        <w:rPr>
          <w:rFonts w:hint="eastAsia" w:ascii="黑体" w:hAnsi="黑体" w:eastAsia="黑体"/>
          <w:sz w:val="32"/>
          <w:szCs w:val="32"/>
        </w:rPr>
        <w:t>儿园概况</w:t>
      </w:r>
    </w:p>
    <w:p>
      <w:pPr>
        <w:pStyle w:val="4"/>
        <w:numPr>
          <w:ilvl w:val="0"/>
          <w:numId w:val="0"/>
        </w:numPr>
        <w:ind w:left="630" w:leftChars="0"/>
        <w:jc w:val="left"/>
        <w:rPr>
          <w:rFonts w:ascii="黑体" w:hAnsi="黑体" w:eastAsia="黑体" w:cs="仿宋_GB2312"/>
          <w:sz w:val="32"/>
          <w:szCs w:val="32"/>
        </w:rPr>
      </w:pPr>
      <w:r>
        <w:rPr>
          <w:rFonts w:hint="eastAsia" w:ascii="黑体" w:hAnsi="黑体" w:eastAsia="黑体" w:cs="仿宋_GB2312"/>
          <w:sz w:val="32"/>
          <w:szCs w:val="32"/>
          <w:lang w:val="en-US" w:eastAsia="zh-CN"/>
        </w:rPr>
        <w:t>一、</w:t>
      </w:r>
      <w:r>
        <w:rPr>
          <w:rFonts w:hint="eastAsia" w:ascii="黑体" w:hAnsi="黑体" w:eastAsia="黑体" w:cs="仿宋_GB2312"/>
          <w:sz w:val="32"/>
          <w:szCs w:val="32"/>
        </w:rPr>
        <w:t>主要职能</w:t>
      </w:r>
    </w:p>
    <w:p>
      <w:pPr>
        <w:pStyle w:val="4"/>
        <w:numPr>
          <w:ilvl w:val="0"/>
          <w:numId w:val="0"/>
        </w:numPr>
        <w:ind w:leftChars="0" w:firstLine="640" w:firstLineChars="200"/>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（一）实行保育和教育相结合的原则，为家长解除后顾之忧，热忱为家长服务。</w:t>
      </w:r>
    </w:p>
    <w:p>
      <w:pPr>
        <w:pStyle w:val="4"/>
        <w:numPr>
          <w:ilvl w:val="0"/>
          <w:numId w:val="0"/>
        </w:numPr>
        <w:ind w:leftChars="0" w:firstLine="640" w:firstLineChars="200"/>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（二）为儿童提供健康、丰富的生活和活动环境，促进幼儿体智德美等和谐发展，全面实施素质教育。</w:t>
      </w:r>
    </w:p>
    <w:p>
      <w:pPr>
        <w:pStyle w:val="4"/>
        <w:numPr>
          <w:ilvl w:val="0"/>
          <w:numId w:val="0"/>
        </w:numPr>
        <w:ind w:leftChars="0" w:firstLine="640" w:firstLineChars="200"/>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（三）严格执行幼儿园安全、卫生保健制度，保证幼儿身心健康和生命安全。</w:t>
      </w:r>
    </w:p>
    <w:p>
      <w:pPr>
        <w:pStyle w:val="4"/>
        <w:numPr>
          <w:ilvl w:val="0"/>
          <w:numId w:val="0"/>
        </w:numPr>
        <w:ind w:leftChars="0" w:firstLine="640" w:firstLineChars="200"/>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（四）充分利用幼儿和社区的资源优势，面向家长开展多种形式的早期教育宣传、指导等服务，促进家庭教育质量的不断提高。</w:t>
      </w:r>
    </w:p>
    <w:p>
      <w:pPr>
        <w:pStyle w:val="4"/>
        <w:numPr>
          <w:ilvl w:val="0"/>
          <w:numId w:val="0"/>
        </w:numPr>
        <w:ind w:leftChars="0" w:firstLine="640" w:firstLineChars="200"/>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（五）贯彻幼儿教育法规、传播科学教育理念、开展教育科学研究、培训师资，发挥示范性幼儿园的示范、辐射作用。</w:t>
      </w:r>
    </w:p>
    <w:p>
      <w:pPr>
        <w:pStyle w:val="4"/>
        <w:numPr>
          <w:ilvl w:val="0"/>
          <w:numId w:val="0"/>
        </w:numPr>
        <w:ind w:leftChars="0" w:firstLine="640" w:firstLineChars="200"/>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（六）承办上级主管部门交办的其他工作。</w:t>
      </w:r>
    </w:p>
    <w:p>
      <w:pPr>
        <w:pStyle w:val="4"/>
        <w:numPr>
          <w:ilvl w:val="0"/>
          <w:numId w:val="0"/>
        </w:numPr>
        <w:ind w:leftChars="0" w:firstLine="640" w:firstLineChars="200"/>
        <w:jc w:val="left"/>
        <w:rPr>
          <w:rFonts w:hint="eastAsia" w:ascii="楷体_GB2312" w:hAnsi="楷体_GB2312" w:eastAsia="楷体_GB2312" w:cs="楷体_GB2312"/>
          <w:sz w:val="32"/>
          <w:szCs w:val="32"/>
        </w:rPr>
      </w:pPr>
    </w:p>
    <w:p>
      <w:pPr>
        <w:ind w:firstLine="640" w:firstLineChars="200"/>
        <w:rPr>
          <w:rFonts w:ascii="黑体" w:hAnsi="黑体" w:eastAsia="黑体"/>
          <w:sz w:val="32"/>
          <w:szCs w:val="32"/>
        </w:rPr>
      </w:pPr>
      <w:r>
        <w:rPr>
          <w:rFonts w:hint="eastAsia" w:ascii="黑体" w:hAnsi="黑体" w:eastAsia="黑体"/>
          <w:sz w:val="32"/>
          <w:szCs w:val="32"/>
        </w:rPr>
        <w:t>第二部分屯昌县南坤镇</w:t>
      </w:r>
      <w:r>
        <w:rPr>
          <w:rFonts w:hint="eastAsia" w:ascii="黑体" w:hAnsi="黑体" w:eastAsia="黑体"/>
          <w:sz w:val="32"/>
          <w:szCs w:val="32"/>
          <w:lang w:val="en-US" w:eastAsia="zh-CN"/>
        </w:rPr>
        <w:t>藤寨</w:t>
      </w:r>
      <w:r>
        <w:rPr>
          <w:rFonts w:hint="eastAsia" w:ascii="黑体" w:hAnsi="黑体" w:eastAsia="黑体"/>
          <w:sz w:val="32"/>
          <w:szCs w:val="32"/>
        </w:rPr>
        <w:t>幼儿园202</w:t>
      </w:r>
      <w:r>
        <w:rPr>
          <w:rFonts w:hint="eastAsia" w:ascii="黑体" w:hAnsi="黑体" w:eastAsia="黑体"/>
          <w:sz w:val="32"/>
          <w:szCs w:val="32"/>
          <w:lang w:val="en-US" w:eastAsia="zh-CN"/>
        </w:rPr>
        <w:t>5</w:t>
      </w:r>
      <w:r>
        <w:rPr>
          <w:rFonts w:hint="eastAsia" w:ascii="黑体" w:hAnsi="黑体" w:eastAsia="黑体"/>
          <w:sz w:val="32"/>
          <w:szCs w:val="32"/>
        </w:rPr>
        <w:t>年单位预算表</w:t>
      </w:r>
    </w:p>
    <w:p>
      <w:pPr>
        <w:ind w:left="800"/>
        <w:jc w:val="left"/>
        <w:rPr>
          <w:rFonts w:ascii="黑体" w:hAnsi="黑体" w:eastAsia="黑体"/>
          <w:sz w:val="32"/>
          <w:szCs w:val="32"/>
        </w:rPr>
      </w:pPr>
    </w:p>
    <w:p>
      <w:pPr>
        <w:ind w:left="800"/>
        <w:jc w:val="center"/>
        <w:rPr>
          <w:rFonts w:hint="eastAsia" w:ascii="仿宋_GB2312" w:hAnsi="黑体" w:eastAsia="仿宋_GB2312"/>
          <w:b/>
          <w:sz w:val="32"/>
          <w:szCs w:val="32"/>
        </w:rPr>
      </w:pPr>
      <w:r>
        <w:rPr>
          <w:rFonts w:hint="eastAsia" w:ascii="仿宋_GB2312" w:hAnsi="黑体" w:eastAsia="仿宋_GB2312"/>
          <w:b/>
          <w:sz w:val="32"/>
          <w:szCs w:val="32"/>
        </w:rPr>
        <w:t>（此部分内容为单位预算公开表）</w:t>
      </w:r>
    </w:p>
    <w:p>
      <w:pPr>
        <w:rPr>
          <w:rFonts w:ascii="黑体" w:hAnsi="黑体" w:eastAsia="黑体"/>
          <w:sz w:val="32"/>
          <w:szCs w:val="32"/>
        </w:rPr>
      </w:pPr>
    </w:p>
    <w:p>
      <w:pPr>
        <w:pStyle w:val="4"/>
        <w:numPr>
          <w:ilvl w:val="0"/>
          <w:numId w:val="3"/>
        </w:numPr>
        <w:ind w:leftChars="0"/>
        <w:jc w:val="center"/>
        <w:rPr>
          <w:rFonts w:hint="eastAsia" w:ascii="黑体" w:hAnsi="黑体" w:eastAsia="黑体"/>
          <w:sz w:val="32"/>
          <w:szCs w:val="32"/>
        </w:rPr>
      </w:pPr>
      <w:r>
        <w:rPr>
          <w:rFonts w:hint="eastAsia" w:ascii="黑体" w:hAnsi="黑体" w:eastAsia="黑体" w:cs="黑体"/>
          <w:sz w:val="32"/>
          <w:szCs w:val="32"/>
        </w:rPr>
        <w:t>屯昌县南坤镇</w:t>
      </w:r>
      <w:r>
        <w:rPr>
          <w:rFonts w:hint="eastAsia" w:ascii="黑体" w:hAnsi="黑体" w:eastAsia="黑体" w:cs="黑体"/>
          <w:sz w:val="32"/>
          <w:szCs w:val="32"/>
          <w:lang w:val="en-US" w:eastAsia="zh-CN"/>
        </w:rPr>
        <w:t>藤寨</w:t>
      </w:r>
      <w:r>
        <w:rPr>
          <w:rFonts w:hint="eastAsia" w:ascii="黑体" w:hAnsi="黑体" w:eastAsia="黑体" w:cs="黑体"/>
          <w:sz w:val="32"/>
          <w:szCs w:val="32"/>
        </w:rPr>
        <w:t>幼儿园</w:t>
      </w:r>
      <w:r>
        <w:rPr>
          <w:rFonts w:hint="eastAsia" w:ascii="黑体" w:hAnsi="黑体" w:eastAsia="黑体" w:cs="黑体"/>
          <w:sz w:val="32"/>
          <w:szCs w:val="32"/>
          <w:lang w:val="en-US" w:eastAsia="zh-CN"/>
        </w:rPr>
        <w:t>2025</w:t>
      </w:r>
      <w:r>
        <w:rPr>
          <w:rFonts w:hint="eastAsia" w:ascii="黑体" w:hAnsi="黑体" w:eastAsia="黑体" w:cs="黑体"/>
          <w:sz w:val="32"/>
          <w:szCs w:val="32"/>
        </w:rPr>
        <w:t>年</w:t>
      </w:r>
      <w:r>
        <w:rPr>
          <w:rFonts w:hint="eastAsia" w:ascii="黑体" w:hAnsi="黑体" w:eastAsia="黑体"/>
          <w:sz w:val="32"/>
          <w:szCs w:val="32"/>
        </w:rPr>
        <w:t>单位预算</w:t>
      </w:r>
    </w:p>
    <w:p>
      <w:pPr>
        <w:pStyle w:val="4"/>
        <w:numPr>
          <w:ilvl w:val="0"/>
          <w:numId w:val="0"/>
        </w:numPr>
        <w:ind w:leftChars="200"/>
        <w:jc w:val="center"/>
        <w:rPr>
          <w:rFonts w:ascii="黑体" w:hAnsi="黑体" w:eastAsia="黑体"/>
          <w:sz w:val="32"/>
          <w:szCs w:val="32"/>
        </w:rPr>
      </w:pPr>
      <w:r>
        <w:rPr>
          <w:rFonts w:hint="eastAsia" w:ascii="黑体" w:hAnsi="黑体" w:eastAsia="黑体"/>
          <w:sz w:val="32"/>
          <w:szCs w:val="32"/>
        </w:rPr>
        <w:t>情况说明</w:t>
      </w: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cs="黑体"/>
          <w:sz w:val="32"/>
          <w:szCs w:val="32"/>
        </w:rPr>
        <w:t>屯昌县南坤镇</w:t>
      </w:r>
      <w:r>
        <w:rPr>
          <w:rFonts w:hint="eastAsia" w:ascii="黑体" w:hAnsi="黑体" w:eastAsia="黑体" w:cs="黑体"/>
          <w:sz w:val="32"/>
          <w:szCs w:val="32"/>
          <w:lang w:val="en-US" w:eastAsia="zh-CN"/>
        </w:rPr>
        <w:t>藤寨</w:t>
      </w:r>
      <w:r>
        <w:rPr>
          <w:rFonts w:hint="eastAsia" w:ascii="黑体" w:hAnsi="黑体" w:eastAsia="黑体" w:cs="黑体"/>
          <w:sz w:val="32"/>
          <w:szCs w:val="32"/>
        </w:rPr>
        <w:t>幼儿园</w:t>
      </w:r>
      <w:r>
        <w:rPr>
          <w:rFonts w:hint="eastAsia" w:ascii="黑体" w:hAnsi="黑体" w:eastAsia="黑体" w:cs="黑体"/>
          <w:sz w:val="32"/>
          <w:szCs w:val="32"/>
          <w:lang w:val="en-US" w:eastAsia="zh-CN"/>
        </w:rPr>
        <w:t>2025</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屯昌县南坤镇</w:t>
      </w:r>
      <w:r>
        <w:rPr>
          <w:rFonts w:hint="eastAsia" w:ascii="仿宋_GB2312" w:hAnsi="黑体" w:eastAsia="仿宋_GB2312"/>
          <w:sz w:val="32"/>
          <w:szCs w:val="32"/>
          <w:lang w:val="en-US" w:eastAsia="zh-CN"/>
        </w:rPr>
        <w:t>藤寨</w:t>
      </w:r>
      <w:r>
        <w:rPr>
          <w:rFonts w:hint="eastAsia" w:ascii="仿宋_GB2312" w:hAnsi="黑体" w:eastAsia="仿宋_GB2312"/>
          <w:sz w:val="32"/>
          <w:szCs w:val="32"/>
        </w:rPr>
        <w:t>幼儿园202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lang w:val="en-US" w:eastAsia="zh-CN"/>
        </w:rPr>
        <w:t>187.84</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lang w:val="en-US" w:eastAsia="zh-CN"/>
        </w:rPr>
        <w:t>185.11</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lang w:val="en-US" w:eastAsia="zh-CN"/>
        </w:rPr>
        <w:t>185.11</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2.73</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187.84</w:t>
      </w:r>
      <w:r>
        <w:rPr>
          <w:rFonts w:hint="eastAsia" w:ascii="仿宋_GB2312" w:hAnsi="黑体" w:eastAsia="仿宋_GB2312"/>
          <w:sz w:val="32"/>
          <w:szCs w:val="32"/>
        </w:rPr>
        <w:t>万元，包括一般公共服务支出</w:t>
      </w:r>
      <w:r>
        <w:rPr>
          <w:rFonts w:hint="eastAsia" w:ascii="仿宋_GB2312" w:hAnsi="黑体" w:eastAsia="仿宋_GB2312" w:cs="仿宋_GB2312"/>
          <w:sz w:val="32"/>
          <w:szCs w:val="32"/>
          <w:lang w:val="en-US" w:eastAsia="zh-CN"/>
        </w:rPr>
        <w:t>187.84</w:t>
      </w:r>
      <w:r>
        <w:rPr>
          <w:rFonts w:hint="eastAsia" w:ascii="仿宋_GB2312" w:hAnsi="黑体" w:eastAsia="仿宋_GB2312"/>
          <w:sz w:val="32"/>
          <w:szCs w:val="32"/>
        </w:rPr>
        <w:t>万元、外交支出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万元、国防支出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rPr>
        <w:t>结转下年</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黑体"/>
          <w:sz w:val="32"/>
          <w:szCs w:val="32"/>
        </w:rPr>
        <w:t>屯昌县南坤镇</w:t>
      </w:r>
      <w:r>
        <w:rPr>
          <w:rFonts w:hint="eastAsia" w:ascii="黑体" w:hAnsi="黑体" w:eastAsia="黑体" w:cs="黑体"/>
          <w:sz w:val="32"/>
          <w:szCs w:val="32"/>
          <w:lang w:val="en-US" w:eastAsia="zh-CN"/>
        </w:rPr>
        <w:t>藤寨</w:t>
      </w:r>
      <w:r>
        <w:rPr>
          <w:rFonts w:hint="eastAsia" w:ascii="黑体" w:hAnsi="黑体" w:eastAsia="黑体" w:cs="黑体"/>
          <w:sz w:val="32"/>
          <w:szCs w:val="32"/>
        </w:rPr>
        <w:t>幼儿园</w:t>
      </w:r>
      <w:r>
        <w:rPr>
          <w:rFonts w:hint="eastAsia" w:ascii="黑体" w:hAnsi="黑体" w:eastAsia="黑体" w:cs="黑体"/>
          <w:sz w:val="32"/>
          <w:szCs w:val="32"/>
          <w:lang w:val="en-US" w:eastAsia="zh-CN"/>
        </w:rPr>
        <w:t>2025</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hint="default" w:ascii="仿宋_GB2312" w:hAnsi="黑体" w:eastAsia="仿宋_GB2312"/>
          <w:color w:val="000000" w:themeColor="text1"/>
          <w:sz w:val="32"/>
          <w:szCs w:val="32"/>
          <w:lang w:val="en-US" w:eastAsia="zh-CN"/>
          <w14:textFill>
            <w14:solidFill>
              <w14:schemeClr w14:val="tx1"/>
            </w14:solidFill>
          </w14:textFill>
        </w:rPr>
      </w:pPr>
      <w:r>
        <w:rPr>
          <w:rFonts w:hint="eastAsia" w:ascii="仿宋_GB2312" w:hAnsi="黑体" w:eastAsia="仿宋_GB2312"/>
          <w:sz w:val="32"/>
          <w:szCs w:val="32"/>
        </w:rPr>
        <w:t>屯昌县南坤镇</w:t>
      </w:r>
      <w:r>
        <w:rPr>
          <w:rFonts w:hint="eastAsia" w:ascii="仿宋_GB2312" w:hAnsi="黑体" w:eastAsia="仿宋_GB2312"/>
          <w:sz w:val="32"/>
          <w:szCs w:val="32"/>
          <w:lang w:val="en-US" w:eastAsia="zh-CN"/>
        </w:rPr>
        <w:t>藤寨</w:t>
      </w:r>
      <w:r>
        <w:rPr>
          <w:rFonts w:hint="eastAsia" w:ascii="仿宋_GB2312" w:hAnsi="黑体" w:eastAsia="仿宋_GB2312"/>
          <w:sz w:val="32"/>
          <w:szCs w:val="32"/>
        </w:rPr>
        <w:t>幼儿园202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lang w:val="en-US" w:eastAsia="zh-CN"/>
        </w:rPr>
        <w:t>187.84</w:t>
      </w:r>
      <w:r>
        <w:rPr>
          <w:rFonts w:hint="eastAsia" w:ascii="仿宋_GB2312" w:hAnsi="黑体" w:eastAsia="仿宋_GB2312"/>
          <w:sz w:val="32"/>
          <w:szCs w:val="32"/>
        </w:rPr>
        <w:t>元，</w:t>
      </w:r>
      <w:r>
        <w:rPr>
          <w:rFonts w:hint="eastAsia" w:ascii="仿宋_GB2312" w:hAnsi="黑体" w:eastAsia="仿宋_GB2312"/>
          <w:color w:val="000000" w:themeColor="text1"/>
          <w:sz w:val="32"/>
          <w:szCs w:val="32"/>
          <w14:textFill>
            <w14:solidFill>
              <w14:schemeClr w14:val="tx1"/>
            </w14:solidFill>
          </w14:textFill>
        </w:rPr>
        <w:t>比上年预算数</w:t>
      </w:r>
      <w:r>
        <w:rPr>
          <w:rFonts w:hint="eastAsia" w:ascii="仿宋_GB2312" w:hAnsi="黑体" w:eastAsia="仿宋_GB2312"/>
          <w:color w:val="000000" w:themeColor="text1"/>
          <w:sz w:val="32"/>
          <w:szCs w:val="32"/>
          <w:lang w:val="en-US" w:eastAsia="zh-CN"/>
          <w14:textFill>
            <w14:solidFill>
              <w14:schemeClr w14:val="tx1"/>
            </w14:solidFill>
          </w14:textFill>
        </w:rPr>
        <w:t>增加2</w:t>
      </w:r>
      <w:r>
        <w:rPr>
          <w:rFonts w:hint="eastAsia" w:ascii="仿宋_GB2312" w:hAnsi="黑体" w:eastAsia="仿宋_GB2312" w:cs="仿宋_GB2312"/>
          <w:color w:val="000000" w:themeColor="text1"/>
          <w:sz w:val="32"/>
          <w:szCs w:val="32"/>
          <w:lang w:val="en-US" w:eastAsia="zh-CN"/>
          <w14:textFill>
            <w14:solidFill>
              <w14:schemeClr w14:val="tx1"/>
            </w14:solidFill>
          </w14:textFill>
        </w:rPr>
        <w:t>.75</w:t>
      </w:r>
      <w:r>
        <w:rPr>
          <w:rFonts w:hint="eastAsia" w:ascii="仿宋_GB2312" w:hAnsi="黑体" w:eastAsia="仿宋_GB2312"/>
          <w:color w:val="000000" w:themeColor="text1"/>
          <w:sz w:val="32"/>
          <w:szCs w:val="32"/>
          <w14:textFill>
            <w14:solidFill>
              <w14:schemeClr w14:val="tx1"/>
            </w14:solidFill>
          </w14:textFill>
        </w:rPr>
        <w:t>万元，主要是</w:t>
      </w:r>
      <w:r>
        <w:rPr>
          <w:rFonts w:hint="eastAsia" w:ascii="仿宋_GB2312" w:hAnsi="黑体" w:eastAsia="仿宋_GB2312"/>
          <w:color w:val="000000" w:themeColor="text1"/>
          <w:sz w:val="32"/>
          <w:szCs w:val="32"/>
          <w:lang w:val="en-US" w:eastAsia="zh-CN"/>
          <w14:textFill>
            <w14:solidFill>
              <w14:schemeClr w14:val="tx1"/>
            </w14:solidFill>
          </w14:textFill>
        </w:rPr>
        <w:t>人员工资福利增加。</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教育（类）支出</w:t>
      </w:r>
      <w:r>
        <w:rPr>
          <w:rFonts w:hint="eastAsia" w:ascii="仿宋_GB2312" w:hAnsi="黑体" w:eastAsia="仿宋_GB2312" w:cs="仿宋_GB2312"/>
          <w:sz w:val="32"/>
          <w:szCs w:val="32"/>
          <w:lang w:val="en-US" w:eastAsia="zh-CN"/>
        </w:rPr>
        <w:t>131.01</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69.74</w:t>
      </w:r>
      <w:r>
        <w:rPr>
          <w:rFonts w:hint="eastAsia" w:ascii="仿宋_GB2312" w:hAnsi="黑体" w:eastAsia="仿宋_GB2312"/>
          <w:sz w:val="32"/>
          <w:szCs w:val="32"/>
        </w:rPr>
        <w:t>%；社会保障和就业（类）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24.24</w:t>
      </w:r>
      <w:r>
        <w:rPr>
          <w:rFonts w:hint="eastAsia" w:ascii="仿宋_GB2312" w:hAnsi="黑体" w:eastAsia="仿宋_GB2312"/>
          <w:sz w:val="32"/>
          <w:szCs w:val="32"/>
        </w:rPr>
        <w:t>万元，占</w:t>
      </w:r>
      <w:r>
        <w:rPr>
          <w:rFonts w:hint="eastAsia" w:ascii="仿宋_GB2312" w:hAnsi="黑体" w:eastAsia="仿宋_GB2312" w:cs="仿宋_GB2312"/>
          <w:color w:val="000000" w:themeColor="text1"/>
          <w:sz w:val="32"/>
          <w:szCs w:val="32"/>
          <w:lang w:val="en-US" w:eastAsia="zh-CN"/>
          <w14:textFill>
            <w14:solidFill>
              <w14:schemeClr w14:val="tx1"/>
            </w14:solidFill>
          </w14:textFill>
        </w:rPr>
        <w:t>12.9</w:t>
      </w:r>
      <w:r>
        <w:rPr>
          <w:rFonts w:hint="eastAsia" w:ascii="仿宋_GB2312" w:hAnsi="黑体" w:eastAsia="仿宋_GB2312"/>
          <w:sz w:val="32"/>
          <w:szCs w:val="32"/>
        </w:rPr>
        <w:t>%；卫生健康（类）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18.09</w:t>
      </w:r>
      <w:r>
        <w:rPr>
          <w:rFonts w:hint="eastAsia" w:ascii="仿宋_GB2312" w:hAnsi="黑体" w:eastAsia="仿宋_GB2312"/>
          <w:sz w:val="32"/>
          <w:szCs w:val="32"/>
        </w:rPr>
        <w:t>万元，占</w:t>
      </w:r>
      <w:r>
        <w:rPr>
          <w:rFonts w:hint="eastAsia" w:ascii="仿宋_GB2312" w:hAnsi="黑体" w:eastAsia="仿宋_GB2312" w:cs="仿宋_GB2312"/>
          <w:color w:val="000000" w:themeColor="text1"/>
          <w:sz w:val="32"/>
          <w:szCs w:val="32"/>
          <w:lang w:val="en-US" w:eastAsia="zh-CN"/>
          <w14:textFill>
            <w14:solidFill>
              <w14:schemeClr w14:val="tx1"/>
            </w14:solidFill>
          </w14:textFill>
        </w:rPr>
        <w:t>9.63</w:t>
      </w:r>
      <w:r>
        <w:rPr>
          <w:rFonts w:hint="eastAsia" w:ascii="仿宋_GB2312" w:hAnsi="黑体" w:eastAsia="仿宋_GB2312"/>
          <w:sz w:val="32"/>
          <w:szCs w:val="32"/>
        </w:rPr>
        <w:t>%；住房保障（类）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14.50</w:t>
      </w:r>
      <w:r>
        <w:rPr>
          <w:rFonts w:hint="eastAsia" w:ascii="仿宋_GB2312" w:hAnsi="黑体" w:eastAsia="仿宋_GB2312"/>
          <w:sz w:val="32"/>
          <w:szCs w:val="32"/>
        </w:rPr>
        <w:t>万元，占</w:t>
      </w:r>
      <w:r>
        <w:rPr>
          <w:rFonts w:hint="eastAsia" w:ascii="仿宋_GB2312" w:hAnsi="黑体" w:eastAsia="仿宋_GB2312" w:cs="仿宋_GB2312"/>
          <w:color w:val="000000" w:themeColor="text1"/>
          <w:sz w:val="32"/>
          <w:szCs w:val="32"/>
          <w:lang w:val="en-US" w:eastAsia="zh-CN"/>
          <w14:textFill>
            <w14:solidFill>
              <w14:schemeClr w14:val="tx1"/>
            </w14:solidFill>
          </w14:textFill>
        </w:rPr>
        <w:t>7.71</w:t>
      </w:r>
      <w:r>
        <w:rPr>
          <w:rFonts w:hint="eastAsia" w:ascii="仿宋_GB2312" w:hAnsi="黑体" w:eastAsia="仿宋_GB2312"/>
          <w:color w:val="000000" w:themeColor="text1"/>
          <w:sz w:val="32"/>
          <w:szCs w:val="32"/>
          <w14:textFill>
            <w14:solidFill>
              <w14:schemeClr w14:val="tx1"/>
            </w14:solidFill>
          </w14:textFill>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hint="default" w:ascii="仿宋_GB2312" w:hAnsi="黑体" w:eastAsia="仿宋_GB2312"/>
          <w:color w:val="000000" w:themeColor="text1"/>
          <w:sz w:val="32"/>
          <w:szCs w:val="32"/>
          <w:lang w:val="en-US" w:eastAsia="zh-CN"/>
          <w14:textFill>
            <w14:solidFill>
              <w14:schemeClr w14:val="tx1"/>
            </w14:solidFill>
          </w14:textFill>
        </w:rPr>
      </w:pPr>
      <w:r>
        <w:rPr>
          <w:rFonts w:hint="eastAsia" w:ascii="仿宋_GB2312" w:hAnsi="黑体" w:eastAsia="仿宋_GB2312" w:cs="仿宋_GB2312"/>
          <w:sz w:val="32"/>
          <w:szCs w:val="32"/>
        </w:rPr>
        <w:t>1.教育支出（类）普通教育（款）学前教育（项）202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131.01</w:t>
      </w:r>
      <w:r>
        <w:rPr>
          <w:rFonts w:hint="eastAsia" w:ascii="仿宋_GB2312" w:hAnsi="黑体" w:eastAsia="仿宋_GB2312"/>
          <w:sz w:val="32"/>
          <w:szCs w:val="32"/>
        </w:rPr>
        <w:t>万元，</w:t>
      </w:r>
      <w:r>
        <w:rPr>
          <w:rFonts w:hint="eastAsia" w:ascii="仿宋_GB2312" w:hAnsi="黑体" w:eastAsia="仿宋_GB2312"/>
          <w:color w:val="000000" w:themeColor="text1"/>
          <w:sz w:val="32"/>
          <w:szCs w:val="32"/>
          <w14:textFill>
            <w14:solidFill>
              <w14:schemeClr w14:val="tx1"/>
            </w14:solidFill>
          </w14:textFill>
        </w:rPr>
        <w:t>比上年预算数</w:t>
      </w:r>
      <w:r>
        <w:rPr>
          <w:rFonts w:hint="eastAsia" w:ascii="仿宋_GB2312" w:hAnsi="黑体" w:eastAsia="仿宋_GB2312"/>
          <w:color w:val="000000" w:themeColor="text1"/>
          <w:sz w:val="32"/>
          <w:szCs w:val="32"/>
          <w:lang w:val="en-US" w:eastAsia="zh-CN"/>
          <w14:textFill>
            <w14:solidFill>
              <w14:schemeClr w14:val="tx1"/>
            </w14:solidFill>
          </w14:textFill>
        </w:rPr>
        <w:t>增加2.56</w:t>
      </w:r>
      <w:r>
        <w:rPr>
          <w:rFonts w:hint="eastAsia" w:ascii="仿宋_GB2312" w:hAnsi="黑体" w:eastAsia="仿宋_GB2312"/>
          <w:color w:val="000000" w:themeColor="text1"/>
          <w:sz w:val="32"/>
          <w:szCs w:val="32"/>
          <w14:textFill>
            <w14:solidFill>
              <w14:schemeClr w14:val="tx1"/>
            </w14:solidFill>
          </w14:textFill>
        </w:rPr>
        <w:t>万元，主要是</w:t>
      </w:r>
      <w:r>
        <w:rPr>
          <w:rFonts w:hint="eastAsia" w:ascii="仿宋_GB2312" w:hAnsi="黑体" w:eastAsia="仿宋_GB2312"/>
          <w:color w:val="000000" w:themeColor="text1"/>
          <w:sz w:val="32"/>
          <w:szCs w:val="32"/>
          <w:lang w:val="en-US" w:eastAsia="zh-CN"/>
          <w14:textFill>
            <w14:solidFill>
              <w14:schemeClr w14:val="tx1"/>
            </w14:solidFill>
          </w14:textFill>
        </w:rPr>
        <w:t>人员工资福利增加。</w:t>
      </w:r>
    </w:p>
    <w:p>
      <w:pPr>
        <w:ind w:firstLine="640" w:firstLineChars="200"/>
        <w:rPr>
          <w:rFonts w:hint="default" w:ascii="仿宋_GB2312" w:hAnsi="黑体" w:eastAsia="仿宋_GB2312"/>
          <w:color w:val="000000" w:themeColor="text1"/>
          <w:sz w:val="32"/>
          <w:szCs w:val="32"/>
          <w:lang w:val="en-US" w:eastAsia="zh-CN"/>
          <w14:textFill>
            <w14:solidFill>
              <w14:schemeClr w14:val="tx1"/>
            </w14:solidFill>
          </w14:textFill>
        </w:rPr>
      </w:pPr>
      <w:r>
        <w:rPr>
          <w:rFonts w:hint="eastAsia" w:ascii="仿宋_GB2312" w:hAnsi="黑体" w:eastAsia="仿宋_GB2312"/>
          <w:sz w:val="32"/>
          <w:szCs w:val="32"/>
        </w:rPr>
        <w:t>2.</w:t>
      </w:r>
      <w:r>
        <w:rPr>
          <w:rFonts w:hint="eastAsia" w:ascii="仿宋_GB2312" w:hAnsi="黑体" w:eastAsia="仿宋_GB2312" w:cs="仿宋_GB2312"/>
          <w:sz w:val="32"/>
          <w:szCs w:val="32"/>
        </w:rPr>
        <w:t>社会保障和就业支出（类）行政事业单位养老支出（款）机关事业单位基本养老保险缴费支出（项）202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24.24</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增加0.65</w:t>
      </w:r>
      <w:r>
        <w:rPr>
          <w:rFonts w:hint="eastAsia" w:ascii="仿宋_GB2312" w:hAnsi="黑体" w:eastAsia="仿宋_GB2312"/>
          <w:sz w:val="32"/>
          <w:szCs w:val="32"/>
        </w:rPr>
        <w:t>万元，</w:t>
      </w:r>
      <w:r>
        <w:rPr>
          <w:rFonts w:hint="eastAsia" w:ascii="仿宋_GB2312" w:hAnsi="黑体" w:eastAsia="仿宋_GB2312"/>
          <w:color w:val="000000" w:themeColor="text1"/>
          <w:sz w:val="32"/>
          <w:szCs w:val="32"/>
          <w14:textFill>
            <w14:solidFill>
              <w14:schemeClr w14:val="tx1"/>
            </w14:solidFill>
          </w14:textFill>
        </w:rPr>
        <w:t>主要是</w:t>
      </w:r>
      <w:r>
        <w:rPr>
          <w:rFonts w:hint="eastAsia" w:ascii="仿宋_GB2312" w:hAnsi="黑体" w:eastAsia="仿宋_GB2312"/>
          <w:color w:val="000000" w:themeColor="text1"/>
          <w:sz w:val="32"/>
          <w:szCs w:val="32"/>
          <w:lang w:val="en-US" w:eastAsia="zh-CN"/>
          <w14:textFill>
            <w14:solidFill>
              <w14:schemeClr w14:val="tx1"/>
            </w14:solidFill>
          </w14:textFill>
        </w:rPr>
        <w:t>人员工资福利增加。</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rPr>
        <w:t>3.</w:t>
      </w:r>
      <w:r>
        <w:rPr>
          <w:rFonts w:hint="eastAsia" w:ascii="仿宋_GB2312" w:hAnsi="黑体" w:eastAsia="仿宋_GB2312" w:cs="仿宋_GB2312"/>
          <w:sz w:val="32"/>
          <w:szCs w:val="32"/>
        </w:rPr>
        <w:t>卫生健康支出（类）行政事业单位医疗（款）事业单位医疗（项）202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18.09</w:t>
      </w:r>
      <w:r>
        <w:rPr>
          <w:rFonts w:hint="eastAsia" w:ascii="仿宋_GB2312" w:hAnsi="黑体" w:eastAsia="仿宋_GB2312"/>
          <w:sz w:val="32"/>
          <w:szCs w:val="32"/>
        </w:rPr>
        <w:t>万元，比上年预算</w:t>
      </w:r>
      <w:r>
        <w:rPr>
          <w:rFonts w:hint="eastAsia" w:ascii="仿宋_GB2312" w:hAnsi="黑体" w:eastAsia="仿宋_GB2312"/>
          <w:sz w:val="32"/>
          <w:szCs w:val="32"/>
          <w:lang w:val="en-US" w:eastAsia="zh-CN"/>
        </w:rPr>
        <w:t>减少1.1</w:t>
      </w:r>
      <w:r>
        <w:rPr>
          <w:rFonts w:hint="eastAsia" w:ascii="仿宋_GB2312" w:hAnsi="黑体" w:eastAsia="仿宋_GB2312"/>
          <w:sz w:val="32"/>
          <w:szCs w:val="32"/>
        </w:rPr>
        <w:t>万元</w:t>
      </w:r>
      <w:r>
        <w:rPr>
          <w:rFonts w:hint="eastAsia" w:ascii="仿宋_GB2312" w:hAnsi="黑体" w:eastAsia="仿宋_GB2312"/>
          <w:sz w:val="32"/>
          <w:szCs w:val="32"/>
          <w:lang w:eastAsia="zh-CN"/>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4.</w:t>
      </w:r>
      <w:r>
        <w:rPr>
          <w:rFonts w:hint="eastAsia" w:ascii="仿宋_GB2312" w:hAnsi="黑体" w:eastAsia="仿宋_GB2312" w:cs="仿宋_GB2312"/>
          <w:sz w:val="32"/>
          <w:szCs w:val="32"/>
        </w:rPr>
        <w:t>住房保障支出（类）住房改革支出（款）住房公积金（项）202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14.50</w:t>
      </w:r>
      <w:r>
        <w:rPr>
          <w:rFonts w:hint="eastAsia" w:ascii="仿宋_GB2312" w:hAnsi="黑体" w:eastAsia="仿宋_GB2312"/>
          <w:sz w:val="32"/>
          <w:szCs w:val="32"/>
        </w:rPr>
        <w:t>万元，比上年预算数</w:t>
      </w:r>
      <w:r>
        <w:rPr>
          <w:rFonts w:hint="eastAsia" w:ascii="仿宋_GB2312" w:hAnsi="黑体" w:eastAsia="仿宋_GB2312"/>
          <w:sz w:val="32"/>
          <w:szCs w:val="32"/>
          <w:lang w:eastAsia="zh-CN"/>
        </w:rPr>
        <w:t>增加</w:t>
      </w:r>
      <w:r>
        <w:rPr>
          <w:rFonts w:hint="eastAsia" w:ascii="仿宋_GB2312" w:hAnsi="黑体" w:eastAsia="仿宋_GB2312"/>
          <w:sz w:val="32"/>
          <w:szCs w:val="32"/>
          <w:lang w:val="en-US" w:eastAsia="zh-CN"/>
        </w:rPr>
        <w:t>0.63</w:t>
      </w:r>
      <w:r>
        <w:rPr>
          <w:rFonts w:hint="eastAsia" w:ascii="仿宋_GB2312" w:hAnsi="黑体" w:eastAsia="仿宋_GB2312"/>
          <w:sz w:val="32"/>
          <w:szCs w:val="32"/>
        </w:rPr>
        <w:t>万元，</w:t>
      </w:r>
      <w:r>
        <w:rPr>
          <w:rFonts w:hint="eastAsia" w:ascii="仿宋_GB2312" w:hAnsi="黑体" w:eastAsia="仿宋_GB2312"/>
          <w:color w:val="000000" w:themeColor="text1"/>
          <w:sz w:val="32"/>
          <w:szCs w:val="32"/>
          <w14:textFill>
            <w14:solidFill>
              <w14:schemeClr w14:val="tx1"/>
            </w14:solidFill>
          </w14:textFill>
        </w:rPr>
        <w:t>主要是</w:t>
      </w:r>
      <w:r>
        <w:rPr>
          <w:rFonts w:hint="eastAsia" w:ascii="仿宋_GB2312" w:hAnsi="黑体" w:eastAsia="仿宋_GB2312"/>
          <w:color w:val="000000" w:themeColor="text1"/>
          <w:sz w:val="32"/>
          <w:szCs w:val="32"/>
          <w:lang w:val="en-US" w:eastAsia="zh-CN"/>
          <w14:textFill>
            <w14:solidFill>
              <w14:schemeClr w14:val="tx1"/>
            </w14:solidFill>
          </w14:textFill>
        </w:rPr>
        <w:t>人员工资福利增加。</w:t>
      </w:r>
    </w:p>
    <w:p>
      <w:pPr>
        <w:ind w:firstLine="640"/>
        <w:rPr>
          <w:rFonts w:hint="eastAsia" w:ascii="黑体" w:hAnsi="黑体" w:eastAsia="黑体" w:cs="黑体"/>
          <w:sz w:val="32"/>
          <w:szCs w:val="32"/>
        </w:rPr>
      </w:pPr>
      <w:r>
        <w:rPr>
          <w:rFonts w:hint="eastAsia" w:ascii="黑体" w:hAnsi="黑体" w:eastAsia="黑体"/>
          <w:sz w:val="32"/>
          <w:szCs w:val="32"/>
        </w:rPr>
        <w:t>三、关</w:t>
      </w:r>
      <w:r>
        <w:rPr>
          <w:rFonts w:hint="eastAsia" w:ascii="黑体" w:hAnsi="黑体" w:eastAsia="黑体" w:cs="黑体"/>
          <w:sz w:val="32"/>
          <w:szCs w:val="32"/>
        </w:rPr>
        <w:t>于屯昌县南坤镇</w:t>
      </w:r>
      <w:r>
        <w:rPr>
          <w:rFonts w:hint="eastAsia" w:ascii="黑体" w:hAnsi="黑体" w:eastAsia="黑体" w:cs="黑体"/>
          <w:sz w:val="32"/>
          <w:szCs w:val="32"/>
          <w:lang w:val="en-US" w:eastAsia="zh-CN"/>
        </w:rPr>
        <w:t>藤寨</w:t>
      </w:r>
      <w:r>
        <w:rPr>
          <w:rFonts w:hint="eastAsia" w:ascii="黑体" w:hAnsi="黑体" w:eastAsia="黑体" w:cs="黑体"/>
          <w:sz w:val="32"/>
          <w:szCs w:val="32"/>
        </w:rPr>
        <w:t>幼儿园202</w:t>
      </w:r>
      <w:r>
        <w:rPr>
          <w:rFonts w:hint="eastAsia" w:ascii="黑体" w:hAnsi="黑体" w:eastAsia="黑体" w:cs="黑体"/>
          <w:sz w:val="32"/>
          <w:szCs w:val="32"/>
          <w:lang w:val="en-US" w:eastAsia="zh-CN"/>
        </w:rPr>
        <w:t>5</w:t>
      </w:r>
      <w:r>
        <w:rPr>
          <w:rFonts w:hint="eastAsia" w:ascii="黑体" w:hAnsi="黑体" w:eastAsia="黑体" w:cs="黑体"/>
          <w:sz w:val="32"/>
          <w:szCs w:val="32"/>
        </w:rPr>
        <w:t>年一般公共预算基本支出情况说明</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屯昌县南坤镇</w:t>
      </w:r>
      <w:r>
        <w:rPr>
          <w:rFonts w:hint="eastAsia" w:ascii="仿宋_GB2312" w:hAnsi="黑体" w:eastAsia="仿宋_GB2312"/>
          <w:sz w:val="32"/>
          <w:szCs w:val="32"/>
          <w:lang w:val="en-US" w:eastAsia="zh-CN"/>
        </w:rPr>
        <w:t>藤寨</w:t>
      </w:r>
      <w:r>
        <w:rPr>
          <w:rFonts w:hint="eastAsia" w:ascii="仿宋_GB2312" w:hAnsi="黑体" w:eastAsia="仿宋_GB2312"/>
          <w:sz w:val="32"/>
          <w:szCs w:val="32"/>
        </w:rPr>
        <w:t>幼儿园202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lang w:val="en-US" w:eastAsia="zh-CN"/>
        </w:rPr>
        <w:t>184.93</w:t>
      </w:r>
      <w:r>
        <w:rPr>
          <w:rFonts w:hint="eastAsia" w:ascii="仿宋_GB2312" w:hAnsi="黑体" w:eastAsia="仿宋_GB2312"/>
          <w:sz w:val="32"/>
          <w:szCs w:val="32"/>
        </w:rPr>
        <w:t>万元，其中：</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sz w:val="32"/>
          <w:szCs w:val="32"/>
          <w:lang w:val="en-US" w:eastAsia="zh-CN"/>
        </w:rPr>
        <w:t>183.71</w:t>
      </w:r>
      <w:r>
        <w:rPr>
          <w:rFonts w:hint="eastAsia" w:ascii="仿宋_GB2312" w:hAnsi="黑体" w:eastAsia="仿宋_GB2312"/>
          <w:sz w:val="32"/>
          <w:szCs w:val="32"/>
        </w:rPr>
        <w:t>万元，主要包括：基本工资、津贴补贴、奖金、绩效工资、机关事业单位基本养老保险缴费、城镇职工基本医疗保险缴费、公务员医疗补助缴费、其他社会保障缴费、住房公积金、医疗费等;</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公用经费1.23万元，主要包括：工会经费。</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rPr>
        <w:t>关</w:t>
      </w:r>
      <w:r>
        <w:rPr>
          <w:rFonts w:hint="eastAsia" w:ascii="黑体" w:hAnsi="黑体" w:eastAsia="黑体" w:cs="黑体"/>
          <w:sz w:val="32"/>
          <w:szCs w:val="32"/>
        </w:rPr>
        <w:t>于屯昌县南坤镇</w:t>
      </w:r>
      <w:r>
        <w:rPr>
          <w:rFonts w:hint="eastAsia" w:ascii="黑体" w:hAnsi="黑体" w:eastAsia="黑体" w:cs="黑体"/>
          <w:sz w:val="32"/>
          <w:szCs w:val="32"/>
          <w:lang w:val="en-US" w:eastAsia="zh-CN"/>
        </w:rPr>
        <w:t>藤寨</w:t>
      </w:r>
      <w:r>
        <w:rPr>
          <w:rFonts w:hint="eastAsia" w:ascii="黑体" w:hAnsi="黑体" w:eastAsia="黑体" w:cs="黑体"/>
          <w:sz w:val="32"/>
          <w:szCs w:val="32"/>
        </w:rPr>
        <w:t>幼儿园202</w:t>
      </w:r>
      <w:r>
        <w:rPr>
          <w:rFonts w:hint="eastAsia" w:ascii="黑体" w:hAnsi="黑体" w:eastAsia="黑体" w:cs="黑体"/>
          <w:sz w:val="32"/>
          <w:szCs w:val="32"/>
          <w:lang w:val="en-US" w:eastAsia="zh-CN"/>
        </w:rPr>
        <w:t>5</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屯昌县南坤镇</w:t>
      </w:r>
      <w:r>
        <w:rPr>
          <w:rFonts w:hint="eastAsia" w:ascii="仿宋_GB2312" w:hAnsi="黑体" w:eastAsia="仿宋_GB2312"/>
          <w:sz w:val="32"/>
          <w:szCs w:val="32"/>
          <w:lang w:val="en-US" w:eastAsia="zh-CN"/>
        </w:rPr>
        <w:t>藤寨</w:t>
      </w:r>
      <w:r>
        <w:rPr>
          <w:rFonts w:hint="eastAsia" w:ascii="仿宋_GB2312" w:hAnsi="黑体" w:eastAsia="仿宋_GB2312"/>
          <w:sz w:val="32"/>
          <w:szCs w:val="32"/>
        </w:rPr>
        <w:t>幼儿园202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pPr>
        <w:ind w:firstLine="640" w:firstLineChars="200"/>
        <w:rPr>
          <w:rFonts w:ascii="Times New Roman" w:hAnsi="Times New Roman" w:eastAsia="仿宋_GB2312" w:cs="Times New Roman"/>
          <w:sz w:val="32"/>
          <w:shd w:val="clear" w:color="auto" w:fill="FFFFFF"/>
        </w:rPr>
      </w:pPr>
      <w:r>
        <w:rPr>
          <w:rFonts w:hint="eastAsia" w:ascii="仿宋_GB2312" w:hAnsi="黑体" w:eastAsia="仿宋_GB2312"/>
          <w:sz w:val="32"/>
          <w:szCs w:val="32"/>
        </w:rPr>
        <w:t>屯昌县南坤镇</w:t>
      </w:r>
      <w:r>
        <w:rPr>
          <w:rFonts w:hint="eastAsia" w:ascii="仿宋_GB2312" w:hAnsi="黑体" w:eastAsia="仿宋_GB2312"/>
          <w:sz w:val="32"/>
          <w:szCs w:val="32"/>
          <w:lang w:val="en-US" w:eastAsia="zh-CN"/>
        </w:rPr>
        <w:t>藤寨</w:t>
      </w:r>
      <w:r>
        <w:rPr>
          <w:rFonts w:hint="eastAsia" w:ascii="仿宋_GB2312" w:hAnsi="黑体" w:eastAsia="仿宋_GB2312"/>
          <w:sz w:val="32"/>
          <w:szCs w:val="32"/>
        </w:rPr>
        <w:t>幼儿园202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cs="黑体"/>
          <w:sz w:val="32"/>
          <w:szCs w:val="32"/>
        </w:rPr>
        <w:t>屯昌县南坤镇</w:t>
      </w:r>
      <w:r>
        <w:rPr>
          <w:rFonts w:hint="eastAsia" w:ascii="黑体" w:hAnsi="黑体" w:eastAsia="黑体" w:cs="黑体"/>
          <w:sz w:val="32"/>
          <w:szCs w:val="32"/>
          <w:lang w:val="en-US" w:eastAsia="zh-CN"/>
        </w:rPr>
        <w:t>藤寨</w:t>
      </w:r>
      <w:r>
        <w:rPr>
          <w:rFonts w:hint="eastAsia" w:ascii="黑体" w:hAnsi="黑体" w:eastAsia="黑体" w:cs="黑体"/>
          <w:sz w:val="32"/>
          <w:szCs w:val="32"/>
        </w:rPr>
        <w:t>幼儿园202</w:t>
      </w:r>
      <w:r>
        <w:rPr>
          <w:rFonts w:hint="eastAsia" w:ascii="黑体" w:hAnsi="黑体" w:eastAsia="黑体" w:cs="黑体"/>
          <w:sz w:val="32"/>
          <w:szCs w:val="32"/>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屯昌县南坤镇</w:t>
      </w:r>
      <w:r>
        <w:rPr>
          <w:rFonts w:hint="eastAsia" w:ascii="仿宋_GB2312" w:hAnsi="黑体" w:eastAsia="仿宋_GB2312"/>
          <w:sz w:val="32"/>
          <w:szCs w:val="32"/>
          <w:lang w:val="en-US" w:eastAsia="zh-CN"/>
        </w:rPr>
        <w:t>藤寨</w:t>
      </w:r>
      <w:r>
        <w:rPr>
          <w:rFonts w:hint="eastAsia" w:ascii="仿宋_GB2312" w:hAnsi="黑体" w:eastAsia="仿宋_GB2312"/>
          <w:sz w:val="32"/>
          <w:szCs w:val="32"/>
        </w:rPr>
        <w:t>幼儿园202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rPr>
        <w:t>0</w:t>
      </w:r>
      <w:r>
        <w:rPr>
          <w:rFonts w:hint="eastAsia" w:ascii="仿宋_GB2312" w:hAnsi="黑体" w:eastAsia="仿宋_GB2312"/>
          <w:sz w:val="32"/>
          <w:szCs w:val="32"/>
        </w:rPr>
        <w:t>万元，与上年预算数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p>
    <w:p>
      <w:pPr>
        <w:numPr>
          <w:ilvl w:val="0"/>
          <w:numId w:val="4"/>
        </w:numPr>
        <w:ind w:left="-10" w:leftChars="0" w:firstLine="640" w:firstLineChars="0"/>
        <w:jc w:val="left"/>
        <w:rPr>
          <w:rFonts w:hint="eastAsia" w:ascii="楷体" w:hAnsi="楷体" w:eastAsia="楷体"/>
          <w:sz w:val="32"/>
          <w:szCs w:val="32"/>
        </w:rPr>
      </w:pPr>
      <w:r>
        <w:rPr>
          <w:rFonts w:hint="eastAsia" w:ascii="楷体" w:hAnsi="楷体" w:eastAsia="楷体"/>
          <w:sz w:val="32"/>
          <w:szCs w:val="32"/>
        </w:rPr>
        <w:t>政府性基金预算当年拨款结构情况</w:t>
      </w:r>
    </w:p>
    <w:p>
      <w:pPr>
        <w:numPr>
          <w:ilvl w:val="0"/>
          <w:numId w:val="0"/>
        </w:numPr>
        <w:ind w:firstLine="640" w:firstLineChars="200"/>
        <w:jc w:val="left"/>
        <w:rPr>
          <w:rFonts w:ascii="仿宋_GB2312" w:hAnsi="黑体" w:eastAsia="仿宋_GB2312"/>
          <w:sz w:val="32"/>
          <w:szCs w:val="32"/>
        </w:rPr>
      </w:pPr>
      <w:r>
        <w:rPr>
          <w:rFonts w:hint="eastAsia" w:ascii="仿宋_GB2312" w:hAnsi="黑体" w:eastAsia="仿宋_GB2312" w:cs="仿宋_GB2312"/>
          <w:sz w:val="32"/>
          <w:szCs w:val="32"/>
        </w:rPr>
        <w:t>无</w:t>
      </w:r>
      <w:r>
        <w:rPr>
          <w:rFonts w:hint="eastAsia" w:ascii="仿宋_GB2312" w:hAnsi="黑体" w:eastAsia="仿宋_GB2312"/>
          <w:sz w:val="32"/>
          <w:szCs w:val="32"/>
        </w:rPr>
        <w:t>。</w:t>
      </w:r>
    </w:p>
    <w:p>
      <w:pPr>
        <w:numPr>
          <w:ilvl w:val="0"/>
          <w:numId w:val="5"/>
        </w:numPr>
        <w:ind w:firstLine="640"/>
        <w:jc w:val="left"/>
        <w:rPr>
          <w:rFonts w:hint="eastAsia" w:ascii="楷体" w:hAnsi="楷体" w:eastAsia="楷体"/>
          <w:sz w:val="32"/>
          <w:szCs w:val="32"/>
        </w:rPr>
      </w:pPr>
      <w:r>
        <w:rPr>
          <w:rFonts w:hint="eastAsia" w:ascii="楷体" w:hAnsi="楷体" w:eastAsia="楷体"/>
          <w:sz w:val="32"/>
          <w:szCs w:val="32"/>
        </w:rPr>
        <w:t>政府性基金预算当年拨款具体使用情况</w:t>
      </w:r>
    </w:p>
    <w:p>
      <w:pPr>
        <w:numPr>
          <w:ilvl w:val="0"/>
          <w:numId w:val="0"/>
        </w:numPr>
        <w:ind w:firstLine="640" w:firstLineChars="200"/>
        <w:jc w:val="left"/>
        <w:rPr>
          <w:rFonts w:ascii="仿宋_GB2312" w:hAnsi="黑体" w:eastAsia="仿宋_GB2312"/>
          <w:sz w:val="32"/>
          <w:szCs w:val="32"/>
        </w:rPr>
      </w:pPr>
      <w:r>
        <w:rPr>
          <w:rFonts w:hint="eastAsia" w:ascii="仿宋_GB2312" w:hAnsi="黑体" w:eastAsia="仿宋_GB2312" w:cs="仿宋_GB2312"/>
          <w:sz w:val="32"/>
          <w:szCs w:val="32"/>
        </w:rPr>
        <w:t>无</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cs="黑体"/>
          <w:sz w:val="32"/>
          <w:szCs w:val="32"/>
        </w:rPr>
        <w:t>屯昌县南坤镇</w:t>
      </w:r>
      <w:r>
        <w:rPr>
          <w:rFonts w:hint="eastAsia" w:ascii="黑体" w:hAnsi="黑体" w:eastAsia="黑体" w:cs="黑体"/>
          <w:sz w:val="32"/>
          <w:szCs w:val="32"/>
          <w:lang w:val="en-US" w:eastAsia="zh-CN"/>
        </w:rPr>
        <w:t>藤寨</w:t>
      </w:r>
      <w:r>
        <w:rPr>
          <w:rFonts w:hint="eastAsia" w:ascii="黑体" w:hAnsi="黑体" w:eastAsia="黑体" w:cs="黑体"/>
          <w:sz w:val="32"/>
          <w:szCs w:val="32"/>
        </w:rPr>
        <w:t>幼儿园202</w:t>
      </w:r>
      <w:r>
        <w:rPr>
          <w:rFonts w:hint="eastAsia" w:ascii="黑体" w:hAnsi="黑体" w:eastAsia="黑体" w:cs="黑体"/>
          <w:sz w:val="32"/>
          <w:szCs w:val="32"/>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sz w:val="32"/>
          <w:szCs w:val="32"/>
        </w:rPr>
        <w:t>屯昌县南坤镇</w:t>
      </w:r>
      <w:r>
        <w:rPr>
          <w:rFonts w:hint="eastAsia" w:ascii="仿宋_GB2312" w:hAnsi="黑体" w:eastAsia="仿宋_GB2312"/>
          <w:sz w:val="32"/>
          <w:szCs w:val="32"/>
          <w:lang w:val="en-US" w:eastAsia="zh-CN"/>
        </w:rPr>
        <w:t>藤寨</w:t>
      </w:r>
      <w:r>
        <w:rPr>
          <w:rFonts w:hint="eastAsia" w:ascii="仿宋_GB2312" w:hAnsi="黑体" w:eastAsia="仿宋_GB2312"/>
          <w:sz w:val="32"/>
          <w:szCs w:val="32"/>
        </w:rPr>
        <w:t>幼儿园</w:t>
      </w:r>
      <w:r>
        <w:rPr>
          <w:rFonts w:hint="eastAsia" w:ascii="仿宋_GB2312" w:hAnsi="黑体" w:eastAsia="仿宋_GB2312" w:cs="仿宋_GB2312"/>
          <w:sz w:val="32"/>
          <w:szCs w:val="32"/>
        </w:rPr>
        <w:t>所有收入和支出均纳入部门预算管理。收入包括：一般公共预算收入、上年结转收入</w:t>
      </w:r>
      <w:r>
        <w:rPr>
          <w:rFonts w:hint="eastAsia" w:ascii="仿宋_GB2312" w:hAnsi="黑体" w:eastAsia="仿宋_GB2312"/>
          <w:sz w:val="32"/>
          <w:szCs w:val="32"/>
        </w:rPr>
        <w:t>；支出包括：教育支出、社会保障和就业支出、卫生健康支出、住房保障支出。屯昌县南坤镇加握幼儿园</w:t>
      </w:r>
      <w:r>
        <w:rPr>
          <w:rFonts w:hint="eastAsia" w:ascii="仿宋_GB2312" w:hAnsi="黑体" w:eastAsia="仿宋_GB2312" w:cs="仿宋_GB2312"/>
          <w:sz w:val="32"/>
          <w:szCs w:val="32"/>
        </w:rPr>
        <w:t>20</w:t>
      </w:r>
      <w:r>
        <w:rPr>
          <w:rFonts w:hint="eastAsia" w:ascii="仿宋_GB2312" w:hAnsi="黑体" w:eastAsia="仿宋_GB2312" w:cs="仿宋_GB2312"/>
          <w:sz w:val="32"/>
          <w:szCs w:val="32"/>
          <w:lang w:val="en-US" w:eastAsia="zh-CN"/>
        </w:rPr>
        <w:t>25</w:t>
      </w:r>
      <w:r>
        <w:rPr>
          <w:rFonts w:hint="eastAsia" w:ascii="仿宋_GB2312" w:hAnsi="黑体" w:eastAsia="仿宋_GB2312"/>
          <w:sz w:val="32"/>
          <w:szCs w:val="32"/>
        </w:rPr>
        <w:t>年收支总预算</w:t>
      </w:r>
      <w:r>
        <w:rPr>
          <w:rFonts w:hint="eastAsia" w:ascii="仿宋_GB2312" w:hAnsi="黑体" w:eastAsia="仿宋_GB2312" w:cs="仿宋_GB2312"/>
          <w:sz w:val="32"/>
          <w:szCs w:val="32"/>
          <w:lang w:val="en-US" w:eastAsia="zh-CN"/>
        </w:rPr>
        <w:t>187.84</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w:t>
      </w:r>
      <w:r>
        <w:rPr>
          <w:rFonts w:hint="eastAsia" w:ascii="黑体" w:hAnsi="黑体" w:eastAsia="黑体"/>
          <w:sz w:val="32"/>
          <w:szCs w:val="32"/>
        </w:rPr>
        <w:t>关</w:t>
      </w:r>
      <w:r>
        <w:rPr>
          <w:rFonts w:hint="eastAsia" w:ascii="黑体" w:hAnsi="黑体" w:eastAsia="黑体" w:cs="黑体"/>
          <w:sz w:val="32"/>
          <w:szCs w:val="32"/>
        </w:rPr>
        <w:t>于屯昌县南坤镇</w:t>
      </w:r>
      <w:r>
        <w:rPr>
          <w:rFonts w:hint="eastAsia" w:ascii="黑体" w:hAnsi="黑体" w:eastAsia="黑体" w:cs="黑体"/>
          <w:sz w:val="32"/>
          <w:szCs w:val="32"/>
          <w:lang w:val="en-US" w:eastAsia="zh-CN"/>
        </w:rPr>
        <w:t>藤寨</w:t>
      </w:r>
      <w:r>
        <w:rPr>
          <w:rFonts w:hint="eastAsia" w:ascii="黑体" w:hAnsi="黑体" w:eastAsia="黑体" w:cs="黑体"/>
          <w:sz w:val="32"/>
          <w:szCs w:val="32"/>
        </w:rPr>
        <w:t>幼儿园202</w:t>
      </w:r>
      <w:r>
        <w:rPr>
          <w:rFonts w:hint="eastAsia" w:ascii="黑体" w:hAnsi="黑体" w:eastAsia="黑体" w:cs="黑体"/>
          <w:sz w:val="32"/>
          <w:szCs w:val="32"/>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hint="default" w:ascii="仿宋_GB2312" w:hAnsi="黑体" w:eastAsia="仿宋_GB2312"/>
          <w:color w:val="000000" w:themeColor="text1"/>
          <w:sz w:val="32"/>
          <w:szCs w:val="32"/>
          <w:lang w:val="en-US" w:eastAsia="zh-CN"/>
          <w14:textFill>
            <w14:solidFill>
              <w14:schemeClr w14:val="tx1"/>
            </w14:solidFill>
          </w14:textFill>
        </w:rPr>
      </w:pPr>
      <w:r>
        <w:rPr>
          <w:rFonts w:hint="eastAsia" w:ascii="仿宋_GB2312" w:hAnsi="黑体" w:eastAsia="仿宋_GB2312"/>
          <w:sz w:val="32"/>
          <w:szCs w:val="32"/>
        </w:rPr>
        <w:t>屯昌县南坤镇</w:t>
      </w:r>
      <w:r>
        <w:rPr>
          <w:rFonts w:hint="eastAsia" w:ascii="仿宋_GB2312" w:hAnsi="黑体" w:eastAsia="仿宋_GB2312"/>
          <w:sz w:val="32"/>
          <w:szCs w:val="32"/>
          <w:lang w:val="en-US" w:eastAsia="zh-CN"/>
        </w:rPr>
        <w:t>藤寨</w:t>
      </w:r>
      <w:r>
        <w:rPr>
          <w:rFonts w:hint="eastAsia" w:ascii="仿宋_GB2312" w:hAnsi="黑体" w:eastAsia="仿宋_GB2312"/>
          <w:sz w:val="32"/>
          <w:szCs w:val="32"/>
        </w:rPr>
        <w:t>幼儿园</w:t>
      </w:r>
      <w:r>
        <w:rPr>
          <w:rFonts w:hint="eastAsia" w:ascii="仿宋_GB2312" w:hAnsi="黑体" w:eastAsia="仿宋_GB2312" w:cs="仿宋_GB2312"/>
          <w:sz w:val="32"/>
          <w:szCs w:val="32"/>
        </w:rPr>
        <w:t>20</w:t>
      </w:r>
      <w:r>
        <w:rPr>
          <w:rFonts w:hint="eastAsia" w:ascii="仿宋_GB2312" w:hAnsi="黑体" w:eastAsia="仿宋_GB2312" w:cs="仿宋_GB2312"/>
          <w:sz w:val="32"/>
          <w:szCs w:val="32"/>
          <w:lang w:val="en-US" w:eastAsia="zh-CN"/>
        </w:rPr>
        <w:t>25</w:t>
      </w:r>
      <w:r>
        <w:rPr>
          <w:rFonts w:hint="eastAsia" w:ascii="仿宋_GB2312" w:hAnsi="黑体" w:eastAsia="仿宋_GB2312"/>
          <w:sz w:val="32"/>
          <w:szCs w:val="32"/>
        </w:rPr>
        <w:t>年收入预算</w:t>
      </w:r>
      <w:r>
        <w:rPr>
          <w:rFonts w:hint="eastAsia" w:ascii="仿宋_GB2312" w:hAnsi="黑体" w:eastAsia="仿宋_GB2312" w:cs="仿宋_GB2312"/>
          <w:sz w:val="32"/>
          <w:szCs w:val="32"/>
          <w:lang w:val="en-US" w:eastAsia="zh-CN"/>
        </w:rPr>
        <w:t>187.84</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2.73</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1.45</w:t>
      </w:r>
      <w:r>
        <w:rPr>
          <w:rFonts w:hint="eastAsia" w:ascii="仿宋_GB2312" w:hAnsi="黑体" w:eastAsia="仿宋_GB2312"/>
          <w:sz w:val="32"/>
          <w:szCs w:val="32"/>
        </w:rPr>
        <w:t>%；一般公共预算收入</w:t>
      </w:r>
      <w:r>
        <w:rPr>
          <w:rFonts w:hint="eastAsia" w:ascii="仿宋_GB2312" w:hAnsi="黑体" w:eastAsia="仿宋_GB2312" w:cs="仿宋_GB2312"/>
          <w:sz w:val="32"/>
          <w:szCs w:val="32"/>
          <w:lang w:val="en-US" w:eastAsia="zh-CN"/>
        </w:rPr>
        <w:t>185.11</w:t>
      </w:r>
      <w:r>
        <w:rPr>
          <w:rFonts w:hint="eastAsia" w:ascii="仿宋_GB2312" w:hAnsi="黑体" w:eastAsia="仿宋_GB2312"/>
          <w:sz w:val="32"/>
          <w:szCs w:val="32"/>
        </w:rPr>
        <w:t>万元，占</w:t>
      </w:r>
      <w:r>
        <w:rPr>
          <w:rFonts w:hint="eastAsia" w:ascii="仿宋_GB2312" w:hAnsi="黑体" w:eastAsia="仿宋_GB2312" w:cs="仿宋_GB2312"/>
          <w:color w:val="auto"/>
          <w:sz w:val="32"/>
          <w:szCs w:val="32"/>
          <w:lang w:val="en-US" w:eastAsia="zh-CN"/>
        </w:rPr>
        <w:t>98.54</w:t>
      </w:r>
      <w:r>
        <w:rPr>
          <w:rFonts w:hint="eastAsia" w:ascii="仿宋_GB2312" w:hAnsi="黑体" w:eastAsia="仿宋_GB2312"/>
          <w:color w:val="auto"/>
          <w:sz w:val="32"/>
          <w:szCs w:val="32"/>
        </w:rPr>
        <w:t>%</w:t>
      </w:r>
      <w:r>
        <w:rPr>
          <w:rFonts w:hint="eastAsia" w:ascii="仿宋_GB2312" w:hAnsi="黑体" w:eastAsia="仿宋_GB2312"/>
          <w:sz w:val="32"/>
          <w:szCs w:val="32"/>
        </w:rPr>
        <w:t>。</w:t>
      </w:r>
      <w:r>
        <w:rPr>
          <w:rFonts w:hint="eastAsia" w:ascii="仿宋_GB2312" w:hAnsi="黑体" w:eastAsia="仿宋_GB2312"/>
          <w:color w:val="000000"/>
          <w:sz w:val="32"/>
          <w:szCs w:val="32"/>
        </w:rPr>
        <w:t>比上年预算数</w:t>
      </w:r>
      <w:r>
        <w:rPr>
          <w:rFonts w:hint="eastAsia" w:ascii="仿宋_GB2312" w:hAnsi="黑体" w:eastAsia="仿宋_GB2312"/>
          <w:color w:val="000000"/>
          <w:sz w:val="32"/>
          <w:szCs w:val="32"/>
          <w:lang w:val="en-US" w:eastAsia="zh-CN"/>
        </w:rPr>
        <w:t>增加</w:t>
      </w:r>
      <w:r>
        <w:rPr>
          <w:rFonts w:hint="eastAsia" w:ascii="仿宋_GB2312" w:hAnsi="黑体" w:eastAsia="仿宋_GB2312" w:cs="仿宋_GB2312"/>
          <w:color w:val="000000"/>
          <w:sz w:val="32"/>
          <w:szCs w:val="32"/>
          <w:lang w:eastAsia="zh-CN"/>
        </w:rPr>
        <w:t>，</w:t>
      </w:r>
      <w:r>
        <w:rPr>
          <w:rFonts w:hint="eastAsia" w:ascii="仿宋_GB2312" w:hAnsi="黑体" w:eastAsia="仿宋_GB2312"/>
          <w:color w:val="000000" w:themeColor="text1"/>
          <w:sz w:val="32"/>
          <w:szCs w:val="32"/>
          <w14:textFill>
            <w14:solidFill>
              <w14:schemeClr w14:val="tx1"/>
            </w14:solidFill>
          </w14:textFill>
        </w:rPr>
        <w:t>主要是</w:t>
      </w:r>
      <w:r>
        <w:rPr>
          <w:rFonts w:hint="eastAsia" w:ascii="仿宋_GB2312" w:hAnsi="黑体" w:eastAsia="仿宋_GB2312"/>
          <w:color w:val="000000" w:themeColor="text1"/>
          <w:sz w:val="32"/>
          <w:szCs w:val="32"/>
          <w:lang w:val="en-US" w:eastAsia="zh-CN"/>
          <w14:textFill>
            <w14:solidFill>
              <w14:schemeClr w14:val="tx1"/>
            </w14:solidFill>
          </w14:textFill>
        </w:rPr>
        <w:t>人员工资福利增加。</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黑体"/>
          <w:sz w:val="32"/>
          <w:szCs w:val="32"/>
        </w:rPr>
        <w:t>屯昌县南坤镇</w:t>
      </w:r>
      <w:r>
        <w:rPr>
          <w:rFonts w:hint="eastAsia" w:ascii="黑体" w:hAnsi="黑体" w:eastAsia="黑体" w:cs="黑体"/>
          <w:sz w:val="32"/>
          <w:szCs w:val="32"/>
          <w:lang w:val="en-US" w:eastAsia="zh-CN"/>
        </w:rPr>
        <w:t>藤寨</w:t>
      </w:r>
      <w:r>
        <w:rPr>
          <w:rFonts w:hint="eastAsia" w:ascii="黑体" w:hAnsi="黑体" w:eastAsia="黑体" w:cs="黑体"/>
          <w:sz w:val="32"/>
          <w:szCs w:val="32"/>
        </w:rPr>
        <w:t>幼儿园202</w:t>
      </w:r>
      <w:r>
        <w:rPr>
          <w:rFonts w:hint="eastAsia" w:ascii="黑体" w:hAnsi="黑体" w:eastAsia="黑体" w:cs="黑体"/>
          <w:sz w:val="32"/>
          <w:szCs w:val="32"/>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hint="default" w:ascii="仿宋_GB2312" w:hAnsi="黑体" w:eastAsia="仿宋_GB2312"/>
          <w:color w:val="000000" w:themeColor="text1"/>
          <w:sz w:val="32"/>
          <w:szCs w:val="32"/>
          <w:lang w:val="en-US" w:eastAsia="zh-CN"/>
          <w14:textFill>
            <w14:solidFill>
              <w14:schemeClr w14:val="tx1"/>
            </w14:solidFill>
          </w14:textFill>
        </w:rPr>
      </w:pPr>
      <w:r>
        <w:rPr>
          <w:rFonts w:hint="eastAsia" w:ascii="仿宋_GB2312" w:hAnsi="黑体" w:eastAsia="仿宋_GB2312"/>
          <w:sz w:val="32"/>
          <w:szCs w:val="32"/>
        </w:rPr>
        <w:t>屯昌县南坤镇</w:t>
      </w:r>
      <w:r>
        <w:rPr>
          <w:rFonts w:hint="eastAsia" w:ascii="仿宋_GB2312" w:hAnsi="黑体" w:eastAsia="仿宋_GB2312"/>
          <w:sz w:val="32"/>
          <w:szCs w:val="32"/>
          <w:lang w:val="en-US" w:eastAsia="zh-CN"/>
        </w:rPr>
        <w:t>藤寨</w:t>
      </w:r>
      <w:r>
        <w:rPr>
          <w:rFonts w:hint="eastAsia" w:ascii="仿宋_GB2312" w:hAnsi="黑体" w:eastAsia="仿宋_GB2312"/>
          <w:sz w:val="32"/>
          <w:szCs w:val="32"/>
        </w:rPr>
        <w:t>幼儿园</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年支出预算</w:t>
      </w:r>
      <w:r>
        <w:rPr>
          <w:rFonts w:hint="eastAsia" w:ascii="仿宋_GB2312" w:hAnsi="黑体" w:eastAsia="仿宋_GB2312" w:cs="仿宋_GB2312"/>
          <w:sz w:val="32"/>
          <w:szCs w:val="32"/>
          <w:lang w:val="en-US" w:eastAsia="zh-CN"/>
        </w:rPr>
        <w:t>187.84</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184.93</w:t>
      </w:r>
      <w:r>
        <w:rPr>
          <w:rFonts w:hint="eastAsia" w:ascii="仿宋_GB2312" w:hAnsi="黑体" w:eastAsia="仿宋_GB2312"/>
          <w:sz w:val="32"/>
          <w:szCs w:val="32"/>
        </w:rPr>
        <w:t>万元，占</w:t>
      </w:r>
      <w:r>
        <w:rPr>
          <w:rFonts w:hint="eastAsia" w:ascii="仿宋_GB2312" w:hAnsi="黑体" w:eastAsia="仿宋_GB2312" w:cs="仿宋_GB2312"/>
          <w:color w:val="000000" w:themeColor="text1"/>
          <w:sz w:val="32"/>
          <w:szCs w:val="32"/>
          <w:lang w:val="en-US" w:eastAsia="zh-CN"/>
          <w14:textFill>
            <w14:solidFill>
              <w14:schemeClr w14:val="tx1"/>
            </w14:solidFill>
          </w14:textFill>
        </w:rPr>
        <w:t>98.45</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2.9</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1.54</w:t>
      </w:r>
      <w:r>
        <w:rPr>
          <w:rFonts w:hint="eastAsia" w:ascii="仿宋_GB2312" w:hAnsi="黑体" w:eastAsia="仿宋_GB2312"/>
          <w:color w:val="auto"/>
          <w:sz w:val="32"/>
          <w:szCs w:val="32"/>
        </w:rPr>
        <w:t>%</w:t>
      </w:r>
      <w:r>
        <w:rPr>
          <w:rFonts w:hint="eastAsia" w:ascii="仿宋_GB2312" w:hAnsi="黑体" w:eastAsia="仿宋_GB2312"/>
          <w:sz w:val="32"/>
          <w:szCs w:val="32"/>
        </w:rPr>
        <w:t>。</w:t>
      </w:r>
      <w:r>
        <w:rPr>
          <w:rFonts w:hint="eastAsia" w:ascii="仿宋_GB2312" w:hAnsi="黑体" w:eastAsia="仿宋_GB2312"/>
          <w:color w:val="000000"/>
          <w:sz w:val="32"/>
          <w:szCs w:val="32"/>
        </w:rPr>
        <w:t>比上年预算数</w:t>
      </w:r>
      <w:r>
        <w:rPr>
          <w:rFonts w:hint="eastAsia" w:ascii="仿宋_GB2312" w:hAnsi="黑体" w:eastAsia="仿宋_GB2312"/>
          <w:color w:val="000000"/>
          <w:sz w:val="32"/>
          <w:szCs w:val="32"/>
          <w:lang w:val="en-US" w:eastAsia="zh-CN"/>
        </w:rPr>
        <w:t>增加</w:t>
      </w:r>
      <w:r>
        <w:rPr>
          <w:rFonts w:hint="eastAsia" w:ascii="仿宋_GB2312" w:hAnsi="黑体" w:eastAsia="仿宋_GB2312" w:cs="仿宋_GB2312"/>
          <w:color w:val="000000"/>
          <w:sz w:val="32"/>
          <w:szCs w:val="32"/>
          <w:lang w:eastAsia="zh-CN"/>
        </w:rPr>
        <w:t>，</w:t>
      </w:r>
      <w:r>
        <w:rPr>
          <w:rFonts w:hint="eastAsia" w:ascii="仿宋_GB2312" w:hAnsi="黑体" w:eastAsia="仿宋_GB2312"/>
          <w:color w:val="000000" w:themeColor="text1"/>
          <w:sz w:val="32"/>
          <w:szCs w:val="32"/>
          <w14:textFill>
            <w14:solidFill>
              <w14:schemeClr w14:val="tx1"/>
            </w14:solidFill>
          </w14:textFill>
        </w:rPr>
        <w:t>主要是</w:t>
      </w:r>
      <w:r>
        <w:rPr>
          <w:rFonts w:hint="eastAsia" w:ascii="仿宋_GB2312" w:hAnsi="黑体" w:eastAsia="仿宋_GB2312"/>
          <w:color w:val="000000" w:themeColor="text1"/>
          <w:sz w:val="32"/>
          <w:szCs w:val="32"/>
          <w:lang w:val="en-US" w:eastAsia="zh-CN"/>
          <w14:textFill>
            <w14:solidFill>
              <w14:schemeClr w14:val="tx1"/>
            </w14:solidFill>
          </w14:textFill>
        </w:rPr>
        <w:t>人员工资福利增加。</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（一）机关运行经费（行政单位、参照公务员法管理的事业单位需说明，其他单位不需要说明）</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rPr>
        <w:t>20</w:t>
      </w:r>
      <w:r>
        <w:rPr>
          <w:rFonts w:hint="eastAsia" w:ascii="仿宋_GB2312" w:hAnsi="黑体" w:eastAsia="仿宋_GB2312" w:cs="仿宋_GB2312"/>
          <w:sz w:val="32"/>
          <w:szCs w:val="32"/>
          <w:lang w:val="en-US" w:eastAsia="zh-CN"/>
        </w:rPr>
        <w:t>24</w:t>
      </w:r>
      <w:r>
        <w:rPr>
          <w:rFonts w:hint="eastAsia" w:ascii="仿宋_GB2312" w:hAnsi="黑体" w:eastAsia="仿宋_GB2312"/>
          <w:sz w:val="32"/>
          <w:szCs w:val="32"/>
        </w:rPr>
        <w:t>年屯昌县南坤镇</w:t>
      </w:r>
      <w:r>
        <w:rPr>
          <w:rFonts w:hint="eastAsia" w:ascii="仿宋_GB2312" w:hAnsi="黑体" w:eastAsia="仿宋_GB2312"/>
          <w:sz w:val="32"/>
          <w:szCs w:val="32"/>
          <w:lang w:val="en-US" w:eastAsia="zh-CN"/>
        </w:rPr>
        <w:t>藤寨</w:t>
      </w:r>
      <w:r>
        <w:rPr>
          <w:rFonts w:hint="eastAsia" w:ascii="仿宋_GB2312" w:hAnsi="黑体" w:eastAsia="仿宋_GB2312"/>
          <w:sz w:val="32"/>
          <w:szCs w:val="32"/>
        </w:rPr>
        <w:t>幼儿园</w:t>
      </w:r>
      <w:r>
        <w:rPr>
          <w:rFonts w:hint="eastAsia" w:ascii="仿宋_GB2312" w:hAnsi="黑体" w:eastAsia="仿宋_GB2312" w:cs="仿宋_GB2312"/>
          <w:sz w:val="32"/>
          <w:szCs w:val="32"/>
        </w:rPr>
        <w:t>无政府采购预算</w:t>
      </w:r>
      <w:r>
        <w:rPr>
          <w:rFonts w:hint="eastAsia" w:ascii="仿宋_GB2312" w:hAnsi="黑体" w:eastAsia="仿宋_GB2312"/>
          <w:sz w:val="32"/>
          <w:szCs w:val="32"/>
        </w:rPr>
        <w:t>。</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截至202</w:t>
      </w:r>
      <w:r>
        <w:rPr>
          <w:rFonts w:hint="eastAsia" w:ascii="仿宋_GB2312" w:hAnsi="黑体" w:eastAsia="仿宋_GB2312" w:cs="仿宋_GB2312"/>
          <w:sz w:val="32"/>
          <w:szCs w:val="32"/>
          <w:lang w:val="en-US" w:eastAsia="zh-CN"/>
        </w:rPr>
        <w:t>4</w:t>
      </w:r>
      <w:r>
        <w:rPr>
          <w:rFonts w:hint="eastAsia" w:ascii="仿宋_GB2312" w:hAnsi="黑体" w:eastAsia="仿宋_GB2312"/>
          <w:sz w:val="32"/>
          <w:szCs w:val="32"/>
        </w:rPr>
        <w:t>年12月31日，屯昌县南坤镇</w:t>
      </w:r>
      <w:r>
        <w:rPr>
          <w:rFonts w:hint="eastAsia" w:ascii="仿宋_GB2312" w:hAnsi="黑体" w:eastAsia="仿宋_GB2312"/>
          <w:sz w:val="32"/>
          <w:szCs w:val="32"/>
          <w:lang w:val="en-US" w:eastAsia="zh-CN"/>
        </w:rPr>
        <w:t>藤寨</w:t>
      </w:r>
      <w:r>
        <w:rPr>
          <w:rFonts w:hint="eastAsia" w:ascii="仿宋_GB2312" w:hAnsi="黑体" w:eastAsia="仿宋_GB2312"/>
          <w:sz w:val="32"/>
          <w:szCs w:val="32"/>
        </w:rPr>
        <w:t>幼儿园</w:t>
      </w:r>
      <w:r>
        <w:rPr>
          <w:rFonts w:hint="eastAsia" w:ascii="仿宋_GB2312" w:hAnsi="黑体" w:eastAsia="仿宋_GB2312" w:cs="仿宋_GB2312"/>
          <w:sz w:val="32"/>
          <w:szCs w:val="32"/>
        </w:rPr>
        <w:t>本级及下属各预算单位共有车辆0辆，其中，领导干部用车0辆，机要通信应急用车0辆、一般执法执勤用车0辆、特种专业技术用车0辆、其他用车0辆。单位价值100万元以上设备0台（套）。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黑体" w:hAnsi="黑体" w:eastAsia="黑体"/>
          <w:sz w:val="32"/>
          <w:szCs w:val="32"/>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年屯昌县南坤镇</w:t>
      </w:r>
      <w:r>
        <w:rPr>
          <w:rFonts w:hint="eastAsia" w:ascii="仿宋_GB2312" w:hAnsi="黑体" w:eastAsia="仿宋_GB2312"/>
          <w:sz w:val="32"/>
          <w:szCs w:val="32"/>
          <w:lang w:val="en-US" w:eastAsia="zh-CN"/>
        </w:rPr>
        <w:t>藤寨</w:t>
      </w:r>
      <w:r>
        <w:rPr>
          <w:rFonts w:hint="eastAsia" w:ascii="仿宋_GB2312" w:hAnsi="黑体" w:eastAsia="仿宋_GB2312"/>
          <w:sz w:val="32"/>
          <w:szCs w:val="32"/>
        </w:rPr>
        <w:t>幼儿园</w:t>
      </w:r>
      <w:r>
        <w:rPr>
          <w:rFonts w:hint="eastAsia" w:ascii="仿宋_GB2312" w:hAnsi="黑体" w:eastAsia="仿宋_GB2312" w:cs="仿宋_GB2312"/>
          <w:sz w:val="32"/>
          <w:szCs w:val="32"/>
        </w:rPr>
        <w:t>1</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个项目实行绩效目标管理，</w:t>
      </w:r>
      <w:r>
        <w:rPr>
          <w:rFonts w:hint="eastAsia" w:ascii="仿宋_GB2312" w:hAnsi="黑体" w:eastAsia="仿宋_GB2312" w:cs="仿宋_GB2312"/>
          <w:color w:val="000000"/>
          <w:sz w:val="32"/>
          <w:szCs w:val="32"/>
        </w:rPr>
        <w:t>涉及一般公共预算</w:t>
      </w:r>
      <w:r>
        <w:rPr>
          <w:rFonts w:hint="eastAsia" w:ascii="仿宋_GB2312" w:hAnsi="黑体" w:eastAsia="仿宋_GB2312" w:cs="仿宋_GB2312"/>
          <w:sz w:val="32"/>
          <w:szCs w:val="32"/>
          <w:lang w:val="en-US" w:eastAsia="zh-CN"/>
        </w:rPr>
        <w:t>185.1</w:t>
      </w:r>
      <w:r>
        <w:rPr>
          <w:rFonts w:hint="eastAsia" w:ascii="仿宋_GB2312" w:hAnsi="黑体" w:eastAsia="仿宋_GB2312"/>
          <w:color w:val="000000"/>
          <w:sz w:val="32"/>
          <w:szCs w:val="32"/>
        </w:rPr>
        <w:t>万元、政府性基金</w:t>
      </w:r>
      <w:r>
        <w:rPr>
          <w:rFonts w:hint="eastAsia" w:ascii="仿宋_GB2312" w:hAnsi="黑体" w:eastAsia="仿宋_GB2312" w:cs="仿宋_GB2312"/>
          <w:color w:val="000000"/>
          <w:sz w:val="32"/>
          <w:szCs w:val="32"/>
        </w:rPr>
        <w:t>0</w:t>
      </w:r>
      <w:r>
        <w:rPr>
          <w:rFonts w:hint="eastAsia" w:ascii="仿宋_GB2312" w:hAnsi="黑体" w:eastAsia="仿宋_GB2312"/>
          <w:color w:val="000000"/>
          <w:sz w:val="32"/>
          <w:szCs w:val="32"/>
        </w:rPr>
        <w:t>万元。</w:t>
      </w: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_GB2312" w:hAnsi="宋体" w:eastAsia="仿宋_GB2312" w:cs="宋体"/>
          <w:color w:val="000000"/>
          <w:kern w:val="0"/>
          <w:sz w:val="32"/>
          <w:szCs w:val="30"/>
          <w:lang w:eastAsia="zh-CN"/>
        </w:rPr>
        <w:t>个人农业生产补贴、代缴社会保险费、</w:t>
      </w:r>
      <w:r>
        <w:rPr>
          <w:rFonts w:hint="eastAsia" w:ascii="仿宋_GB2312" w:hAnsi="宋体" w:eastAsia="仿宋_GB2312" w:cs="宋体"/>
          <w:color w:val="000000"/>
          <w:kern w:val="0"/>
          <w:sz w:val="32"/>
          <w:szCs w:val="30"/>
        </w:rPr>
        <w:t>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w:t>
      </w:r>
      <w:r>
        <w:rPr>
          <w:rFonts w:hint="eastAsia" w:ascii="仿宋_GB2312" w:hAnsi="宋体" w:eastAsia="仿宋_GB2312" w:cs="宋体"/>
          <w:color w:val="000000"/>
          <w:kern w:val="0"/>
          <w:sz w:val="32"/>
          <w:szCs w:val="30"/>
          <w:lang w:eastAsia="zh-CN"/>
        </w:rPr>
        <w:t>印刷费、咨询费、手续费、</w:t>
      </w:r>
      <w:r>
        <w:rPr>
          <w:rFonts w:hint="eastAsia" w:ascii="仿宋_GB2312" w:hAnsi="宋体" w:eastAsia="仿宋_GB2312" w:cs="宋体"/>
          <w:color w:val="000000"/>
          <w:kern w:val="0"/>
          <w:sz w:val="32"/>
          <w:szCs w:val="30"/>
        </w:rPr>
        <w:t>水费、电费、邮电费、</w:t>
      </w:r>
      <w:r>
        <w:rPr>
          <w:rFonts w:hint="eastAsia" w:ascii="仿宋_GB2312" w:hAnsi="宋体" w:eastAsia="仿宋_GB2312" w:cs="宋体"/>
          <w:color w:val="000000"/>
          <w:kern w:val="0"/>
          <w:sz w:val="32"/>
          <w:szCs w:val="30"/>
          <w:lang w:eastAsia="zh-CN"/>
        </w:rPr>
        <w:t>取暖费、物业管理费、</w:t>
      </w:r>
      <w:r>
        <w:rPr>
          <w:rFonts w:hint="eastAsia" w:ascii="仿宋_GB2312" w:hAnsi="宋体" w:eastAsia="仿宋_GB2312" w:cs="宋体"/>
          <w:color w:val="000000"/>
          <w:kern w:val="0"/>
          <w:sz w:val="32"/>
          <w:szCs w:val="30"/>
        </w:rPr>
        <w:t>差旅费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因公出国（境）费用</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维修（护）费、</w:t>
      </w:r>
      <w:r>
        <w:rPr>
          <w:rFonts w:hint="eastAsia" w:ascii="仿宋_GB2312" w:hAnsi="宋体" w:eastAsia="仿宋_GB2312" w:cs="宋体"/>
          <w:color w:val="000000"/>
          <w:kern w:val="0"/>
          <w:sz w:val="32"/>
          <w:szCs w:val="30"/>
          <w:lang w:eastAsia="zh-CN"/>
        </w:rPr>
        <w:t>租赁费、</w:t>
      </w:r>
      <w:r>
        <w:rPr>
          <w:rFonts w:hint="eastAsia" w:ascii="仿宋_GB2312" w:hAnsi="宋体" w:eastAsia="仿宋_GB2312" w:cs="宋体"/>
          <w:color w:val="000000"/>
          <w:kern w:val="0"/>
          <w:sz w:val="32"/>
          <w:szCs w:val="30"/>
        </w:rPr>
        <w:t>会议费、培训费、公务接待费、</w:t>
      </w:r>
      <w:r>
        <w:rPr>
          <w:rFonts w:hint="eastAsia" w:ascii="仿宋_GB2312" w:hAnsi="宋体" w:eastAsia="仿宋_GB2312" w:cs="宋体"/>
          <w:color w:val="000000"/>
          <w:kern w:val="0"/>
          <w:sz w:val="32"/>
          <w:szCs w:val="30"/>
          <w:lang w:eastAsia="zh-CN"/>
        </w:rPr>
        <w:t>专用材料费、被装购置费、专用燃料费、劳务费、委托业务费</w:t>
      </w:r>
      <w:r>
        <w:rPr>
          <w:rFonts w:hint="eastAsia" w:ascii="仿宋_GB2312" w:hAnsi="宋体" w:eastAsia="仿宋_GB2312" w:cs="宋体"/>
          <w:color w:val="000000"/>
          <w:kern w:val="0"/>
          <w:sz w:val="32"/>
          <w:szCs w:val="30"/>
        </w:rPr>
        <w:t>、工会经费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福利费、公务用车运行维护费、</w:t>
      </w:r>
      <w:r>
        <w:rPr>
          <w:rFonts w:hint="eastAsia" w:ascii="仿宋_GB2312" w:hAnsi="宋体" w:eastAsia="仿宋_GB2312" w:cs="宋体"/>
          <w:color w:val="000000"/>
          <w:kern w:val="0"/>
          <w:sz w:val="32"/>
          <w:szCs w:val="30"/>
          <w:lang w:eastAsia="zh-CN"/>
        </w:rPr>
        <w:t>其他交通费用、税金及附加费用、</w:t>
      </w:r>
      <w:r>
        <w:rPr>
          <w:rFonts w:hint="eastAsia" w:ascii="仿宋_GB2312" w:hAnsi="宋体" w:eastAsia="仿宋_GB2312" w:cs="宋体"/>
          <w:color w:val="000000"/>
          <w:kern w:val="0"/>
          <w:sz w:val="32"/>
          <w:szCs w:val="30"/>
        </w:rPr>
        <w:t>其他</w:t>
      </w:r>
      <w:r>
        <w:rPr>
          <w:rFonts w:hint="eastAsia" w:ascii="仿宋_GB2312" w:hAnsi="宋体" w:eastAsia="仿宋_GB2312" w:cs="宋体"/>
          <w:color w:val="000000"/>
          <w:kern w:val="0"/>
          <w:sz w:val="32"/>
          <w:szCs w:val="30"/>
          <w:lang w:eastAsia="zh-CN"/>
        </w:rPr>
        <w:t>商品和服务支出</w:t>
      </w:r>
      <w:r>
        <w:rPr>
          <w:rFonts w:hint="eastAsia" w:ascii="仿宋_GB2312" w:hAnsi="宋体" w:eastAsia="仿宋_GB2312" w:cs="宋体"/>
          <w:color w:val="000000"/>
          <w:kern w:val="0"/>
          <w:sz w:val="32"/>
          <w:szCs w:val="30"/>
        </w:rPr>
        <w:t>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_GB2312" w:hAnsi="宋体" w:eastAsia="仿宋_GB2312" w:cs="宋体"/>
          <w:color w:val="000000"/>
          <w:kern w:val="0"/>
          <w:sz w:val="32"/>
          <w:szCs w:val="30"/>
          <w:lang w:eastAsia="zh-CN"/>
        </w:rPr>
        <w:t>、牌照费</w:t>
      </w:r>
      <w:r>
        <w:rPr>
          <w:rFonts w:hint="eastAsia" w:ascii="仿宋_GB2312" w:hAnsi="宋体" w:eastAsia="仿宋_GB2312" w:cs="宋体"/>
          <w:color w:val="000000"/>
          <w:kern w:val="0"/>
          <w:sz w:val="32"/>
          <w:szCs w:val="30"/>
        </w:rPr>
        <w:t>）及燃料费、维修费、过路过桥费、保险费、安全奖励费用等支出；公务接待费指单位按规定开支的各类公务接待（含外宾接待）</w:t>
      </w:r>
      <w:r>
        <w:rPr>
          <w:rFonts w:hint="eastAsia" w:ascii="仿宋_GB2312" w:hAnsi="宋体" w:eastAsia="仿宋_GB2312" w:cs="宋体"/>
          <w:color w:val="000000"/>
          <w:kern w:val="0"/>
          <w:sz w:val="32"/>
          <w:szCs w:val="30"/>
          <w:lang w:eastAsia="zh-CN"/>
        </w:rPr>
        <w:t>费用等支出</w:t>
      </w:r>
      <w:r>
        <w:rPr>
          <w:rFonts w:hint="eastAsia" w:ascii="仿宋_GB2312" w:hAnsi="宋体" w:eastAsia="仿宋_GB2312" w:cs="宋体"/>
          <w:color w:val="000000"/>
          <w:kern w:val="0"/>
          <w:sz w:val="32"/>
          <w:szCs w:val="30"/>
        </w:rPr>
        <w:t>。</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1078C74"/>
    <w:multiLevelType w:val="singleLevel"/>
    <w:tmpl w:val="A1078C74"/>
    <w:lvl w:ilvl="0" w:tentative="0">
      <w:start w:val="3"/>
      <w:numFmt w:val="chineseCounting"/>
      <w:suff w:val="nothing"/>
      <w:lvlText w:val="（%1）"/>
      <w:lvlJc w:val="left"/>
      <w:rPr>
        <w:rFonts w:hint="eastAsia"/>
      </w:rPr>
    </w:lvl>
  </w:abstractNum>
  <w:abstractNum w:abstractNumId="1">
    <w:nsid w:val="F9D017B3"/>
    <w:multiLevelType w:val="singleLevel"/>
    <w:tmpl w:val="F9D017B3"/>
    <w:lvl w:ilvl="0" w:tentative="0">
      <w:start w:val="2"/>
      <w:numFmt w:val="chineseCounting"/>
      <w:suff w:val="nothing"/>
      <w:lvlText w:val="（%1）"/>
      <w:lvlJc w:val="left"/>
      <w:pPr>
        <w:ind w:left="-10"/>
      </w:pPr>
      <w:rPr>
        <w:rFonts w:hint="eastAsia"/>
      </w:rPr>
    </w:lvl>
  </w:abstractNum>
  <w:abstractNum w:abstractNumId="2">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3EFB4421"/>
    <w:multiLevelType w:val="singleLevel"/>
    <w:tmpl w:val="3EFB4421"/>
    <w:lvl w:ilvl="0" w:tentative="0">
      <w:start w:val="3"/>
      <w:numFmt w:val="chineseCounting"/>
      <w:suff w:val="space"/>
      <w:lvlText w:val="第%1部分"/>
      <w:lvlJc w:val="left"/>
      <w:rPr>
        <w:rFonts w:hint="eastAsia"/>
      </w:rPr>
    </w:lvl>
  </w:abstractNum>
  <w:abstractNum w:abstractNumId="4">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4NWQyYTFmZDYxZWE1MTk3ZTBhZmFlMTFmZjNmNjEifQ=="/>
  </w:docVars>
  <w:rsids>
    <w:rsidRoot w:val="61F3322C"/>
    <w:rsid w:val="0BC32F55"/>
    <w:rsid w:val="1CB93DD4"/>
    <w:rsid w:val="25E31083"/>
    <w:rsid w:val="2B614A80"/>
    <w:rsid w:val="31532F91"/>
    <w:rsid w:val="3DD60606"/>
    <w:rsid w:val="460B4CD7"/>
    <w:rsid w:val="5C75201E"/>
    <w:rsid w:val="61F3322C"/>
    <w:rsid w:val="7D7E04FD"/>
    <w:rsid w:val="7F1A4A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List Paragraph"/>
    <w:basedOn w:val="1"/>
    <w:qFormat/>
    <w:uiPriority w:val="34"/>
    <w:pPr>
      <w:ind w:firstLine="420" w:firstLineChars="200"/>
    </w:pPr>
  </w:style>
  <w:style w:type="paragraph" w:customStyle="1" w:styleId="5">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3205</Words>
  <Characters>3459</Characters>
  <Lines>0</Lines>
  <Paragraphs>0</Paragraphs>
  <TotalTime>8</TotalTime>
  <ScaleCrop>false</ScaleCrop>
  <LinksUpToDate>false</LinksUpToDate>
  <CharactersWithSpaces>3469</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2024-02-22T01:07:00Z</dcterms:created>
  <dc:creator>木木莹。</dc:creator>
  <cp:lastModifiedBy>子净</cp:lastModifiedBy>
  <dcterms:modified xsi:type="dcterms:W3CDTF">2025-02-28T07:34:56Z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591FC373B24243BFAA5A3A7B9186DDB7_13</vt:lpwstr>
  </property>
  <property fmtid="{D5CDD505-2E9C-101B-9397-08002B2CF9AE}" pid="4" name="KSOTemplateDocerSaveRecord">
    <vt:lpwstr>eyJoZGlkIjoiMWQ4MTVhOTg3MWNjMmYwNzY4OTFlMDhhN2JmYmVhMDgiLCJ1c2VySWQiOiIxMjU3NDM0Nzg0In0=</vt:lpwstr>
  </property>
</Properties>
</file>