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rPr>
          <w:rFonts w:hint="default"/>
          <w:sz w:val="84"/>
          <w:szCs w:val="84"/>
          <w:u w:val="single"/>
        </w:rPr>
      </w:pPr>
    </w:p>
    <w:p>
      <w:pPr>
        <w:spacing w:beforeLines="0" w:afterLines="0"/>
        <w:rPr>
          <w:rFonts w:hint="default"/>
          <w:sz w:val="84"/>
          <w:szCs w:val="84"/>
          <w:u w:val="single"/>
        </w:rPr>
      </w:pPr>
    </w:p>
    <w:p>
      <w:pPr>
        <w:spacing w:beforeLines="0" w:afterLines="0"/>
        <w:rPr>
          <w:rFonts w:hint="default"/>
          <w:sz w:val="84"/>
          <w:szCs w:val="84"/>
          <w:u w:val="single"/>
        </w:rPr>
      </w:pPr>
    </w:p>
    <w:p>
      <w:pPr>
        <w:spacing w:beforeLines="0" w:afterLines="0"/>
        <w:rPr>
          <w:rFonts w:hint="default"/>
          <w:sz w:val="84"/>
          <w:szCs w:val="84"/>
          <w:u w:val="single"/>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屯昌县南坤镇黄岭中学</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pPr>
        <w:spacing w:beforeLines="0" w:afterLines="0"/>
        <w:ind w:firstLine="1680"/>
        <w:jc w:val="center"/>
        <w:rPr>
          <w:rFonts w:hint="default"/>
          <w:sz w:val="84"/>
          <w:szCs w:val="84"/>
        </w:rPr>
      </w:pPr>
    </w:p>
    <w:p>
      <w:pPr>
        <w:spacing w:beforeLines="0" w:afterLines="0"/>
        <w:ind w:firstLine="1680"/>
        <w:jc w:val="center"/>
        <w:rPr>
          <w:rFonts w:hint="default"/>
          <w:sz w:val="84"/>
          <w:szCs w:val="84"/>
        </w:rPr>
      </w:pPr>
    </w:p>
    <w:p>
      <w:pPr>
        <w:spacing w:beforeLines="0" w:afterLines="0"/>
        <w:ind w:firstLine="1680"/>
        <w:jc w:val="center"/>
        <w:rPr>
          <w:rFonts w:hint="default"/>
          <w:sz w:val="84"/>
          <w:szCs w:val="84"/>
        </w:rPr>
      </w:pPr>
    </w:p>
    <w:p>
      <w:pPr>
        <w:spacing w:beforeLines="0" w:afterLines="0"/>
        <w:ind w:firstLine="1680"/>
        <w:jc w:val="center"/>
        <w:rPr>
          <w:rFonts w:hint="default"/>
          <w:sz w:val="84"/>
          <w:szCs w:val="84"/>
        </w:rPr>
      </w:pPr>
    </w:p>
    <w:p>
      <w:pPr>
        <w:spacing w:beforeLines="0" w:afterLines="0"/>
        <w:ind w:firstLine="1680"/>
        <w:jc w:val="center"/>
        <w:rPr>
          <w:rFonts w:hint="default"/>
          <w:sz w:val="84"/>
          <w:szCs w:val="84"/>
        </w:rPr>
      </w:pPr>
    </w:p>
    <w:p>
      <w:pPr>
        <w:spacing w:beforeLines="0" w:afterLines="0"/>
        <w:rPr>
          <w:rFonts w:hint="default"/>
          <w:sz w:val="84"/>
          <w:szCs w:val="84"/>
        </w:rPr>
      </w:pPr>
    </w:p>
    <w:p>
      <w:pPr>
        <w:spacing w:beforeLines="0" w:afterLines="0"/>
        <w:jc w:val="center"/>
        <w:rPr>
          <w:rFonts w:hint="eastAsia" w:ascii="黑体" w:hAnsi="黑体" w:eastAsia="黑体"/>
          <w:sz w:val="52"/>
          <w:szCs w:val="52"/>
        </w:rPr>
      </w:pPr>
      <w:r>
        <w:rPr>
          <w:rFonts w:hint="eastAsia" w:ascii="黑体" w:hAnsi="黑体" w:eastAsia="黑体"/>
          <w:sz w:val="52"/>
          <w:szCs w:val="52"/>
        </w:rPr>
        <w:t>目录</w:t>
      </w:r>
    </w:p>
    <w:p>
      <w:pPr>
        <w:pStyle w:val="5"/>
        <w:numPr>
          <w:ilvl w:val="0"/>
          <w:numId w:val="1"/>
        </w:numPr>
        <w:spacing w:beforeLines="0" w:afterLines="0"/>
        <w:ind w:firstLineChars="0"/>
        <w:jc w:val="left"/>
        <w:rPr>
          <w:rFonts w:hint="eastAsia" w:ascii="黑体" w:hAnsi="黑体" w:eastAsia="黑体"/>
          <w:sz w:val="32"/>
          <w:szCs w:val="32"/>
        </w:rPr>
      </w:pPr>
      <w:r>
        <w:rPr>
          <w:rFonts w:hint="eastAsia" w:ascii="仿宋_GB2312" w:hAnsi="黑体" w:eastAsia="仿宋_GB2312" w:cs="仿宋_GB2312"/>
          <w:sz w:val="32"/>
          <w:szCs w:val="32"/>
        </w:rPr>
        <w:t xml:space="preserve">   </w:t>
      </w:r>
      <w:r>
        <w:rPr>
          <w:rFonts w:hint="eastAsia" w:ascii="黑体" w:hAnsi="黑体" w:eastAsia="黑体"/>
          <w:sz w:val="32"/>
          <w:szCs w:val="32"/>
        </w:rPr>
        <w:t>屯昌县南坤镇黄岭中学概况</w:t>
      </w:r>
    </w:p>
    <w:p>
      <w:pPr>
        <w:pStyle w:val="5"/>
        <w:numPr>
          <w:ilvl w:val="0"/>
          <w:numId w:val="0"/>
        </w:numPr>
        <w:spacing w:beforeLines="0" w:afterLines="0"/>
        <w:ind w:firstLine="0" w:firstLineChars="0"/>
        <w:jc w:val="left"/>
        <w:rPr>
          <w:rFonts w:hint="eastAsia" w:ascii="黑体" w:hAnsi="黑体" w:eastAsia="黑体"/>
          <w:sz w:val="32"/>
          <w:szCs w:val="32"/>
        </w:rPr>
      </w:pPr>
      <w:r>
        <w:rPr>
          <w:rFonts w:hint="eastAsia" w:ascii="黑体" w:hAnsi="黑体" w:eastAsia="黑体"/>
          <w:sz w:val="32"/>
          <w:szCs w:val="32"/>
        </w:rPr>
        <w:t>主要职能</w:t>
      </w:r>
    </w:p>
    <w:p>
      <w:pPr>
        <w:pStyle w:val="5"/>
        <w:numPr>
          <w:ilvl w:val="0"/>
          <w:numId w:val="1"/>
        </w:numPr>
        <w:spacing w:beforeLines="0" w:afterLines="0"/>
        <w:ind w:firstLineChars="0"/>
        <w:rPr>
          <w:rFonts w:hint="eastAsia" w:ascii="黑体" w:hAnsi="黑体" w:eastAsia="黑体"/>
          <w:sz w:val="32"/>
          <w:szCs w:val="32"/>
        </w:rPr>
      </w:pPr>
      <w:r>
        <w:rPr>
          <w:rFonts w:hint="eastAsia" w:ascii="仿宋_GB2312" w:hAnsi="仿宋_GB2312" w:eastAsia="仿宋_GB2312" w:cs="仿宋_GB2312"/>
          <w:sz w:val="32"/>
          <w:szCs w:val="32"/>
        </w:rPr>
        <w:t xml:space="preserve">   </w:t>
      </w:r>
      <w:r>
        <w:rPr>
          <w:rFonts w:hint="eastAsia" w:ascii="黑体" w:hAnsi="黑体" w:eastAsia="黑体"/>
          <w:sz w:val="32"/>
          <w:szCs w:val="32"/>
        </w:rPr>
        <w:t>屯昌县南坤镇黄岭中学</w:t>
      </w:r>
      <w:r>
        <w:rPr>
          <w:rFonts w:hint="eastAsia" w:ascii="黑体" w:hAnsi="黑体" w:eastAsia="黑体"/>
          <w:sz w:val="32"/>
          <w:szCs w:val="32"/>
          <w:lang w:eastAsia="zh-CN"/>
        </w:rPr>
        <w:t>2025年</w:t>
      </w:r>
      <w:r>
        <w:rPr>
          <w:rFonts w:hint="eastAsia" w:ascii="黑体" w:hAnsi="黑体" w:eastAsia="黑体"/>
          <w:sz w:val="32"/>
          <w:szCs w:val="32"/>
        </w:rPr>
        <w:t>单位预算表</w:t>
      </w:r>
    </w:p>
    <w:p>
      <w:pPr>
        <w:pStyle w:val="5"/>
        <w:numPr>
          <w:ilvl w:val="0"/>
          <w:numId w:val="2"/>
        </w:numPr>
        <w:spacing w:beforeLines="0" w:afterLines="0"/>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2"/>
        </w:numPr>
        <w:spacing w:beforeLines="0" w:afterLines="0"/>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2"/>
        </w:numPr>
        <w:spacing w:beforeLines="0" w:afterLines="0"/>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2"/>
        </w:numPr>
        <w:spacing w:beforeLines="0" w:afterLines="0"/>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2"/>
        </w:numPr>
        <w:spacing w:beforeLines="0" w:afterLines="0"/>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2"/>
        </w:numPr>
        <w:spacing w:beforeLines="0" w:afterLines="0"/>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2"/>
        </w:numPr>
        <w:spacing w:beforeLines="0" w:afterLines="0"/>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部门（单位）收支总表</w:t>
      </w:r>
    </w:p>
    <w:p>
      <w:pPr>
        <w:pStyle w:val="5"/>
        <w:numPr>
          <w:ilvl w:val="0"/>
          <w:numId w:val="2"/>
        </w:numPr>
        <w:spacing w:beforeLines="0" w:afterLines="0"/>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部门（单位）收入总表</w:t>
      </w:r>
    </w:p>
    <w:p>
      <w:pPr>
        <w:pStyle w:val="5"/>
        <w:numPr>
          <w:ilvl w:val="0"/>
          <w:numId w:val="2"/>
        </w:numPr>
        <w:spacing w:beforeLines="0" w:afterLines="0"/>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部门（单位）支出总表</w:t>
      </w:r>
    </w:p>
    <w:p>
      <w:pPr>
        <w:pStyle w:val="5"/>
        <w:numPr>
          <w:ilvl w:val="0"/>
          <w:numId w:val="2"/>
        </w:numPr>
        <w:spacing w:beforeLines="0" w:afterLines="0"/>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beforeLines="0" w:afterLines="0"/>
        <w:ind w:firstLineChars="0"/>
        <w:jc w:val="left"/>
        <w:rPr>
          <w:rFonts w:hint="eastAsia" w:ascii="仿宋_GB2312" w:hAnsi="仿宋_GB2312" w:eastAsia="仿宋_GB2312" w:cs="仿宋_GB2312"/>
          <w:sz w:val="32"/>
          <w:szCs w:val="32"/>
        </w:rPr>
      </w:pPr>
      <w:r>
        <w:rPr>
          <w:rFonts w:hint="eastAsia" w:ascii="仿宋_GB2312" w:hAnsi="黑体" w:eastAsia="仿宋_GB2312" w:cs="仿宋_GB2312"/>
          <w:sz w:val="32"/>
          <w:szCs w:val="32"/>
        </w:rPr>
        <w:t xml:space="preserve">   </w:t>
      </w:r>
      <w:r>
        <w:rPr>
          <w:rFonts w:hint="eastAsia" w:ascii="黑体" w:hAnsi="黑体" w:eastAsia="黑体"/>
          <w:sz w:val="32"/>
          <w:szCs w:val="32"/>
        </w:rPr>
        <w:t>屯昌县南坤镇黄岭中学</w:t>
      </w:r>
      <w:r>
        <w:rPr>
          <w:rFonts w:hint="eastAsia" w:ascii="黑体" w:hAnsi="黑体" w:eastAsia="黑体"/>
          <w:sz w:val="32"/>
          <w:szCs w:val="32"/>
          <w:lang w:eastAsia="zh-CN"/>
        </w:rPr>
        <w:t>2025年</w:t>
      </w:r>
      <w:r>
        <w:rPr>
          <w:rFonts w:hint="eastAsia" w:ascii="黑体" w:hAnsi="黑体" w:eastAsia="黑体"/>
          <w:sz w:val="32"/>
          <w:szCs w:val="32"/>
        </w:rPr>
        <w:t>单位预算情况说明</w:t>
      </w:r>
    </w:p>
    <w:p>
      <w:pPr>
        <w:pStyle w:val="5"/>
        <w:numPr>
          <w:ilvl w:val="0"/>
          <w:numId w:val="1"/>
        </w:numPr>
        <w:spacing w:beforeLines="0" w:afterLines="0"/>
        <w:ind w:firstLineChars="0"/>
        <w:jc w:val="left"/>
        <w:rPr>
          <w:rFonts w:hint="eastAsia" w:ascii="仿宋_GB2312" w:hAnsi="仿宋_GB2312" w:eastAsia="仿宋_GB2312" w:cs="仿宋_GB2312"/>
          <w:sz w:val="32"/>
          <w:szCs w:val="32"/>
        </w:rPr>
      </w:pPr>
      <w:r>
        <w:rPr>
          <w:rFonts w:hint="eastAsia" w:ascii="黑体" w:hAnsi="黑体" w:eastAsia="黑体"/>
          <w:sz w:val="32"/>
          <w:szCs w:val="32"/>
        </w:rPr>
        <w:t xml:space="preserve">   名词解释</w:t>
      </w:r>
    </w:p>
    <w:p>
      <w:pPr>
        <w:pStyle w:val="5"/>
        <w:spacing w:beforeLines="0" w:afterLines="0"/>
        <w:ind w:left="1320" w:firstLine="0" w:firstLineChars="0"/>
        <w:jc w:val="left"/>
        <w:rPr>
          <w:rFonts w:hint="eastAsia" w:ascii="黑体" w:hAnsi="黑体" w:eastAsia="黑体"/>
          <w:sz w:val="32"/>
          <w:szCs w:val="32"/>
        </w:rPr>
      </w:pPr>
    </w:p>
    <w:p>
      <w:pPr>
        <w:pStyle w:val="5"/>
        <w:spacing w:beforeLines="0" w:afterLines="0"/>
        <w:ind w:left="1320" w:firstLine="0" w:firstLineChars="0"/>
        <w:jc w:val="left"/>
        <w:rPr>
          <w:rFonts w:hint="eastAsia" w:ascii="黑体" w:hAnsi="黑体" w:eastAsia="黑体"/>
          <w:sz w:val="32"/>
          <w:szCs w:val="32"/>
        </w:rPr>
      </w:pPr>
    </w:p>
    <w:p>
      <w:pPr>
        <w:spacing w:beforeLines="0" w:afterLines="0"/>
        <w:jc w:val="left"/>
        <w:rPr>
          <w:rFonts w:hint="eastAsia" w:ascii="黑体" w:hAnsi="黑体" w:eastAsia="黑体"/>
          <w:sz w:val="32"/>
          <w:szCs w:val="32"/>
        </w:rPr>
      </w:pPr>
    </w:p>
    <w:p>
      <w:pPr>
        <w:spacing w:beforeLines="0" w:afterLines="0"/>
        <w:jc w:val="left"/>
        <w:rPr>
          <w:rFonts w:hint="eastAsia" w:ascii="黑体" w:hAnsi="黑体" w:eastAsia="黑体"/>
          <w:sz w:val="32"/>
          <w:szCs w:val="32"/>
        </w:rPr>
      </w:pPr>
    </w:p>
    <w:p>
      <w:pPr>
        <w:spacing w:beforeLines="0" w:afterLines="0"/>
        <w:jc w:val="left"/>
        <w:rPr>
          <w:rFonts w:hint="eastAsia" w:ascii="黑体" w:hAnsi="黑体" w:eastAsia="黑体"/>
          <w:sz w:val="32"/>
          <w:szCs w:val="32"/>
        </w:rPr>
      </w:pPr>
    </w:p>
    <w:p>
      <w:pPr>
        <w:pStyle w:val="5"/>
        <w:numPr>
          <w:ilvl w:val="0"/>
          <w:numId w:val="3"/>
        </w:numPr>
        <w:spacing w:beforeLines="0" w:afterLines="0"/>
        <w:ind w:firstLineChars="0"/>
        <w:jc w:val="center"/>
        <w:rPr>
          <w:rFonts w:hint="eastAsia" w:ascii="仿宋_GB2312" w:hAnsi="仿宋_GB2312" w:eastAsia="仿宋_GB2312" w:cs="仿宋_GB2312"/>
          <w:sz w:val="32"/>
          <w:szCs w:val="32"/>
        </w:rPr>
      </w:pPr>
      <w:r>
        <w:rPr>
          <w:rFonts w:hint="eastAsia" w:ascii="黑体" w:hAnsi="黑体" w:eastAsia="黑体"/>
          <w:sz w:val="32"/>
          <w:szCs w:val="32"/>
        </w:rPr>
        <w:t xml:space="preserve">  屯昌县南坤镇黄岭中学概况</w:t>
      </w:r>
    </w:p>
    <w:p>
      <w:pPr>
        <w:spacing w:beforeLines="0" w:afterLines="0"/>
        <w:jc w:val="left"/>
        <w:rPr>
          <w:rFonts w:hint="eastAsia" w:ascii="仿宋_GB2312" w:hAnsi="仿宋_GB2312" w:eastAsia="仿宋_GB2312" w:cs="仿宋_GB2312"/>
          <w:sz w:val="32"/>
          <w:szCs w:val="32"/>
        </w:rPr>
      </w:pPr>
    </w:p>
    <w:p>
      <w:pPr>
        <w:pStyle w:val="5"/>
        <w:numPr>
          <w:ilvl w:val="0"/>
          <w:numId w:val="0"/>
        </w:numPr>
        <w:spacing w:beforeLines="0" w:afterLines="0"/>
        <w:ind w:firstLine="640"/>
        <w:jc w:val="left"/>
        <w:rPr>
          <w:rFonts w:hint="eastAsia"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widowControl/>
        <w:shd w:val="clear" w:color="auto" w:fill="FFFFFF"/>
        <w:wordWrap w:val="0"/>
        <w:snapToGrid w:val="0"/>
        <w:spacing w:beforeLines="0" w:afterLines="0" w:line="360" w:lineRule="auto"/>
        <w:ind w:left="720" w:firstLine="640" w:firstLineChars="200"/>
        <w:jc w:val="left"/>
        <w:rPr>
          <w:rFonts w:hint="eastAsia" w:ascii="仿宋_GB2312" w:hAnsi="楷体" w:eastAsia="仿宋_GB2312" w:cs="宋体"/>
          <w:kern w:val="0"/>
          <w:sz w:val="32"/>
          <w:szCs w:val="32"/>
        </w:rPr>
      </w:pPr>
      <w:r>
        <w:rPr>
          <w:rFonts w:hint="eastAsia" w:ascii="仿宋_GB2312" w:hAnsi="宋体" w:eastAsia="仿宋_GB2312" w:cs="宋体"/>
          <w:kern w:val="0"/>
          <w:sz w:val="32"/>
          <w:szCs w:val="32"/>
        </w:rPr>
        <w:t>（一）认真贯彻执行党和国家的有关法律法规、方针、政策，</w:t>
      </w:r>
      <w:r>
        <w:rPr>
          <w:rFonts w:hint="eastAsia" w:ascii="仿宋_GB2312" w:hAnsi="宋体" w:eastAsia="仿宋_GB2312" w:cs="宋体"/>
          <w:spacing w:val="15"/>
          <w:kern w:val="0"/>
          <w:sz w:val="32"/>
          <w:szCs w:val="32"/>
        </w:rPr>
        <w:t>坚持民主管理，依法办校，</w:t>
      </w:r>
      <w:r>
        <w:rPr>
          <w:rFonts w:hint="eastAsia" w:ascii="仿宋_GB2312" w:hAnsi="宋体" w:eastAsia="仿宋_GB2312" w:cs="宋体"/>
          <w:kern w:val="0"/>
          <w:sz w:val="32"/>
          <w:szCs w:val="32"/>
        </w:rPr>
        <w:t>执行上级主管部门的指示和决定。</w:t>
      </w:r>
    </w:p>
    <w:p>
      <w:pPr>
        <w:widowControl/>
        <w:shd w:val="clear" w:color="auto" w:fill="FFFFFF"/>
        <w:wordWrap w:val="0"/>
        <w:snapToGrid w:val="0"/>
        <w:spacing w:beforeLines="0" w:afterLines="0" w:line="360" w:lineRule="auto"/>
        <w:ind w:left="720" w:firstLine="640" w:firstLineChars="200"/>
        <w:jc w:val="left"/>
        <w:rPr>
          <w:rFonts w:hint="eastAsia" w:ascii="仿宋_GB2312" w:hAnsi="楷体" w:eastAsia="仿宋_GB2312" w:cs="宋体"/>
          <w:kern w:val="0"/>
          <w:sz w:val="32"/>
          <w:szCs w:val="32"/>
        </w:rPr>
      </w:pPr>
      <w:r>
        <w:rPr>
          <w:rFonts w:hint="eastAsia" w:ascii="仿宋_GB2312" w:hAnsi="宋体" w:eastAsia="仿宋_GB2312" w:cs="宋体"/>
          <w:kern w:val="0"/>
          <w:sz w:val="32"/>
          <w:szCs w:val="32"/>
        </w:rPr>
        <w:t>（二）</w:t>
      </w:r>
      <w:r>
        <w:rPr>
          <w:rFonts w:hint="eastAsia" w:ascii="仿宋_GB2312" w:hAnsi="宋体" w:eastAsia="仿宋_GB2312" w:cs="宋体"/>
          <w:spacing w:val="15"/>
          <w:kern w:val="0"/>
          <w:sz w:val="32"/>
          <w:szCs w:val="32"/>
        </w:rPr>
        <w:t>对学生实施体、智、德、美诸方面全面发展的教育，促进其身心和谐发展。</w:t>
      </w:r>
      <w:r>
        <w:rPr>
          <w:rFonts w:hint="eastAsia" w:ascii="仿宋_GB2312" w:hAnsi="宋体" w:eastAsia="仿宋_GB2312" w:cs="宋体"/>
          <w:kern w:val="0"/>
          <w:sz w:val="32"/>
          <w:szCs w:val="32"/>
        </w:rPr>
        <w:t>为家长解除后顾之忧，热忱为家长服务。</w:t>
      </w:r>
    </w:p>
    <w:p>
      <w:pPr>
        <w:widowControl/>
        <w:shd w:val="clear" w:color="auto" w:fill="FFFFFF"/>
        <w:wordWrap w:val="0"/>
        <w:snapToGrid w:val="0"/>
        <w:spacing w:beforeLines="0" w:afterLines="0" w:line="360" w:lineRule="auto"/>
        <w:ind w:left="720" w:firstLine="640" w:firstLineChars="200"/>
        <w:jc w:val="left"/>
        <w:rPr>
          <w:rFonts w:hint="eastAsia" w:ascii="仿宋_GB2312" w:hAnsi="楷体" w:eastAsia="仿宋_GB2312" w:cs="宋体"/>
          <w:kern w:val="0"/>
          <w:sz w:val="32"/>
          <w:szCs w:val="32"/>
        </w:rPr>
      </w:pPr>
      <w:r>
        <w:rPr>
          <w:rFonts w:hint="eastAsia" w:ascii="仿宋_GB2312" w:hAnsi="宋体" w:eastAsia="仿宋_GB2312" w:cs="宋体"/>
          <w:kern w:val="0"/>
          <w:sz w:val="32"/>
          <w:szCs w:val="32"/>
        </w:rPr>
        <w:t>（三）尊重学生的人格尊严和基本权利，尊重学生身心发展的特点和规律，为学生提供健康、丰富的生活和活动环境。合理组织学生一日生活活动和其它活动，促进学生体智德美等和谐发展，全面实施素质教育。</w:t>
      </w:r>
    </w:p>
    <w:p>
      <w:pPr>
        <w:widowControl/>
        <w:shd w:val="clear" w:color="auto" w:fill="FFFFFF"/>
        <w:wordWrap w:val="0"/>
        <w:snapToGrid w:val="0"/>
        <w:spacing w:beforeLines="0" w:afterLines="0" w:line="360" w:lineRule="auto"/>
        <w:ind w:firstLine="1280" w:firstLineChars="400"/>
        <w:jc w:val="left"/>
        <w:rPr>
          <w:rFonts w:hint="eastAsia" w:ascii="仿宋_GB2312" w:hAnsi="楷体" w:eastAsia="仿宋_GB2312" w:cs="宋体"/>
          <w:kern w:val="0"/>
          <w:sz w:val="32"/>
          <w:szCs w:val="32"/>
        </w:rPr>
      </w:pPr>
      <w:r>
        <w:rPr>
          <w:rFonts w:hint="eastAsia" w:ascii="仿宋_GB2312" w:hAnsi="宋体" w:eastAsia="仿宋_GB2312" w:cs="宋体"/>
          <w:kern w:val="0"/>
          <w:sz w:val="32"/>
          <w:szCs w:val="32"/>
        </w:rPr>
        <w:t>（四）严格执行校园安全、卫生保健制度，保证学生身心健康和生命安全。</w:t>
      </w:r>
    </w:p>
    <w:p>
      <w:pPr>
        <w:widowControl/>
        <w:shd w:val="clear" w:color="auto" w:fill="FFFFFF"/>
        <w:wordWrap w:val="0"/>
        <w:snapToGrid w:val="0"/>
        <w:spacing w:beforeLines="0" w:afterLines="0" w:line="360" w:lineRule="auto"/>
        <w:ind w:left="720" w:firstLine="640" w:firstLineChars="200"/>
        <w:jc w:val="left"/>
        <w:rPr>
          <w:rFonts w:hint="eastAsia" w:ascii="仿宋_GB2312" w:hAnsi="楷体" w:eastAsia="仿宋_GB2312" w:cs="宋体"/>
          <w:kern w:val="0"/>
          <w:sz w:val="32"/>
          <w:szCs w:val="32"/>
        </w:rPr>
      </w:pPr>
      <w:r>
        <w:rPr>
          <w:rFonts w:hint="eastAsia" w:ascii="仿宋_GB2312" w:hAnsi="宋体" w:eastAsia="仿宋_GB2312" w:cs="宋体"/>
          <w:kern w:val="0"/>
          <w:sz w:val="32"/>
          <w:szCs w:val="32"/>
        </w:rPr>
        <w:t>（六）充分利用学生和社区的资源优势，面向家长开展多种形式的早期教育宣传、指导等服务，促进家庭教育质量的不断提高。</w:t>
      </w:r>
    </w:p>
    <w:p>
      <w:pPr>
        <w:widowControl/>
        <w:shd w:val="clear" w:color="auto" w:fill="FFFFFF"/>
        <w:wordWrap w:val="0"/>
        <w:snapToGrid w:val="0"/>
        <w:spacing w:beforeLines="0" w:afterLines="0" w:line="360" w:lineRule="auto"/>
        <w:ind w:left="720" w:firstLine="640" w:firstLineChars="200"/>
        <w:jc w:val="left"/>
        <w:rPr>
          <w:rFonts w:hint="eastAsia" w:ascii="仿宋_GB2312" w:hAnsi="楷体" w:eastAsia="仿宋_GB2312" w:cs="宋体"/>
          <w:kern w:val="0"/>
          <w:sz w:val="32"/>
          <w:szCs w:val="32"/>
        </w:rPr>
      </w:pPr>
      <w:r>
        <w:rPr>
          <w:rFonts w:hint="eastAsia" w:ascii="仿宋_GB2312" w:hAnsi="宋体" w:eastAsia="仿宋_GB2312" w:cs="宋体"/>
          <w:kern w:val="0"/>
          <w:sz w:val="32"/>
          <w:szCs w:val="32"/>
        </w:rPr>
        <w:t>（七）贯彻学校教育法规、传播科学教育理念、开展教育科学研究、培训师资，发挥示范性学校的示范、辐射作用。</w:t>
      </w:r>
    </w:p>
    <w:p>
      <w:pPr>
        <w:numPr>
          <w:ilvl w:val="0"/>
          <w:numId w:val="0"/>
        </w:numPr>
        <w:spacing w:beforeLines="0" w:afterLines="0"/>
        <w:ind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（六）承办上级主管部门交办的其他工作。</w:t>
      </w:r>
    </w:p>
    <w:p>
      <w:pPr>
        <w:spacing w:beforeLines="0" w:afterLines="0"/>
        <w:ind w:firstLine="640" w:firstLineChars="200"/>
        <w:rPr>
          <w:rFonts w:hint="eastAsia"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屯昌县南坤镇黄岭中学</w:t>
      </w:r>
      <w:r>
        <w:rPr>
          <w:rFonts w:hint="eastAsia" w:ascii="黑体" w:hAnsi="黑体" w:eastAsia="黑体"/>
          <w:sz w:val="32"/>
          <w:szCs w:val="32"/>
          <w:lang w:eastAsia="zh-CN"/>
        </w:rPr>
        <w:t>2025年</w:t>
      </w:r>
      <w:r>
        <w:rPr>
          <w:rFonts w:hint="eastAsia" w:ascii="黑体" w:hAnsi="黑体" w:eastAsia="黑体"/>
          <w:sz w:val="32"/>
          <w:szCs w:val="32"/>
        </w:rPr>
        <w:t>单位预算表</w:t>
      </w:r>
    </w:p>
    <w:p>
      <w:pPr>
        <w:spacing w:beforeLines="0" w:afterLines="0"/>
        <w:ind w:left="800"/>
        <w:jc w:val="left"/>
        <w:rPr>
          <w:rFonts w:hint="eastAsia" w:ascii="黑体" w:hAnsi="黑体" w:eastAsia="黑体"/>
          <w:sz w:val="32"/>
          <w:szCs w:val="32"/>
        </w:rPr>
      </w:pPr>
    </w:p>
    <w:p>
      <w:pPr>
        <w:spacing w:beforeLines="0" w:afterLines="0"/>
        <w:ind w:left="800"/>
        <w:jc w:val="center"/>
        <w:rPr>
          <w:rFonts w:hint="eastAsia" w:ascii="仿宋_GB2312" w:hAnsi="黑体" w:eastAsia="仿宋_GB2312"/>
          <w:b/>
          <w:sz w:val="32"/>
          <w:szCs w:val="32"/>
        </w:rPr>
      </w:pPr>
      <w:r>
        <w:rPr>
          <w:rFonts w:hint="eastAsia" w:ascii="仿宋_GB2312" w:hAnsi="黑体" w:eastAsia="仿宋_GB2312"/>
          <w:b/>
          <w:sz w:val="32"/>
          <w:szCs w:val="32"/>
        </w:rPr>
        <w:t>（此部分内容为单位预算公开表）</w:t>
      </w:r>
    </w:p>
    <w:p>
      <w:pPr>
        <w:spacing w:beforeLines="0" w:afterLines="0"/>
        <w:rPr>
          <w:rFonts w:hint="eastAsia" w:ascii="黑体" w:hAnsi="黑体" w:eastAsia="黑体"/>
          <w:sz w:val="32"/>
          <w:szCs w:val="32"/>
        </w:rPr>
      </w:pPr>
    </w:p>
    <w:p>
      <w:pPr>
        <w:spacing w:beforeLines="0" w:afterLines="0"/>
        <w:ind w:firstLine="480" w:firstLineChars="150"/>
        <w:rPr>
          <w:rFonts w:hint="eastAsia" w:ascii="黑体" w:hAnsi="黑体" w:eastAsia="黑体"/>
          <w:sz w:val="32"/>
          <w:szCs w:val="32"/>
        </w:rPr>
      </w:pPr>
      <w:r>
        <w:rPr>
          <w:rFonts w:hint="eastAsia" w:ascii="黑体" w:hAnsi="黑体" w:eastAsia="黑体"/>
          <w:sz w:val="32"/>
          <w:szCs w:val="32"/>
        </w:rPr>
        <w:t>第三部分   屯昌县南坤镇黄岭中学</w:t>
      </w:r>
      <w:r>
        <w:rPr>
          <w:rFonts w:hint="eastAsia" w:ascii="黑体" w:hAnsi="黑体" w:eastAsia="黑体"/>
          <w:sz w:val="32"/>
          <w:szCs w:val="32"/>
          <w:lang w:eastAsia="zh-CN"/>
        </w:rPr>
        <w:t>2025年</w:t>
      </w:r>
      <w:r>
        <w:rPr>
          <w:rFonts w:hint="eastAsia" w:ascii="黑体" w:hAnsi="黑体" w:eastAsia="黑体"/>
          <w:sz w:val="32"/>
          <w:szCs w:val="32"/>
        </w:rPr>
        <w:t>单位预算情况说明</w:t>
      </w:r>
    </w:p>
    <w:p>
      <w:pPr>
        <w:spacing w:beforeLines="0" w:afterLines="0"/>
        <w:jc w:val="center"/>
        <w:rPr>
          <w:rFonts w:hint="eastAsia" w:ascii="黑体" w:hAnsi="黑体" w:eastAsia="黑体"/>
          <w:sz w:val="32"/>
          <w:szCs w:val="32"/>
        </w:rPr>
      </w:pPr>
    </w:p>
    <w:p>
      <w:pPr>
        <w:spacing w:beforeLines="0" w:afterLines="0"/>
        <w:ind w:firstLine="640" w:firstLineChars="200"/>
        <w:jc w:val="left"/>
        <w:rPr>
          <w:rFonts w:hint="eastAsia" w:ascii="黑体" w:hAnsi="黑体" w:eastAsia="黑体"/>
          <w:sz w:val="32"/>
          <w:szCs w:val="32"/>
        </w:rPr>
      </w:pPr>
      <w:r>
        <w:rPr>
          <w:rFonts w:hint="eastAsia" w:ascii="黑体" w:hAnsi="黑体" w:eastAsia="黑体"/>
          <w:sz w:val="32"/>
          <w:szCs w:val="32"/>
        </w:rPr>
        <w:t>一、关于屯昌县南坤镇黄岭中学</w:t>
      </w:r>
      <w:r>
        <w:rPr>
          <w:rFonts w:hint="eastAsia" w:ascii="黑体" w:hAnsi="黑体" w:eastAsia="黑体"/>
          <w:sz w:val="32"/>
          <w:szCs w:val="32"/>
          <w:lang w:eastAsia="zh-CN"/>
        </w:rPr>
        <w:t>2025年</w:t>
      </w:r>
      <w:r>
        <w:rPr>
          <w:rFonts w:hint="eastAsia" w:ascii="黑体" w:hAnsi="黑体" w:eastAsia="黑体"/>
          <w:sz w:val="32"/>
          <w:szCs w:val="32"/>
        </w:rPr>
        <w:t>财政拨款收支预算情况的总体说明</w:t>
      </w:r>
    </w:p>
    <w:p>
      <w:pPr>
        <w:spacing w:beforeLines="0" w:afterLines="0"/>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屯昌县南坤镇黄岭中学</w:t>
      </w:r>
      <w:r>
        <w:rPr>
          <w:rFonts w:hint="eastAsia" w:ascii="仿宋_GB2312" w:hAnsi="黑体" w:eastAsia="仿宋_GB2312"/>
          <w:sz w:val="32"/>
          <w:szCs w:val="32"/>
          <w:lang w:eastAsia="zh-CN"/>
        </w:rPr>
        <w:t>2025年</w:t>
      </w:r>
      <w:r>
        <w:rPr>
          <w:rFonts w:hint="eastAsia" w:ascii="仿宋_GB2312" w:hAnsi="黑体" w:eastAsia="仿宋_GB2312"/>
          <w:sz w:val="32"/>
          <w:szCs w:val="32"/>
        </w:rPr>
        <w:t>财政拨款收支总预算</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658.32</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131.05</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104.25</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75.35</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spacing w:beforeLines="0" w:afterLines="0"/>
        <w:ind w:firstLine="640"/>
        <w:jc w:val="left"/>
        <w:rPr>
          <w:rFonts w:hint="eastAsia" w:ascii="黑体" w:hAnsi="黑体" w:eastAsia="黑体"/>
          <w:sz w:val="32"/>
          <w:szCs w:val="32"/>
        </w:rPr>
      </w:pPr>
      <w:r>
        <w:rPr>
          <w:rFonts w:hint="eastAsia" w:ascii="黑体" w:hAnsi="黑体" w:eastAsia="黑体"/>
          <w:sz w:val="32"/>
          <w:szCs w:val="32"/>
        </w:rPr>
        <w:t>二、关于屯昌县南坤镇黄岭中学</w:t>
      </w:r>
      <w:r>
        <w:rPr>
          <w:rFonts w:hint="eastAsia" w:ascii="黑体" w:hAnsi="黑体" w:eastAsia="黑体"/>
          <w:sz w:val="32"/>
          <w:szCs w:val="32"/>
          <w:lang w:eastAsia="zh-CN"/>
        </w:rPr>
        <w:t>2025年</w:t>
      </w:r>
      <w:r>
        <w:rPr>
          <w:rFonts w:hint="eastAsia" w:ascii="黑体" w:hAnsi="黑体" w:eastAsia="黑体"/>
          <w:sz w:val="32"/>
          <w:szCs w:val="32"/>
        </w:rPr>
        <w:t>一般公共预算当年拨款情况说明</w:t>
      </w:r>
    </w:p>
    <w:p>
      <w:pPr>
        <w:spacing w:beforeLines="0" w:afterLines="0"/>
        <w:ind w:firstLine="640"/>
        <w:jc w:val="left"/>
        <w:rPr>
          <w:rFonts w:hint="eastAsia" w:ascii="楷体" w:hAnsi="楷体" w:eastAsia="楷体"/>
          <w:sz w:val="32"/>
          <w:szCs w:val="32"/>
        </w:rPr>
      </w:pPr>
      <w:r>
        <w:rPr>
          <w:rFonts w:hint="eastAsia" w:ascii="楷体" w:hAnsi="楷体" w:eastAsia="楷体"/>
          <w:sz w:val="32"/>
          <w:szCs w:val="32"/>
        </w:rPr>
        <w:t>（一）一般公共预算当年规模变化情况</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屯昌县南坤镇黄岭中学</w:t>
      </w:r>
      <w:r>
        <w:rPr>
          <w:rFonts w:hint="eastAsia" w:ascii="仿宋_GB2312" w:hAnsi="黑体" w:eastAsia="仿宋_GB2312"/>
          <w:sz w:val="32"/>
          <w:szCs w:val="32"/>
          <w:lang w:eastAsia="zh-CN"/>
        </w:rPr>
        <w:t>2025年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增加188.66</w:t>
      </w:r>
      <w:r>
        <w:rPr>
          <w:rFonts w:hint="eastAsia" w:ascii="仿宋_GB2312" w:hAnsi="黑体" w:eastAsia="仿宋_GB2312"/>
          <w:sz w:val="32"/>
          <w:szCs w:val="32"/>
        </w:rPr>
        <w:t>万元，主要是人员经费</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w:t>
      </w:r>
    </w:p>
    <w:p>
      <w:pPr>
        <w:spacing w:beforeLines="0" w:afterLines="0"/>
        <w:ind w:firstLine="640"/>
        <w:jc w:val="left"/>
        <w:rPr>
          <w:rFonts w:hint="eastAsia" w:ascii="楷体" w:hAnsi="楷体" w:eastAsia="楷体"/>
          <w:sz w:val="32"/>
          <w:szCs w:val="32"/>
        </w:rPr>
      </w:pPr>
      <w:r>
        <w:rPr>
          <w:rFonts w:hint="eastAsia" w:ascii="楷体" w:hAnsi="楷体" w:eastAsia="楷体"/>
          <w:sz w:val="32"/>
          <w:szCs w:val="32"/>
        </w:rPr>
        <w:t>（二）一般公共预算当年拨款结构情况</w:t>
      </w:r>
    </w:p>
    <w:p>
      <w:pPr>
        <w:spacing w:beforeLines="0" w:afterLines="0"/>
        <w:ind w:firstLine="800" w:firstLineChars="250"/>
        <w:rPr>
          <w:rFonts w:hint="eastAsia"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cs="仿宋_GB2312"/>
          <w:sz w:val="32"/>
          <w:szCs w:val="32"/>
          <w:lang w:val="en-US" w:eastAsia="zh-CN"/>
        </w:rPr>
        <w:t>658.32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67.94</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131.05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13.52</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104.25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10.76</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75.35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7.78</w:t>
      </w:r>
      <w:r>
        <w:rPr>
          <w:rFonts w:hint="eastAsia" w:ascii="仿宋_GB2312" w:hAnsi="黑体" w:eastAsia="仿宋_GB2312"/>
          <w:sz w:val="32"/>
          <w:szCs w:val="32"/>
        </w:rPr>
        <w:t>%。</w:t>
      </w:r>
    </w:p>
    <w:p>
      <w:pPr>
        <w:spacing w:beforeLines="0" w:afterLines="0"/>
        <w:ind w:firstLine="640"/>
        <w:jc w:val="left"/>
        <w:rPr>
          <w:rFonts w:hint="eastAsia" w:ascii="楷体" w:hAnsi="楷体" w:eastAsia="楷体"/>
          <w:sz w:val="32"/>
          <w:szCs w:val="32"/>
        </w:rPr>
      </w:pPr>
      <w:r>
        <w:rPr>
          <w:rFonts w:hint="eastAsia" w:ascii="楷体" w:hAnsi="楷体" w:eastAsia="楷体"/>
          <w:sz w:val="32"/>
          <w:szCs w:val="32"/>
        </w:rPr>
        <w:t>（三）一般公共预算当年拨款具体使用情况</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1.</w:t>
      </w:r>
      <w:r>
        <w:rPr>
          <w:rFonts w:hint="eastAsia"/>
          <w:sz w:val="21"/>
          <w:szCs w:val="22"/>
        </w:rPr>
        <w:t xml:space="preserve"> </w:t>
      </w:r>
      <w:r>
        <w:rPr>
          <w:rFonts w:hint="eastAsia" w:ascii="仿宋_GB2312" w:hAnsi="黑体" w:eastAsia="仿宋_GB2312" w:cs="仿宋_GB2312"/>
          <w:sz w:val="32"/>
          <w:szCs w:val="32"/>
        </w:rPr>
        <w:t>教育支出（类）普通教育（款）初中教育（项）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658.32</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增加133.25</w:t>
      </w:r>
      <w:r>
        <w:rPr>
          <w:rFonts w:hint="eastAsia" w:ascii="仿宋_GB2312" w:hAnsi="黑体" w:eastAsia="仿宋_GB2312"/>
          <w:sz w:val="32"/>
          <w:szCs w:val="32"/>
        </w:rPr>
        <w:t>万元，</w:t>
      </w:r>
      <w:r>
        <w:rPr>
          <w:rFonts w:hint="eastAsia" w:ascii="仿宋_GB2312" w:hAnsi="黑体" w:eastAsia="仿宋_GB2312" w:cs="仿宋_GB2312"/>
          <w:sz w:val="32"/>
          <w:szCs w:val="32"/>
        </w:rPr>
        <w:t>其他教育支出（款）其他教育支出（项）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sz w:val="32"/>
          <w:szCs w:val="32"/>
          <w:lang w:val="en-US" w:eastAsia="zh-CN"/>
        </w:rPr>
        <w:t>持平</w:t>
      </w:r>
      <w:r>
        <w:rPr>
          <w:rFonts w:hint="eastAsia" w:ascii="仿宋_GB2312" w:hAnsi="黑体" w:eastAsia="仿宋_GB2312"/>
          <w:sz w:val="32"/>
          <w:szCs w:val="32"/>
        </w:rPr>
        <w:t>，主要是教师</w:t>
      </w:r>
      <w:r>
        <w:rPr>
          <w:rFonts w:hint="eastAsia" w:ascii="仿宋_GB2312" w:hAnsi="黑体" w:eastAsia="仿宋_GB2312"/>
          <w:sz w:val="32"/>
          <w:szCs w:val="32"/>
          <w:lang w:val="en-US" w:eastAsia="zh-CN"/>
        </w:rPr>
        <w:t>与学生增加</w:t>
      </w:r>
      <w:r>
        <w:rPr>
          <w:rFonts w:hint="eastAsia" w:ascii="仿宋_GB2312" w:hAnsi="黑体" w:eastAsia="仿宋_GB2312"/>
          <w:sz w:val="32"/>
          <w:szCs w:val="32"/>
        </w:rPr>
        <w:t>导致人员经费</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社会保障和就业支出（类）行政事业单位养老支出（款）机关事业单位基本养老保险缴费支出（项）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86.94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增加17.45</w:t>
      </w:r>
      <w:r>
        <w:rPr>
          <w:rFonts w:hint="eastAsia" w:ascii="仿宋_GB2312" w:hAnsi="黑体" w:eastAsia="仿宋_GB2312"/>
          <w:sz w:val="32"/>
          <w:szCs w:val="32"/>
        </w:rPr>
        <w:t>万元，主要是福利支出</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；机关事业单位</w:t>
      </w:r>
      <w:r>
        <w:rPr>
          <w:rFonts w:hint="eastAsia" w:ascii="仿宋_GB2312" w:hAnsi="黑体" w:eastAsia="仿宋_GB2312"/>
          <w:sz w:val="32"/>
          <w:szCs w:val="32"/>
          <w:lang w:val="en-US" w:eastAsia="zh-CN"/>
        </w:rPr>
        <w:t>职业年金</w:t>
      </w:r>
      <w:r>
        <w:rPr>
          <w:rFonts w:hint="eastAsia" w:ascii="仿宋_GB2312" w:hAnsi="黑体" w:eastAsia="仿宋_GB2312"/>
          <w:sz w:val="32"/>
          <w:szCs w:val="32"/>
        </w:rPr>
        <w:t>缴费支出（项）2025年预算数为</w:t>
      </w:r>
      <w:r>
        <w:rPr>
          <w:rFonts w:hint="eastAsia" w:ascii="仿宋_GB2312" w:hAnsi="黑体" w:eastAsia="仿宋_GB2312"/>
          <w:sz w:val="32"/>
          <w:szCs w:val="32"/>
          <w:lang w:val="en-US" w:eastAsia="zh-CN"/>
        </w:rPr>
        <w:t>43.47</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8.73</w:t>
      </w:r>
      <w:r>
        <w:rPr>
          <w:rFonts w:hint="eastAsia" w:ascii="仿宋_GB2312" w:hAnsi="黑体" w:eastAsia="仿宋_GB2312"/>
          <w:sz w:val="32"/>
          <w:szCs w:val="32"/>
        </w:rPr>
        <w:t>万元，主要是福利支出增加；</w:t>
      </w:r>
      <w:r>
        <w:rPr>
          <w:rFonts w:hint="eastAsia" w:ascii="仿宋_GB2312" w:hAnsi="黑体" w:eastAsia="仿宋_GB2312" w:cs="仿宋_GB2312"/>
          <w:sz w:val="32"/>
          <w:szCs w:val="32"/>
        </w:rPr>
        <w:t>抚恤（款）其他优抚支出（项）</w:t>
      </w: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预算数为</w:t>
      </w:r>
      <w:r>
        <w:rPr>
          <w:rFonts w:hint="eastAsia" w:ascii="仿宋_GB2312" w:hAnsi="黑体" w:eastAsia="仿宋_GB2312" w:cs="仿宋_GB2312"/>
          <w:sz w:val="32"/>
          <w:szCs w:val="32"/>
          <w:lang w:val="en-US" w:eastAsia="zh-CN"/>
        </w:rPr>
        <w:t>0.64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0.02</w:t>
      </w:r>
      <w:r>
        <w:rPr>
          <w:rFonts w:hint="eastAsia" w:ascii="仿宋_GB2312" w:hAnsi="黑体" w:eastAsia="仿宋_GB2312"/>
          <w:sz w:val="32"/>
          <w:szCs w:val="32"/>
        </w:rPr>
        <w:t>万元</w:t>
      </w:r>
      <w:r>
        <w:rPr>
          <w:rFonts w:hint="eastAsia" w:ascii="仿宋_GB2312" w:hAnsi="黑体" w:eastAsia="仿宋_GB2312" w:cs="仿宋_GB2312"/>
          <w:sz w:val="32"/>
          <w:szCs w:val="32"/>
        </w:rPr>
        <w:t>，</w:t>
      </w:r>
      <w:r>
        <w:rPr>
          <w:rFonts w:hint="eastAsia" w:ascii="仿宋_GB2312" w:hAnsi="黑体" w:eastAsia="仿宋_GB2312"/>
          <w:sz w:val="32"/>
          <w:szCs w:val="32"/>
        </w:rPr>
        <w:t>主要是</w:t>
      </w:r>
      <w:r>
        <w:rPr>
          <w:rFonts w:hint="eastAsia" w:ascii="仿宋_GB2312" w:hAnsi="黑体" w:eastAsia="仿宋_GB2312" w:cs="仿宋_GB2312"/>
          <w:sz w:val="32"/>
          <w:szCs w:val="32"/>
        </w:rPr>
        <w:t>其他优抚支出</w:t>
      </w:r>
      <w:r>
        <w:rPr>
          <w:rFonts w:hint="eastAsia" w:ascii="仿宋_GB2312" w:hAnsi="黑体" w:eastAsia="仿宋_GB2312"/>
          <w:sz w:val="32"/>
          <w:szCs w:val="32"/>
          <w:lang w:val="en-US" w:eastAsia="zh-CN"/>
        </w:rPr>
        <w:t>降低</w:t>
      </w:r>
      <w:r>
        <w:rPr>
          <w:rFonts w:hint="eastAsia" w:ascii="仿宋_GB2312" w:hAnsi="黑体" w:eastAsia="仿宋_GB2312"/>
          <w:sz w:val="32"/>
          <w:szCs w:val="32"/>
        </w:rPr>
        <w:t>。</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 xml:space="preserve"> 卫生健康支出（类）行政事业单位医疗（款）事业单位医疗（项）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31.14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1.40</w:t>
      </w:r>
      <w:r>
        <w:rPr>
          <w:rFonts w:hint="eastAsia" w:ascii="仿宋_GB2312" w:hAnsi="黑体" w:eastAsia="仿宋_GB2312"/>
          <w:sz w:val="32"/>
          <w:szCs w:val="32"/>
        </w:rPr>
        <w:t>万元，主要是福利支出</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70.84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14.78</w:t>
      </w:r>
      <w:r>
        <w:rPr>
          <w:rFonts w:hint="eastAsia" w:ascii="仿宋_GB2312" w:hAnsi="黑体" w:eastAsia="仿宋_GB2312"/>
          <w:sz w:val="32"/>
          <w:szCs w:val="32"/>
        </w:rPr>
        <w:t>万元，主要是福利支出</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2.27</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rPr>
        <w:t>0.</w:t>
      </w:r>
      <w:r>
        <w:rPr>
          <w:rFonts w:hint="eastAsia" w:ascii="仿宋_GB2312" w:hAnsi="黑体" w:eastAsia="仿宋_GB2312" w:cs="仿宋_GB2312"/>
          <w:sz w:val="32"/>
          <w:szCs w:val="32"/>
          <w:lang w:val="en-US" w:eastAsia="zh-CN"/>
        </w:rPr>
        <w:t>27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教师增加</w:t>
      </w:r>
      <w:r>
        <w:rPr>
          <w:rFonts w:hint="eastAsia" w:ascii="仿宋_GB2312" w:hAnsi="黑体" w:eastAsia="仿宋_GB2312"/>
          <w:sz w:val="32"/>
          <w:szCs w:val="32"/>
        </w:rPr>
        <w:t>。</w:t>
      </w:r>
    </w:p>
    <w:p>
      <w:pPr>
        <w:spacing w:beforeLines="0" w:afterLines="0"/>
        <w:ind w:firstLine="640"/>
        <w:rPr>
          <w:rFonts w:hint="eastAsia"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 xml:space="preserve"> 住房保障支出（类）住房改革支出（款）住房公积金（项）</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75.35</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15.61</w:t>
      </w:r>
      <w:r>
        <w:rPr>
          <w:rFonts w:hint="eastAsia" w:ascii="仿宋_GB2312" w:hAnsi="黑体" w:eastAsia="仿宋_GB2312"/>
          <w:sz w:val="32"/>
          <w:szCs w:val="32"/>
        </w:rPr>
        <w:t>万元，主要是福利支出增加。</w:t>
      </w:r>
    </w:p>
    <w:p>
      <w:pPr>
        <w:spacing w:beforeLines="0" w:afterLines="0"/>
        <w:ind w:firstLine="640"/>
        <w:rPr>
          <w:rFonts w:hint="eastAsia" w:ascii="黑体" w:hAnsi="黑体" w:eastAsia="黑体"/>
          <w:sz w:val="32"/>
          <w:szCs w:val="32"/>
        </w:rPr>
      </w:pPr>
      <w:r>
        <w:rPr>
          <w:rFonts w:hint="eastAsia" w:ascii="黑体" w:hAnsi="黑体" w:eastAsia="黑体"/>
          <w:sz w:val="32"/>
          <w:szCs w:val="32"/>
        </w:rPr>
        <w:t>三、关于屯昌县南坤镇黄岭中学</w:t>
      </w:r>
      <w:r>
        <w:rPr>
          <w:rFonts w:hint="eastAsia" w:ascii="黑体" w:hAnsi="黑体" w:eastAsia="黑体"/>
          <w:sz w:val="32"/>
          <w:szCs w:val="32"/>
          <w:lang w:eastAsia="zh-CN"/>
        </w:rPr>
        <w:t>2025年</w:t>
      </w:r>
      <w:r>
        <w:rPr>
          <w:rFonts w:hint="eastAsia" w:ascii="黑体" w:hAnsi="黑体" w:eastAsia="黑体"/>
          <w:sz w:val="32"/>
          <w:szCs w:val="32"/>
        </w:rPr>
        <w:t>一般公共预算基本支出情况说明</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屯昌县南坤镇黄岭中学</w:t>
      </w:r>
      <w:r>
        <w:rPr>
          <w:rFonts w:hint="eastAsia" w:ascii="仿宋_GB2312" w:hAnsi="黑体" w:eastAsia="仿宋_GB2312"/>
          <w:sz w:val="32"/>
          <w:szCs w:val="32"/>
          <w:lang w:eastAsia="zh-CN"/>
        </w:rPr>
        <w:t>2025年</w:t>
      </w:r>
      <w:r>
        <w:rPr>
          <w:rFonts w:hint="eastAsia" w:ascii="仿宋_GB2312" w:hAnsi="黑体" w:eastAsia="仿宋_GB2312"/>
          <w:sz w:val="32"/>
          <w:szCs w:val="32"/>
        </w:rPr>
        <w:t>一般公共预算基本支出为</w:t>
      </w:r>
      <w:r>
        <w:rPr>
          <w:rFonts w:hint="eastAsia" w:ascii="仿宋_GB2312" w:hAnsi="黑体" w:eastAsia="仿宋_GB2312"/>
          <w:sz w:val="32"/>
          <w:szCs w:val="32"/>
          <w:lang w:val="en-US" w:eastAsia="zh-CN"/>
        </w:rPr>
        <w:t>968.16</w:t>
      </w:r>
      <w:r>
        <w:rPr>
          <w:rFonts w:hint="eastAsia" w:ascii="仿宋_GB2312" w:hAnsi="黑体" w:eastAsia="仿宋_GB2312"/>
          <w:sz w:val="32"/>
          <w:szCs w:val="32"/>
        </w:rPr>
        <w:t>万元，其中：</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961.94</w:t>
      </w:r>
      <w:r>
        <w:rPr>
          <w:rFonts w:hint="eastAsia" w:ascii="仿宋_GB2312" w:hAnsi="黑体" w:eastAsia="仿宋_GB2312"/>
          <w:sz w:val="32"/>
          <w:szCs w:val="32"/>
        </w:rPr>
        <w:t>万元，主要包括：基本工资、津贴补贴、奖金、绩效工资、机关事业单位基本养老保险缴费、职工基本医疗保险缴费、公务员医疗补助缴费、其他社会保障缴费、住房公积金、医疗费、邮电费等;</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6.22</w:t>
      </w:r>
      <w:r>
        <w:rPr>
          <w:rFonts w:hint="eastAsia" w:ascii="仿宋_GB2312" w:hAnsi="黑体" w:eastAsia="仿宋_GB2312"/>
          <w:sz w:val="32"/>
          <w:szCs w:val="32"/>
        </w:rPr>
        <w:t>万元，主要包括：工会经费。</w:t>
      </w:r>
    </w:p>
    <w:p>
      <w:pPr>
        <w:spacing w:beforeLines="0" w:afterLines="0"/>
        <w:ind w:firstLine="640" w:firstLineChars="200"/>
        <w:rPr>
          <w:rFonts w:hint="eastAsia"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四、</w:t>
      </w:r>
      <w:r>
        <w:rPr>
          <w:rFonts w:hint="eastAsia" w:ascii="黑体" w:hAnsi="黑体" w:eastAsia="黑体"/>
          <w:sz w:val="32"/>
          <w:szCs w:val="32"/>
        </w:rPr>
        <w:t>屯昌县南坤镇黄岭中学</w:t>
      </w:r>
      <w:r>
        <w:rPr>
          <w:rFonts w:hint="eastAsia" w:ascii="黑体" w:hAnsi="黑体" w:eastAsia="黑体"/>
          <w:sz w:val="32"/>
          <w:szCs w:val="32"/>
          <w:lang w:eastAsia="zh-CN"/>
        </w:rPr>
        <w:t>2025年</w:t>
      </w:r>
      <w:r>
        <w:rPr>
          <w:rFonts w:hint="eastAsia" w:ascii="黑体" w:hAnsi="黑体" w:eastAsia="黑体" w:cs="Times New Roman"/>
          <w:sz w:val="32"/>
          <w:szCs w:val="22"/>
          <w:shd w:val="clear" w:color="auto" w:fill="FFFFFF"/>
        </w:rPr>
        <w:t>“三公”经费预算情况说明</w:t>
      </w:r>
    </w:p>
    <w:p>
      <w:pPr>
        <w:spacing w:beforeLines="0" w:afterLines="0"/>
        <w:ind w:firstLine="640" w:firstLineChars="200"/>
        <w:rPr>
          <w:rFonts w:hint="eastAsia" w:ascii="仿宋_GB2312" w:hAnsi="黑体" w:eastAsia="仿宋_GB2312" w:cs="Times New Roman"/>
          <w:sz w:val="32"/>
          <w:szCs w:val="32"/>
        </w:rPr>
      </w:pPr>
      <w:r>
        <w:rPr>
          <w:rFonts w:hint="eastAsia" w:ascii="仿宋_GB2312" w:hAnsi="黑体" w:eastAsia="仿宋_GB2312"/>
          <w:sz w:val="32"/>
          <w:szCs w:val="32"/>
        </w:rPr>
        <w:t>（一）屯昌县南坤镇黄岭中学</w:t>
      </w:r>
      <w:r>
        <w:rPr>
          <w:rFonts w:hint="eastAsia" w:ascii="仿宋_GB2312" w:hAnsi="黑体" w:eastAsia="仿宋_GB2312"/>
          <w:sz w:val="32"/>
          <w:szCs w:val="32"/>
          <w:lang w:eastAsia="zh-CN"/>
        </w:rPr>
        <w:t>2025年</w:t>
      </w:r>
      <w:r>
        <w:rPr>
          <w:rFonts w:hint="eastAsia" w:ascii="仿宋_GB2312" w:hAnsi="黑体" w:eastAsia="仿宋_GB2312"/>
          <w:sz w:val="32"/>
          <w:szCs w:val="32"/>
        </w:rPr>
        <w:t>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spacing w:beforeLines="0" w:afterLines="0"/>
        <w:ind w:firstLine="630"/>
        <w:rPr>
          <w:rFonts w:hint="default" w:ascii="Times New Roman" w:hAnsi="Times New Roman" w:eastAsia="仿宋_GB2312" w:cs="Times New Roman"/>
          <w:sz w:val="32"/>
          <w:szCs w:val="22"/>
          <w:shd w:val="clear" w:color="auto" w:fill="FFFFFF"/>
        </w:rPr>
      </w:pPr>
      <w:r>
        <w:rPr>
          <w:rFonts w:hint="eastAsia" w:ascii="Times New Roman" w:hAnsi="Times New Roman" w:eastAsia="仿宋_GB2312" w:cs="Times New Roman"/>
          <w:sz w:val="32"/>
          <w:szCs w:val="2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zCs w:val="22"/>
          <w:shd w:val="clear" w:color="auto" w:fill="FFFFFF"/>
        </w:rPr>
        <w:t>，与上年预算持平；公务用车购置及运行费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zCs w:val="22"/>
          <w:shd w:val="clear" w:color="auto" w:fill="FFFFFF"/>
        </w:rPr>
        <w:t>，与上年预算持平；</w:t>
      </w:r>
      <w:r>
        <w:rPr>
          <w:rFonts w:hint="eastAsia"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hint="eastAsia" w:ascii="Times New Roman" w:hAnsi="Times New Roman" w:eastAsia="仿宋_GB2312" w:cs="Times New Roman"/>
          <w:sz w:val="32"/>
          <w:szCs w:val="22"/>
          <w:shd w:val="clear" w:color="auto" w:fill="FFFFFF"/>
        </w:rPr>
        <w:t>万元，与上年预算持平。</w:t>
      </w:r>
    </w:p>
    <w:p>
      <w:pPr>
        <w:spacing w:beforeLines="0" w:afterLines="0"/>
        <w:ind w:firstLine="640" w:firstLineChars="200"/>
        <w:rPr>
          <w:rFonts w:hint="eastAsia" w:ascii="仿宋_GB2312" w:hAnsi="黑体" w:eastAsia="仿宋_GB2312" w:cs="Times New Roman"/>
          <w:sz w:val="32"/>
          <w:szCs w:val="32"/>
        </w:rPr>
      </w:pPr>
      <w:r>
        <w:rPr>
          <w:rFonts w:hint="eastAsia" w:ascii="仿宋_GB2312" w:hAnsi="黑体" w:eastAsia="仿宋_GB2312"/>
          <w:sz w:val="32"/>
          <w:szCs w:val="32"/>
        </w:rPr>
        <w:t>（二）屯昌县南坤镇黄岭中学</w:t>
      </w:r>
      <w:r>
        <w:rPr>
          <w:rFonts w:hint="eastAsia" w:ascii="仿宋_GB2312" w:hAnsi="黑体" w:eastAsia="仿宋_GB2312"/>
          <w:sz w:val="32"/>
          <w:szCs w:val="32"/>
          <w:lang w:eastAsia="zh-CN"/>
        </w:rPr>
        <w:t>2025年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spacing w:beforeLines="0" w:afterLines="0"/>
        <w:rPr>
          <w:rFonts w:hint="default" w:ascii="Times New Roman" w:hAnsi="Times New Roman" w:eastAsia="仿宋_GB2312" w:cs="Times New Roman"/>
          <w:sz w:val="32"/>
          <w:szCs w:val="22"/>
          <w:shd w:val="clear" w:color="auto" w:fill="FFFFFF"/>
        </w:rPr>
      </w:pPr>
      <w:r>
        <w:rPr>
          <w:rFonts w:hint="default" w:ascii="Times New Roman" w:hAnsi="Times New Roman" w:eastAsia="仿宋_GB2312" w:cs="Times New Roman"/>
          <w:sz w:val="32"/>
          <w:szCs w:val="22"/>
          <w:shd w:val="clear" w:color="auto" w:fill="FFFFFF"/>
        </w:rPr>
        <w:t xml:space="preserve">    </w:t>
      </w:r>
      <w:r>
        <w:rPr>
          <w:rFonts w:hint="eastAsia" w:ascii="Times New Roman" w:hAnsi="Times New Roman" w:eastAsia="仿宋_GB2312" w:cs="Times New Roman"/>
          <w:sz w:val="32"/>
          <w:szCs w:val="2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zCs w:val="22"/>
          <w:shd w:val="clear" w:color="auto" w:fill="FFFFFF"/>
        </w:rPr>
        <w:t>，与上年预算持平；公务用车购置及运行费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zCs w:val="22"/>
          <w:shd w:val="clear" w:color="auto" w:fill="FFFFFF"/>
        </w:rPr>
        <w:t>，与上年预算持平；</w:t>
      </w:r>
      <w:r>
        <w:rPr>
          <w:rFonts w:hint="eastAsia"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hint="eastAsia" w:ascii="Times New Roman" w:hAnsi="Times New Roman" w:eastAsia="仿宋_GB2312" w:cs="Times New Roman"/>
          <w:sz w:val="32"/>
          <w:szCs w:val="22"/>
          <w:shd w:val="clear" w:color="auto" w:fill="FFFFFF"/>
        </w:rPr>
        <w:t>万元，与上年预算持平。</w:t>
      </w:r>
    </w:p>
    <w:p>
      <w:pPr>
        <w:spacing w:beforeLines="0" w:afterLines="0"/>
        <w:ind w:firstLine="640" w:firstLineChars="200"/>
        <w:rPr>
          <w:rFonts w:hint="eastAsia"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五、关于</w:t>
      </w:r>
      <w:r>
        <w:rPr>
          <w:rFonts w:hint="eastAsia" w:ascii="黑体" w:hAnsi="黑体" w:eastAsia="黑体"/>
          <w:sz w:val="32"/>
          <w:szCs w:val="32"/>
        </w:rPr>
        <w:t>屯昌县南坤镇黄岭中学</w:t>
      </w:r>
      <w:r>
        <w:rPr>
          <w:rFonts w:hint="eastAsia" w:ascii="黑体" w:hAnsi="黑体" w:eastAsia="黑体"/>
          <w:sz w:val="32"/>
          <w:szCs w:val="32"/>
          <w:lang w:eastAsia="zh-CN"/>
        </w:rPr>
        <w:t>2025年</w:t>
      </w:r>
      <w:r>
        <w:rPr>
          <w:rFonts w:hint="eastAsia" w:ascii="黑体" w:hAnsi="黑体" w:eastAsia="黑体" w:cs="Times New Roman"/>
          <w:sz w:val="32"/>
          <w:szCs w:val="22"/>
          <w:shd w:val="clear" w:color="auto" w:fill="FFFFFF"/>
        </w:rPr>
        <w:t>政府性基金预算当年拨款情况说明</w:t>
      </w:r>
    </w:p>
    <w:p>
      <w:pPr>
        <w:spacing w:beforeLines="0" w:afterLines="0"/>
        <w:ind w:firstLine="640"/>
        <w:jc w:val="left"/>
        <w:rPr>
          <w:rFonts w:hint="eastAsia" w:ascii="楷体" w:hAnsi="楷体" w:eastAsia="楷体"/>
          <w:sz w:val="32"/>
          <w:szCs w:val="32"/>
        </w:rPr>
      </w:pPr>
      <w:r>
        <w:rPr>
          <w:rFonts w:hint="eastAsia" w:ascii="楷体" w:hAnsi="楷体" w:eastAsia="楷体"/>
          <w:sz w:val="32"/>
          <w:szCs w:val="32"/>
        </w:rPr>
        <w:t>（一）政府性基金预算当年规模变化情况</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屯昌县南坤镇黄岭中学</w:t>
      </w:r>
      <w:r>
        <w:rPr>
          <w:rFonts w:hint="eastAsia" w:ascii="仿宋_GB2312" w:hAnsi="黑体" w:eastAsia="仿宋_GB2312"/>
          <w:sz w:val="32"/>
          <w:szCs w:val="32"/>
          <w:lang w:eastAsia="zh-CN"/>
        </w:rPr>
        <w:t>2025年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spacing w:beforeLines="0" w:afterLines="0"/>
        <w:ind w:firstLine="640"/>
        <w:jc w:val="left"/>
        <w:rPr>
          <w:rFonts w:hint="eastAsia" w:ascii="楷体" w:hAnsi="楷体" w:eastAsia="楷体"/>
          <w:sz w:val="32"/>
          <w:szCs w:val="32"/>
        </w:rPr>
      </w:pPr>
      <w:r>
        <w:rPr>
          <w:rFonts w:hint="eastAsia" w:ascii="楷体" w:hAnsi="楷体" w:eastAsia="楷体"/>
          <w:sz w:val="32"/>
          <w:szCs w:val="32"/>
        </w:rPr>
        <w:t>（二）政府性基金预算当年拨款结构情况</w:t>
      </w:r>
    </w:p>
    <w:p>
      <w:pPr>
        <w:spacing w:beforeLines="0" w:afterLines="0"/>
        <w:ind w:firstLine="800" w:firstLineChars="250"/>
        <w:rPr>
          <w:rFonts w:hint="eastAsia"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spacing w:beforeLines="0" w:afterLines="0"/>
        <w:ind w:firstLine="640"/>
        <w:jc w:val="left"/>
        <w:rPr>
          <w:rFonts w:hint="eastAsia" w:ascii="楷体" w:hAnsi="楷体" w:eastAsia="楷体"/>
          <w:sz w:val="32"/>
          <w:szCs w:val="32"/>
        </w:rPr>
      </w:pPr>
      <w:r>
        <w:rPr>
          <w:rFonts w:hint="eastAsia" w:ascii="楷体" w:hAnsi="楷体" w:eastAsia="楷体"/>
          <w:sz w:val="32"/>
          <w:szCs w:val="32"/>
        </w:rPr>
        <w:t>（三）政府性基金预算当年拨款具体使用情况</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spacing w:beforeLines="0" w:afterLines="0"/>
        <w:ind w:firstLine="640" w:firstLineChars="200"/>
        <w:rPr>
          <w:rFonts w:hint="eastAsia"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六、关于</w:t>
      </w:r>
      <w:r>
        <w:rPr>
          <w:rFonts w:hint="eastAsia" w:ascii="黑体" w:hAnsi="黑体" w:eastAsia="黑体"/>
          <w:sz w:val="32"/>
          <w:szCs w:val="32"/>
        </w:rPr>
        <w:t>屯昌县南坤镇黄岭中学</w:t>
      </w:r>
      <w:r>
        <w:rPr>
          <w:rFonts w:hint="eastAsia" w:ascii="黑体" w:hAnsi="黑体" w:eastAsia="黑体"/>
          <w:sz w:val="32"/>
          <w:szCs w:val="32"/>
          <w:lang w:eastAsia="zh-CN"/>
        </w:rPr>
        <w:t>2025年</w:t>
      </w:r>
      <w:r>
        <w:rPr>
          <w:rFonts w:hint="eastAsia" w:ascii="黑体" w:hAnsi="黑体" w:eastAsia="黑体" w:cs="Times New Roman"/>
          <w:sz w:val="32"/>
          <w:szCs w:val="22"/>
          <w:shd w:val="clear" w:color="auto" w:fill="FFFFFF"/>
        </w:rPr>
        <w:t>收支预算情况的总体说明</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屯昌县南坤镇黄岭中学</w:t>
      </w:r>
      <w:r>
        <w:rPr>
          <w:rFonts w:hint="eastAsia" w:ascii="仿宋_GB2312" w:hAnsi="黑体" w:eastAsia="仿宋_GB2312" w:cs="仿宋_GB2312"/>
          <w:sz w:val="32"/>
          <w:szCs w:val="32"/>
        </w:rPr>
        <w:t>所有收入和支出均纳入部门预算管理。收入包括：一般公共预算收入、上年结转收入</w:t>
      </w:r>
      <w:r>
        <w:rPr>
          <w:rFonts w:hint="eastAsia" w:ascii="仿宋_GB2312" w:hAnsi="黑体" w:eastAsia="仿宋_GB2312"/>
          <w:sz w:val="32"/>
          <w:szCs w:val="32"/>
        </w:rPr>
        <w:t>；支出包括：教育支出、社会保障和就业支出、卫生健康支出、住房保障支出。屯昌县南坤镇黄岭中学</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w:t>
      </w:r>
    </w:p>
    <w:p>
      <w:pPr>
        <w:spacing w:beforeLines="0" w:afterLines="0"/>
        <w:ind w:firstLine="640" w:firstLineChars="200"/>
        <w:rPr>
          <w:rFonts w:hint="eastAsia"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七、关于</w:t>
      </w:r>
      <w:r>
        <w:rPr>
          <w:rFonts w:hint="eastAsia" w:ascii="黑体" w:hAnsi="黑体" w:eastAsia="黑体"/>
          <w:sz w:val="32"/>
          <w:szCs w:val="32"/>
        </w:rPr>
        <w:t>屯昌县南坤镇黄岭中学</w:t>
      </w:r>
      <w:r>
        <w:rPr>
          <w:rFonts w:hint="eastAsia" w:ascii="黑体" w:hAnsi="黑体" w:eastAsia="黑体"/>
          <w:sz w:val="32"/>
          <w:szCs w:val="32"/>
          <w:lang w:eastAsia="zh-CN"/>
        </w:rPr>
        <w:t>2025年</w:t>
      </w:r>
      <w:r>
        <w:rPr>
          <w:rFonts w:hint="eastAsia" w:ascii="黑体" w:hAnsi="黑体" w:eastAsia="黑体" w:cs="Times New Roman"/>
          <w:sz w:val="32"/>
          <w:szCs w:val="22"/>
          <w:shd w:val="clear" w:color="auto" w:fill="FFFFFF"/>
        </w:rPr>
        <w:t>收入预算情况说明</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屯昌县南坤镇黄岭中学</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增加188.66</w:t>
      </w:r>
      <w:r>
        <w:rPr>
          <w:rFonts w:hint="eastAsia" w:ascii="仿宋_GB2312" w:hAnsi="黑体" w:eastAsia="仿宋_GB2312" w:cs="仿宋_GB2312"/>
          <w:sz w:val="32"/>
          <w:szCs w:val="32"/>
        </w:rPr>
        <w:t>万元，</w:t>
      </w:r>
      <w:r>
        <w:rPr>
          <w:rFonts w:hint="eastAsia" w:ascii="仿宋_GB2312" w:hAnsi="黑体" w:eastAsia="仿宋_GB2312"/>
          <w:sz w:val="32"/>
          <w:szCs w:val="32"/>
        </w:rPr>
        <w:t>主要是一般公共预算收入</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w:t>
      </w:r>
    </w:p>
    <w:p>
      <w:pPr>
        <w:spacing w:beforeLines="0" w:afterLines="0"/>
        <w:ind w:firstLine="640" w:firstLineChars="200"/>
        <w:rPr>
          <w:rFonts w:hint="eastAsia"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八、关于</w:t>
      </w:r>
      <w:r>
        <w:rPr>
          <w:rFonts w:hint="eastAsia" w:ascii="黑体" w:hAnsi="黑体" w:eastAsia="黑体"/>
          <w:sz w:val="32"/>
          <w:szCs w:val="32"/>
        </w:rPr>
        <w:t>屯昌县南坤镇黄岭中学</w:t>
      </w:r>
      <w:r>
        <w:rPr>
          <w:rFonts w:hint="eastAsia" w:ascii="黑体" w:hAnsi="黑体" w:eastAsia="黑体"/>
          <w:sz w:val="32"/>
          <w:szCs w:val="32"/>
          <w:lang w:eastAsia="zh-CN"/>
        </w:rPr>
        <w:t>2025年</w:t>
      </w:r>
      <w:r>
        <w:rPr>
          <w:rFonts w:hint="eastAsia" w:ascii="黑体" w:hAnsi="黑体" w:eastAsia="黑体" w:cs="Times New Roman"/>
          <w:sz w:val="32"/>
          <w:szCs w:val="22"/>
          <w:shd w:val="clear" w:color="auto" w:fill="FFFFFF"/>
        </w:rPr>
        <w:t>支出预算情况说明</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sz w:val="32"/>
          <w:szCs w:val="32"/>
        </w:rPr>
        <w:t>屯昌县南坤镇黄岭中学</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968.16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99.90</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0.8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0.1</w:t>
      </w:r>
      <w:r>
        <w:rPr>
          <w:rFonts w:hint="eastAsia" w:ascii="仿宋_GB2312" w:hAnsi="黑体" w:eastAsia="仿宋_GB2312"/>
          <w:sz w:val="32"/>
          <w:szCs w:val="32"/>
        </w:rPr>
        <w:t>%。</w:t>
      </w:r>
      <w:r>
        <w:rPr>
          <w:rFonts w:hint="eastAsia" w:ascii="仿宋_GB2312" w:hAnsi="黑体" w:eastAsia="仿宋_GB2312"/>
          <w:sz w:val="32"/>
          <w:szCs w:val="32"/>
          <w:lang w:val="en-US" w:eastAsia="zh-CN"/>
        </w:rPr>
        <w:t>比</w:t>
      </w:r>
      <w:r>
        <w:rPr>
          <w:rFonts w:hint="eastAsia" w:ascii="仿宋_GB2312" w:hAnsi="黑体" w:eastAsia="仿宋_GB2312"/>
          <w:sz w:val="32"/>
          <w:szCs w:val="32"/>
        </w:rPr>
        <w:t>上年预算数</w:t>
      </w:r>
      <w:r>
        <w:rPr>
          <w:rFonts w:hint="eastAsia" w:ascii="仿宋_GB2312" w:hAnsi="黑体" w:eastAsia="仿宋_GB2312" w:cs="仿宋_GB2312"/>
          <w:sz w:val="32"/>
          <w:szCs w:val="32"/>
        </w:rPr>
        <w:t>增加</w:t>
      </w:r>
      <w:r>
        <w:rPr>
          <w:rFonts w:hint="eastAsia" w:ascii="仿宋_GB2312" w:hAnsi="黑体" w:eastAsia="仿宋_GB2312"/>
          <w:sz w:val="32"/>
          <w:szCs w:val="32"/>
          <w:lang w:val="en-US" w:eastAsia="zh-CN"/>
        </w:rPr>
        <w:t>188.66</w:t>
      </w:r>
      <w:r>
        <w:rPr>
          <w:rFonts w:hint="eastAsia" w:ascii="仿宋_GB2312" w:hAnsi="黑体" w:eastAsia="仿宋_GB2312"/>
          <w:sz w:val="32"/>
          <w:szCs w:val="32"/>
        </w:rPr>
        <w:t>万元，主要是基本支出</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w:t>
      </w:r>
    </w:p>
    <w:p>
      <w:pPr>
        <w:spacing w:beforeLines="0" w:afterLines="0"/>
        <w:ind w:firstLine="640" w:firstLineChars="200"/>
        <w:rPr>
          <w:rFonts w:hint="eastAsia" w:ascii="黑体" w:hAnsi="黑体" w:eastAsia="黑体" w:cs="Times New Roman"/>
          <w:sz w:val="32"/>
          <w:szCs w:val="22"/>
          <w:shd w:val="clear" w:color="auto" w:fill="FFFFFF"/>
        </w:rPr>
      </w:pPr>
      <w:r>
        <w:rPr>
          <w:rFonts w:hint="eastAsia" w:ascii="黑体" w:hAnsi="黑体" w:eastAsia="黑体" w:cs="Times New Roman"/>
          <w:sz w:val="32"/>
          <w:szCs w:val="22"/>
          <w:shd w:val="clear" w:color="auto" w:fill="FFFFFF"/>
        </w:rPr>
        <w:t>九、其他重要事项的情况说明</w:t>
      </w:r>
    </w:p>
    <w:p>
      <w:pPr>
        <w:spacing w:beforeLines="0" w:afterLines="0"/>
        <w:ind w:firstLine="640" w:firstLineChars="200"/>
        <w:rPr>
          <w:rFonts w:hint="eastAsia"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屯昌县南坤镇黄岭中学</w:t>
      </w:r>
      <w:r>
        <w:rPr>
          <w:rFonts w:hint="eastAsia" w:ascii="仿宋_GB2312" w:hAnsi="黑体" w:eastAsia="仿宋_GB2312" w:cs="仿宋_GB2312"/>
          <w:sz w:val="32"/>
          <w:szCs w:val="32"/>
        </w:rPr>
        <w:t>的机关运行经费预算0</w:t>
      </w:r>
      <w:r>
        <w:rPr>
          <w:rFonts w:hint="eastAsia" w:ascii="仿宋_GB2312" w:hAnsi="黑体" w:eastAsia="仿宋_GB2312"/>
          <w:sz w:val="32"/>
          <w:szCs w:val="32"/>
        </w:rPr>
        <w:t>万元。</w:t>
      </w:r>
    </w:p>
    <w:p>
      <w:pPr>
        <w:spacing w:beforeLines="0" w:afterLines="0"/>
        <w:ind w:firstLine="640" w:firstLineChars="200"/>
        <w:rPr>
          <w:rFonts w:hint="eastAsia" w:ascii="楷体" w:hAnsi="楷体" w:eastAsia="楷体"/>
          <w:sz w:val="32"/>
          <w:szCs w:val="32"/>
        </w:rPr>
      </w:pPr>
      <w:r>
        <w:rPr>
          <w:rFonts w:hint="eastAsia" w:ascii="楷体" w:hAnsi="楷体" w:eastAsia="楷体"/>
          <w:sz w:val="32"/>
          <w:szCs w:val="32"/>
        </w:rPr>
        <w:t>（二）政府采购情况</w:t>
      </w:r>
    </w:p>
    <w:p>
      <w:pPr>
        <w:spacing w:beforeLines="0" w:afterLines="0"/>
        <w:ind w:firstLine="640"/>
        <w:rPr>
          <w:rFonts w:hint="eastAsia" w:ascii="仿宋_GB2312" w:hAnsi="黑体" w:eastAsia="仿宋_GB2312"/>
          <w:sz w:val="32"/>
          <w:szCs w:val="32"/>
        </w:rPr>
      </w:pP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屯昌县南坤镇黄岭中学</w:t>
      </w:r>
      <w:r>
        <w:rPr>
          <w:rFonts w:hint="eastAsia" w:ascii="仿宋_GB2312" w:hAnsi="黑体" w:eastAsia="仿宋_GB2312" w:cs="仿宋_GB2312"/>
          <w:sz w:val="32"/>
          <w:szCs w:val="32"/>
        </w:rPr>
        <w:t>无政府采购预算</w:t>
      </w:r>
      <w:r>
        <w:rPr>
          <w:rFonts w:hint="eastAsia" w:ascii="仿宋_GB2312" w:hAnsi="黑体" w:eastAsia="仿宋_GB2312"/>
          <w:sz w:val="32"/>
          <w:szCs w:val="32"/>
        </w:rPr>
        <w:t>。</w:t>
      </w:r>
    </w:p>
    <w:p>
      <w:pPr>
        <w:spacing w:beforeLines="0" w:afterLines="0"/>
        <w:ind w:firstLine="640" w:firstLineChars="200"/>
        <w:rPr>
          <w:rFonts w:hint="eastAsia" w:ascii="楷体" w:hAnsi="楷体" w:eastAsia="楷体"/>
          <w:sz w:val="32"/>
          <w:szCs w:val="32"/>
        </w:rPr>
      </w:pPr>
      <w:r>
        <w:rPr>
          <w:rFonts w:hint="eastAsia" w:ascii="楷体" w:hAnsi="楷体" w:eastAsia="楷体"/>
          <w:sz w:val="32"/>
          <w:szCs w:val="32"/>
        </w:rPr>
        <w:t>（三）国有资产占有使用情况</w:t>
      </w:r>
    </w:p>
    <w:p>
      <w:pPr>
        <w:spacing w:beforeLines="0" w:afterLines="0"/>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lang w:eastAsia="zh-CN"/>
        </w:rPr>
        <w:t>年</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lang w:val="en-US" w:eastAsia="zh-CN"/>
        </w:rPr>
        <w:t>2</w:t>
      </w:r>
      <w:r>
        <w:rPr>
          <w:rFonts w:hint="eastAsia" w:ascii="仿宋_GB2312" w:hAnsi="黑体" w:eastAsia="仿宋_GB2312"/>
          <w:sz w:val="32"/>
          <w:szCs w:val="32"/>
        </w:rPr>
        <w:t>月</w:t>
      </w:r>
      <w:r>
        <w:rPr>
          <w:rFonts w:hint="eastAsia" w:ascii="仿宋_GB2312" w:hAnsi="黑体" w:eastAsia="仿宋_GB2312"/>
          <w:sz w:val="32"/>
          <w:szCs w:val="32"/>
          <w:lang w:val="en-US" w:eastAsia="zh-CN"/>
        </w:rPr>
        <w:t>31</w:t>
      </w:r>
      <w:r>
        <w:rPr>
          <w:rFonts w:hint="eastAsia" w:ascii="仿宋_GB2312" w:hAnsi="黑体" w:eastAsia="仿宋_GB2312"/>
          <w:sz w:val="32"/>
          <w:szCs w:val="32"/>
        </w:rPr>
        <w:t>日，屯昌县南坤镇黄岭中学</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spacing w:beforeLines="0" w:afterLines="0"/>
        <w:ind w:firstLine="640" w:firstLineChars="200"/>
        <w:rPr>
          <w:rFonts w:hint="eastAsia" w:ascii="楷体" w:hAnsi="楷体" w:eastAsia="楷体"/>
          <w:sz w:val="32"/>
          <w:szCs w:val="32"/>
        </w:rPr>
      </w:pPr>
      <w:r>
        <w:rPr>
          <w:rFonts w:hint="eastAsia" w:ascii="楷体" w:hAnsi="楷体" w:eastAsia="楷体"/>
          <w:sz w:val="32"/>
          <w:szCs w:val="32"/>
        </w:rPr>
        <w:t>（四）绩效目标设置情况</w:t>
      </w:r>
    </w:p>
    <w:p>
      <w:pPr>
        <w:spacing w:beforeLines="0" w:afterLines="0"/>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屯昌县南坤镇黄岭中学</w:t>
      </w:r>
      <w:r>
        <w:rPr>
          <w:rFonts w:hint="eastAsia" w:ascii="仿宋_GB2312" w:hAnsi="黑体" w:eastAsia="仿宋_GB2312"/>
          <w:sz w:val="32"/>
          <w:szCs w:val="32"/>
          <w:lang w:val="en-US" w:eastAsia="zh-CN"/>
        </w:rPr>
        <w:t>13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968.96</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单位资金0万元</w:t>
      </w:r>
      <w:r>
        <w:rPr>
          <w:rFonts w:hint="eastAsia" w:ascii="仿宋_GB2312" w:hAnsi="黑体" w:eastAsia="仿宋_GB2312"/>
          <w:sz w:val="32"/>
          <w:szCs w:val="32"/>
        </w:rPr>
        <w:t>。</w:t>
      </w:r>
    </w:p>
    <w:p>
      <w:pPr>
        <w:spacing w:beforeLines="0" w:afterLines="0"/>
        <w:jc w:val="left"/>
        <w:rPr>
          <w:rFonts w:hint="eastAsia" w:ascii="仿宋_GB2312" w:hAnsi="宋体" w:eastAsia="仿宋_GB2312" w:cs="宋体"/>
          <w:color w:val="000000"/>
          <w:kern w:val="0"/>
          <w:sz w:val="32"/>
          <w:szCs w:val="30"/>
        </w:rPr>
      </w:pPr>
    </w:p>
    <w:p>
      <w:pPr>
        <w:spacing w:beforeLines="0" w:afterLines="0"/>
        <w:jc w:val="center"/>
        <w:rPr>
          <w:rFonts w:hint="eastAsia" w:ascii="黑体" w:hAnsi="黑体" w:eastAsia="黑体"/>
          <w:b/>
          <w:sz w:val="32"/>
          <w:szCs w:val="32"/>
        </w:rPr>
      </w:pPr>
      <w:r>
        <w:rPr>
          <w:rFonts w:hint="eastAsia" w:ascii="黑体" w:hAnsi="黑体" w:eastAsia="黑体"/>
          <w:b/>
          <w:sz w:val="32"/>
          <w:szCs w:val="32"/>
        </w:rPr>
        <w:t>第四部分  名词解释</w:t>
      </w:r>
    </w:p>
    <w:p>
      <w:pPr>
        <w:spacing w:beforeLines="0" w:afterLines="0"/>
        <w:ind w:firstLine="640" w:firstLineChars="200"/>
        <w:jc w:val="left"/>
        <w:rPr>
          <w:rFonts w:hint="eastAsia" w:ascii="仿宋_GB2312" w:eastAsia="仿宋_GB2312" w:cs="宋体"/>
          <w:color w:val="000000"/>
          <w:kern w:val="0"/>
          <w:sz w:val="32"/>
          <w:szCs w:val="32"/>
          <w:lang w:val="zh-CN"/>
        </w:rPr>
      </w:pPr>
    </w:p>
    <w:p>
      <w:pPr>
        <w:autoSpaceDE w:val="0"/>
        <w:autoSpaceDN w:val="0"/>
        <w:adjustRightInd w:val="0"/>
        <w:spacing w:beforeLines="0" w:afterLines="0"/>
        <w:ind w:firstLine="640" w:firstLineChars="200"/>
        <w:jc w:val="left"/>
        <w:rPr>
          <w:rFonts w:hint="eastAsia" w:ascii="仿宋_GB2312" w:eastAsia="仿宋_GB2312" w:cs="宋体"/>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color w:val="000000"/>
          <w:kern w:val="0"/>
          <w:sz w:val="32"/>
          <w:szCs w:val="32"/>
          <w:lang w:val="zh-CN"/>
        </w:rPr>
        <w:t>指用于反映税收收入、专项收入、行政事业性收费收入、罚没收入、国有资源（资产）有偿使用收入、政府住房基金收入、捐赠收入等财政收入。</w:t>
      </w:r>
    </w:p>
    <w:p>
      <w:pPr>
        <w:spacing w:beforeLines="0" w:afterLines="0"/>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spacing w:beforeLines="0" w:afterLines="0"/>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color w:val="000000"/>
          <w:kern w:val="0"/>
          <w:sz w:val="32"/>
          <w:szCs w:val="32"/>
          <w:lang w:val="zh-CN"/>
        </w:rPr>
        <w:t>指用于反映政府为履行职责，依法依规收取、提取和安排使用的未纳入预算管理的除教育收费以外的各种财政性资金。</w:t>
      </w:r>
    </w:p>
    <w:p>
      <w:pPr>
        <w:spacing w:beforeLines="0" w:afterLines="0"/>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p>
    <w:p>
      <w:pPr>
        <w:spacing w:beforeLines="0" w:afterLines="0"/>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color w:val="000000"/>
          <w:kern w:val="0"/>
          <w:sz w:val="32"/>
          <w:szCs w:val="32"/>
          <w:lang w:val="zh-CN"/>
        </w:rPr>
        <w:t>指用于反映事</w:t>
      </w:r>
      <w:bookmarkStart w:id="0" w:name="_GoBack"/>
      <w:bookmarkEnd w:id="0"/>
      <w:r>
        <w:rPr>
          <w:rFonts w:hint="eastAsia" w:ascii="仿宋_GB2312" w:eastAsia="仿宋_GB2312" w:cs="宋体"/>
          <w:color w:val="000000"/>
          <w:kern w:val="0"/>
          <w:sz w:val="32"/>
          <w:szCs w:val="32"/>
          <w:lang w:val="zh-CN"/>
        </w:rPr>
        <w:t>业单位开展专业业务活动及辅助活动所取得的收入。</w:t>
      </w:r>
    </w:p>
    <w:p>
      <w:pPr>
        <w:spacing w:beforeLines="0" w:afterLines="0"/>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color w:val="000000"/>
          <w:kern w:val="0"/>
          <w:sz w:val="32"/>
          <w:szCs w:val="32"/>
          <w:lang w:val="zh-CN"/>
        </w:rPr>
        <w:t>指用于反映事业单位在专业活动及辅助活动之外开展非独立核算经营活动取得的收入。</w:t>
      </w:r>
    </w:p>
    <w:p>
      <w:pPr>
        <w:spacing w:beforeLines="0" w:afterLines="0"/>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spacing w:beforeLines="0" w:afterLines="0"/>
        <w:ind w:firstLine="640" w:firstLineChars="200"/>
        <w:jc w:val="left"/>
        <w:rPr>
          <w:rFonts w:hint="eastAsia" w:ascii="仿宋_GB2312" w:eastAsia="仿宋_GB2312" w:cs="宋体"/>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spacing w:beforeLines="0" w:afterLines="0"/>
        <w:ind w:firstLine="640" w:firstLineChars="200"/>
        <w:jc w:val="left"/>
        <w:rPr>
          <w:rFonts w:hint="eastAsia" w:ascii="仿宋_GB2312" w:eastAsia="仿宋_GB2312" w:cs="宋体"/>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color w:val="000000"/>
          <w:kern w:val="0"/>
          <w:sz w:val="32"/>
          <w:szCs w:val="32"/>
          <w:lang w:val="zh-CN"/>
        </w:rPr>
        <w:t>指用于反映以前年度尚未完成、结转到本年仍按规定用途继续使用的资金等。</w:t>
      </w:r>
    </w:p>
    <w:p>
      <w:pPr>
        <w:spacing w:beforeLines="0" w:afterLines="0"/>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十、基本支出：指行政事业单位用于为保障其机构正常运转、完成日常工作任务而发生的人员支出和公用支出。</w:t>
      </w:r>
    </w:p>
    <w:p>
      <w:pPr>
        <w:spacing w:beforeLines="0" w:afterLines="0"/>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十一、项目支出：指在基本支出之外为完成特定的行政工作任务或事业发展目标所发生的支出。</w:t>
      </w:r>
    </w:p>
    <w:p>
      <w:pPr>
        <w:spacing w:beforeLines="0" w:afterLines="0"/>
        <w:ind w:firstLine="640" w:firstLineChars="200"/>
        <w:jc w:val="left"/>
        <w:rPr>
          <w:rFonts w:hint="eastAsia"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spacing w:beforeLines="0" w:afterLines="0"/>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beforeLines="0" w:afterLines="0"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w:t>
      </w:r>
      <w:r>
        <w:rPr>
          <w:rFonts w:hint="eastAsia" w:ascii="仿宋_GB2312" w:hAnsi="黑体" w:eastAsia="仿宋_GB2312" w:cs="仿宋_GB2312"/>
          <w:sz w:val="32"/>
          <w:szCs w:val="32"/>
        </w:rPr>
        <w:t>教育支出（类）普通教育（款）学前教育（项）：</w:t>
      </w:r>
      <w:r>
        <w:rPr>
          <w:rFonts w:hint="eastAsia" w:ascii="仿宋_GB2312" w:hAnsi="宋体" w:eastAsia="仿宋_GB2312" w:cs="宋体"/>
          <w:color w:val="000000"/>
          <w:kern w:val="0"/>
          <w:sz w:val="32"/>
          <w:szCs w:val="30"/>
        </w:rPr>
        <w:t>反映各部门举办的学前教育支出。</w:t>
      </w:r>
    </w:p>
    <w:p>
      <w:pPr>
        <w:widowControl/>
        <w:spacing w:beforeLines="0" w:afterLines="0"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w:t>
      </w:r>
      <w:r>
        <w:rPr>
          <w:rFonts w:hint="eastAsia" w:ascii="仿宋_GB2312" w:hAnsi="黑体" w:eastAsia="仿宋_GB2312" w:cs="仿宋_GB2312"/>
          <w:sz w:val="32"/>
          <w:szCs w:val="32"/>
        </w:rPr>
        <w:t>社会保障和就业支出（类）行政事业单位养老支出（款）机关事业单位基本养老保险缴费支出（项）：</w:t>
      </w:r>
      <w:r>
        <w:rPr>
          <w:rFonts w:hint="eastAsia" w:ascii="仿宋_GB2312" w:hAnsi="宋体" w:eastAsia="仿宋_GB2312" w:cs="宋体"/>
          <w:color w:val="000000"/>
          <w:kern w:val="0"/>
          <w:sz w:val="32"/>
          <w:szCs w:val="30"/>
        </w:rPr>
        <w:t>指用于单位缴纳的基本养老保险费支出。</w:t>
      </w:r>
    </w:p>
    <w:p>
      <w:pPr>
        <w:widowControl/>
        <w:spacing w:beforeLines="0" w:afterLines="0" w:line="560" w:lineRule="exact"/>
        <w:ind w:firstLine="640" w:firstLineChars="200"/>
        <w:rPr>
          <w:rFonts w:hint="eastAsia" w:ascii="仿宋_GB2312" w:hAnsi="黑体" w:eastAsia="仿宋_GB2312"/>
          <w:sz w:val="32"/>
          <w:szCs w:val="32"/>
        </w:rPr>
      </w:pPr>
      <w:r>
        <w:rPr>
          <w:rFonts w:hint="eastAsia" w:ascii="仿宋_GB2312" w:hAnsi="宋体" w:eastAsia="仿宋_GB2312" w:cs="宋体"/>
          <w:color w:val="000000"/>
          <w:kern w:val="0"/>
          <w:sz w:val="32"/>
          <w:szCs w:val="30"/>
        </w:rPr>
        <w:t>十六、</w:t>
      </w:r>
      <w:r>
        <w:rPr>
          <w:rFonts w:hint="eastAsia" w:ascii="仿宋_GB2312" w:hAnsi="黑体" w:eastAsia="仿宋_GB2312" w:cs="仿宋_GB2312"/>
          <w:sz w:val="32"/>
          <w:szCs w:val="32"/>
        </w:rPr>
        <w:t>卫生健康支出（类）行政事业单位医疗（款）事业单位医疗（项）：</w:t>
      </w:r>
      <w:r>
        <w:rPr>
          <w:rFonts w:hint="eastAsia" w:ascii="仿宋_GB2312" w:hAnsi="宋体" w:eastAsia="仿宋_GB2312" w:cs="宋体"/>
          <w:color w:val="000000"/>
          <w:kern w:val="0"/>
          <w:sz w:val="32"/>
          <w:szCs w:val="30"/>
        </w:rPr>
        <w:t>反映财政部门集中安排的事业单位基本医疗保险缴费经费，未参加医疗保险的事业单位的公费医疗经费，按国家规定享受离休人员待遇的医疗经费</w:t>
      </w:r>
      <w:r>
        <w:rPr>
          <w:rFonts w:hint="eastAsia" w:ascii="仿宋_GB2312" w:hAnsi="黑体" w:eastAsia="仿宋_GB2312"/>
          <w:sz w:val="32"/>
          <w:szCs w:val="32"/>
        </w:rPr>
        <w:t>。</w:t>
      </w:r>
    </w:p>
    <w:p>
      <w:pPr>
        <w:widowControl/>
        <w:spacing w:beforeLines="0" w:afterLines="0" w:line="560" w:lineRule="exact"/>
        <w:ind w:firstLine="640" w:firstLineChars="200"/>
        <w:rPr>
          <w:rFonts w:hint="eastAsia" w:ascii="仿宋_GB2312" w:hAnsi="宋体" w:eastAsia="仿宋_GB2312" w:cs="宋体"/>
          <w:color w:val="000000"/>
          <w:kern w:val="0"/>
          <w:sz w:val="32"/>
          <w:szCs w:val="30"/>
        </w:rPr>
      </w:pPr>
      <w:r>
        <w:rPr>
          <w:rFonts w:hint="eastAsia" w:ascii="仿宋_GB2312" w:hAnsi="黑体" w:eastAsia="仿宋_GB2312"/>
          <w:sz w:val="32"/>
          <w:szCs w:val="32"/>
        </w:rPr>
        <w:t>十七、</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反映财政部门集中安排的公务员医疗补助经费。</w:t>
      </w:r>
    </w:p>
    <w:p>
      <w:pPr>
        <w:widowControl/>
        <w:spacing w:beforeLines="0" w:afterLines="0"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十八、</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反映除行政单位医疗、</w:t>
      </w:r>
      <w:r>
        <w:rPr>
          <w:rFonts w:hint="eastAsia" w:ascii="仿宋_GB2312" w:hAnsi="黑体" w:eastAsia="仿宋_GB2312" w:cs="仿宋_GB2312"/>
          <w:sz w:val="32"/>
          <w:szCs w:val="32"/>
        </w:rPr>
        <w:t>事业单位医疗、</w:t>
      </w:r>
      <w:r>
        <w:rPr>
          <w:rFonts w:hint="eastAsia" w:ascii="仿宋_GB2312" w:hAnsi="黑体" w:eastAsia="仿宋_GB2312"/>
          <w:sz w:val="32"/>
          <w:szCs w:val="32"/>
        </w:rPr>
        <w:t>公务员医疗补助</w:t>
      </w:r>
      <w:r>
        <w:rPr>
          <w:rFonts w:hint="eastAsia" w:ascii="仿宋_GB2312" w:hAnsi="宋体" w:eastAsia="仿宋_GB2312" w:cs="宋体"/>
          <w:color w:val="000000"/>
          <w:kern w:val="0"/>
          <w:sz w:val="32"/>
          <w:szCs w:val="30"/>
        </w:rPr>
        <w:t>其他用于行政事业单位医疗方面的支出。</w:t>
      </w:r>
    </w:p>
    <w:p>
      <w:pPr>
        <w:widowControl/>
        <w:spacing w:beforeLines="0" w:afterLines="0" w:line="560" w:lineRule="exact"/>
        <w:ind w:firstLine="640" w:firstLineChars="200"/>
        <w:jc w:val="left"/>
        <w:rPr>
          <w:rFonts w:hint="eastAsia" w:ascii="仿宋_GB2312" w:hAnsi="黑体" w:eastAsia="仿宋_GB2312" w:cs="仿宋_GB2312"/>
          <w:sz w:val="32"/>
          <w:szCs w:val="32"/>
        </w:rPr>
      </w:pPr>
      <w:r>
        <w:rPr>
          <w:rFonts w:hint="eastAsia" w:ascii="仿宋_GB2312" w:hAnsi="黑体" w:eastAsia="仿宋_GB2312"/>
          <w:sz w:val="32"/>
          <w:szCs w:val="32"/>
        </w:rPr>
        <w:t>十九、</w:t>
      </w:r>
      <w:r>
        <w:rPr>
          <w:rFonts w:hint="eastAsia" w:ascii="仿宋_GB2312" w:hAnsi="黑体" w:eastAsia="仿宋_GB2312" w:cs="仿宋_GB2312"/>
          <w:sz w:val="32"/>
          <w:szCs w:val="32"/>
        </w:rPr>
        <w:t>住房保障支出（类）住房改革支出（款）住房公积金（项）：</w:t>
      </w:r>
      <w:r>
        <w:rPr>
          <w:rFonts w:hint="eastAsia" w:ascii="仿宋_GB2312" w:hAnsi="宋体" w:eastAsia="仿宋_GB2312" w:cs="宋体"/>
          <w:color w:val="000000"/>
          <w:kern w:val="0"/>
          <w:sz w:val="32"/>
          <w:szCs w:val="30"/>
        </w:rPr>
        <w:t>指用于按规定比例为职工缴纳的住房公积金支出。</w:t>
      </w:r>
    </w:p>
    <w:p/>
    <w:sectPr>
      <w:footerReference r:id="rId4" w:type="default"/>
      <w:pgSz w:w="11906" w:h="16838"/>
      <w:pgMar w:top="1440" w:right="1800" w:bottom="1440" w:left="1800"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rPr>
        <w:rFonts w:hint="default"/>
        <w:sz w:val="18"/>
        <w:szCs w:val="18"/>
      </w:rPr>
    </w:pP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2"/>
                            <w:spacing w:beforeLines="0" w:afterLines="0"/>
                            <w:rPr>
                              <w:rFonts w:hint="default"/>
                              <w:sz w:val="18"/>
                              <w:szCs w:val="18"/>
                            </w:rPr>
                          </w:pPr>
                          <w:r>
                            <w:rPr>
                              <w:rFonts w:hint="default"/>
                              <w:sz w:val="18"/>
                              <w:szCs w:val="18"/>
                            </w:rPr>
                            <w:fldChar w:fldCharType="begin"/>
                          </w:r>
                          <w:r>
                            <w:rPr>
                              <w:rFonts w:hint="default"/>
                              <w:sz w:val="18"/>
                              <w:szCs w:val="18"/>
                            </w:rPr>
                            <w:instrText xml:space="preserve"> PAGE  \* MERGEFORMAT </w:instrText>
                          </w:r>
                          <w:r>
                            <w:rPr>
                              <w:rFonts w:hint="default"/>
                              <w:sz w:val="18"/>
                              <w:szCs w:val="18"/>
                            </w:rPr>
                            <w:fldChar w:fldCharType="separate"/>
                          </w:r>
                          <w:r>
                            <w:rPr>
                              <w:rFonts w:hint="default"/>
                              <w:sz w:val="18"/>
                              <w:szCs w:val="18"/>
                            </w:rPr>
                            <w:t>1</w:t>
                          </w:r>
                          <w:r>
                            <w:rPr>
                              <w:rFonts w:hint="default"/>
                              <w:sz w:val="18"/>
                              <w:szCs w:val="18"/>
                            </w:rPr>
                            <w:fldChar w:fldCharType="end"/>
                          </w: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EIBY4OcBAADH&#10;AwAADgAAAAAAAAABACAAAAAfAQAAZHJzL2Uyb0RvYy54bWxQSwUGAAAAAAYABgBZAQAAeAUAAAAA&#10;">
              <v:fill on="f" focussize="0,0"/>
              <v:stroke on="f" weight="0.5pt"/>
              <v:imagedata o:title=""/>
              <o:lock v:ext="edit" aspectratio="f"/>
              <v:textbox inset="0mm,0mm,0mm,0mm" style="mso-fit-shape-to-text:t;">
                <w:txbxContent>
                  <w:p>
                    <w:pPr>
                      <w:pStyle w:val="2"/>
                      <w:spacing w:beforeLines="0" w:afterLines="0"/>
                      <w:rPr>
                        <w:rFonts w:hint="default"/>
                        <w:sz w:val="18"/>
                        <w:szCs w:val="18"/>
                      </w:rPr>
                    </w:pPr>
                    <w:r>
                      <w:rPr>
                        <w:rFonts w:hint="default"/>
                        <w:sz w:val="18"/>
                        <w:szCs w:val="18"/>
                      </w:rPr>
                      <w:fldChar w:fldCharType="begin"/>
                    </w:r>
                    <w:r>
                      <w:rPr>
                        <w:rFonts w:hint="default"/>
                        <w:sz w:val="18"/>
                        <w:szCs w:val="18"/>
                      </w:rPr>
                      <w:instrText xml:space="preserve"> PAGE  \* MERGEFORMAT </w:instrText>
                    </w:r>
                    <w:r>
                      <w:rPr>
                        <w:rFonts w:hint="default"/>
                        <w:sz w:val="18"/>
                        <w:szCs w:val="18"/>
                      </w:rPr>
                      <w:fldChar w:fldCharType="separate"/>
                    </w:r>
                    <w:r>
                      <w:rPr>
                        <w:rFonts w:hint="default"/>
                        <w:sz w:val="18"/>
                        <w:szCs w:val="18"/>
                      </w:rPr>
                      <w:t>1</w:t>
                    </w:r>
                    <w:r>
                      <w:rPr>
                        <w:rFonts w:hint="default"/>
                        <w:sz w:val="18"/>
                        <w:szCs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u w:val="none" w:color="auto"/>
      </w:rPr>
    </w:lvl>
    <w:lvl w:ilvl="1" w:tentative="0">
      <w:start w:val="1"/>
      <w:numFmt w:val="lowerLetter"/>
      <w:lvlText w:val="%2)"/>
      <w:lvlJc w:val="left"/>
      <w:pPr>
        <w:ind w:left="840" w:hanging="420"/>
      </w:pPr>
      <w:rPr>
        <w:rFonts w:hint="default"/>
        <w:u w:val="none" w:color="auto"/>
      </w:rPr>
    </w:lvl>
    <w:lvl w:ilvl="2" w:tentative="0">
      <w:start w:val="1"/>
      <w:numFmt w:val="lowerRoman"/>
      <w:lvlText w:val="%3."/>
      <w:lvlJc w:val="right"/>
      <w:pPr>
        <w:ind w:left="1260" w:hanging="420"/>
      </w:pPr>
      <w:rPr>
        <w:rFonts w:hint="default"/>
        <w:u w:val="none" w:color="auto"/>
      </w:rPr>
    </w:lvl>
    <w:lvl w:ilvl="3" w:tentative="0">
      <w:start w:val="1"/>
      <w:numFmt w:val="decimal"/>
      <w:lvlText w:val="%4."/>
      <w:lvlJc w:val="left"/>
      <w:pPr>
        <w:ind w:left="1680" w:hanging="420"/>
      </w:pPr>
      <w:rPr>
        <w:rFonts w:hint="default"/>
        <w:u w:val="none" w:color="auto"/>
      </w:rPr>
    </w:lvl>
    <w:lvl w:ilvl="4" w:tentative="0">
      <w:start w:val="1"/>
      <w:numFmt w:val="lowerLetter"/>
      <w:lvlText w:val="%5)"/>
      <w:lvlJc w:val="left"/>
      <w:pPr>
        <w:ind w:left="2100" w:hanging="420"/>
      </w:pPr>
      <w:rPr>
        <w:rFonts w:hint="default"/>
        <w:u w:val="none" w:color="auto"/>
      </w:rPr>
    </w:lvl>
    <w:lvl w:ilvl="5" w:tentative="0">
      <w:start w:val="1"/>
      <w:numFmt w:val="lowerRoman"/>
      <w:lvlText w:val="%6."/>
      <w:lvlJc w:val="right"/>
      <w:pPr>
        <w:ind w:left="2520" w:hanging="420"/>
      </w:pPr>
      <w:rPr>
        <w:rFonts w:hint="default"/>
        <w:u w:val="none" w:color="auto"/>
      </w:rPr>
    </w:lvl>
    <w:lvl w:ilvl="6" w:tentative="0">
      <w:start w:val="1"/>
      <w:numFmt w:val="decimal"/>
      <w:lvlText w:val="%7."/>
      <w:lvlJc w:val="left"/>
      <w:pPr>
        <w:ind w:left="2940" w:hanging="420"/>
      </w:pPr>
      <w:rPr>
        <w:rFonts w:hint="default"/>
        <w:u w:val="none" w:color="auto"/>
      </w:rPr>
    </w:lvl>
    <w:lvl w:ilvl="7" w:tentative="0">
      <w:start w:val="1"/>
      <w:numFmt w:val="lowerLetter"/>
      <w:lvlText w:val="%8)"/>
      <w:lvlJc w:val="left"/>
      <w:pPr>
        <w:ind w:left="3360" w:hanging="420"/>
      </w:pPr>
      <w:rPr>
        <w:rFonts w:hint="default"/>
        <w:u w:val="none" w:color="auto"/>
      </w:rPr>
    </w:lvl>
    <w:lvl w:ilvl="8" w:tentative="0">
      <w:start w:val="1"/>
      <w:numFmt w:val="lowerRoman"/>
      <w:lvlText w:val="%9."/>
      <w:lvlJc w:val="right"/>
      <w:pPr>
        <w:ind w:left="3780" w:hanging="420"/>
      </w:pPr>
      <w:rPr>
        <w:rFonts w:hint="default"/>
        <w:u w:val="none" w:color="auto"/>
      </w:rPr>
    </w:lvl>
  </w:abstractNum>
  <w:abstractNum w:abstractNumId="1">
    <w:nsid w:val="5A611727"/>
    <w:multiLevelType w:val="multilevel"/>
    <w:tmpl w:val="5A611727"/>
    <w:lvl w:ilvl="0" w:tentative="0">
      <w:start w:val="1"/>
      <w:numFmt w:val="japaneseCounting"/>
      <w:lvlText w:val="%1、"/>
      <w:lvlJc w:val="left"/>
      <w:pPr>
        <w:ind w:left="720" w:hanging="720"/>
      </w:pPr>
      <w:rPr>
        <w:rFonts w:hint="eastAsia" w:ascii="仿宋_GB2312" w:hAnsi="仿宋_GB2312" w:eastAsia="仿宋_GB2312" w:cs="仿宋_GB2312"/>
        <w:u w:val="none" w:color="auto"/>
      </w:rPr>
    </w:lvl>
    <w:lvl w:ilvl="1" w:tentative="0">
      <w:start w:val="1"/>
      <w:numFmt w:val="lowerLetter"/>
      <w:lvlText w:val="%2)"/>
      <w:lvlJc w:val="left"/>
      <w:pPr>
        <w:ind w:left="840" w:hanging="420"/>
      </w:pPr>
      <w:rPr>
        <w:rFonts w:hint="default"/>
        <w:u w:val="none" w:color="auto"/>
      </w:rPr>
    </w:lvl>
    <w:lvl w:ilvl="2" w:tentative="0">
      <w:start w:val="1"/>
      <w:numFmt w:val="lowerRoman"/>
      <w:lvlText w:val="%3."/>
      <w:lvlJc w:val="right"/>
      <w:pPr>
        <w:ind w:left="1260" w:hanging="420"/>
      </w:pPr>
      <w:rPr>
        <w:rFonts w:hint="default"/>
        <w:u w:val="none" w:color="auto"/>
      </w:rPr>
    </w:lvl>
    <w:lvl w:ilvl="3" w:tentative="0">
      <w:start w:val="1"/>
      <w:numFmt w:val="decimal"/>
      <w:lvlText w:val="%4."/>
      <w:lvlJc w:val="left"/>
      <w:pPr>
        <w:ind w:left="1680" w:hanging="420"/>
      </w:pPr>
      <w:rPr>
        <w:rFonts w:hint="default"/>
        <w:u w:val="none" w:color="auto"/>
      </w:rPr>
    </w:lvl>
    <w:lvl w:ilvl="4" w:tentative="0">
      <w:start w:val="1"/>
      <w:numFmt w:val="lowerLetter"/>
      <w:lvlText w:val="%5)"/>
      <w:lvlJc w:val="left"/>
      <w:pPr>
        <w:ind w:left="2100" w:hanging="420"/>
      </w:pPr>
      <w:rPr>
        <w:rFonts w:hint="default"/>
        <w:u w:val="none" w:color="auto"/>
      </w:rPr>
    </w:lvl>
    <w:lvl w:ilvl="5" w:tentative="0">
      <w:start w:val="1"/>
      <w:numFmt w:val="lowerRoman"/>
      <w:lvlText w:val="%6."/>
      <w:lvlJc w:val="right"/>
      <w:pPr>
        <w:ind w:left="2520" w:hanging="420"/>
      </w:pPr>
      <w:rPr>
        <w:rFonts w:hint="default"/>
        <w:u w:val="none" w:color="auto"/>
      </w:rPr>
    </w:lvl>
    <w:lvl w:ilvl="6" w:tentative="0">
      <w:start w:val="1"/>
      <w:numFmt w:val="decimal"/>
      <w:lvlText w:val="%7."/>
      <w:lvlJc w:val="left"/>
      <w:pPr>
        <w:ind w:left="2940" w:hanging="420"/>
      </w:pPr>
      <w:rPr>
        <w:rFonts w:hint="default"/>
        <w:u w:val="none" w:color="auto"/>
      </w:rPr>
    </w:lvl>
    <w:lvl w:ilvl="7" w:tentative="0">
      <w:start w:val="1"/>
      <w:numFmt w:val="lowerLetter"/>
      <w:lvlText w:val="%8)"/>
      <w:lvlJc w:val="left"/>
      <w:pPr>
        <w:ind w:left="3360" w:hanging="420"/>
      </w:pPr>
      <w:rPr>
        <w:rFonts w:hint="default"/>
        <w:u w:val="none" w:color="auto"/>
      </w:rPr>
    </w:lvl>
    <w:lvl w:ilvl="8" w:tentative="0">
      <w:start w:val="1"/>
      <w:numFmt w:val="lowerRoman"/>
      <w:lvlText w:val="%9."/>
      <w:lvlJc w:val="right"/>
      <w:pPr>
        <w:ind w:left="3780" w:hanging="420"/>
      </w:pPr>
      <w:rPr>
        <w:rFonts w:hint="default"/>
        <w:u w:val="none" w:color="auto"/>
      </w:rPr>
    </w:lvl>
  </w:abstractNum>
  <w:abstractNum w:abstractNumId="2">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u w:val="none" w:color="auto"/>
      </w:rPr>
    </w:lvl>
    <w:lvl w:ilvl="1" w:tentative="0">
      <w:start w:val="1"/>
      <w:numFmt w:val="lowerLetter"/>
      <w:lvlText w:val="%2)"/>
      <w:lvlJc w:val="left"/>
      <w:pPr>
        <w:ind w:left="840" w:hanging="420"/>
      </w:pPr>
      <w:rPr>
        <w:rFonts w:hint="default"/>
        <w:u w:val="none" w:color="auto"/>
      </w:rPr>
    </w:lvl>
    <w:lvl w:ilvl="2" w:tentative="0">
      <w:start w:val="1"/>
      <w:numFmt w:val="lowerRoman"/>
      <w:lvlText w:val="%3."/>
      <w:lvlJc w:val="right"/>
      <w:pPr>
        <w:ind w:left="1260" w:hanging="420"/>
      </w:pPr>
      <w:rPr>
        <w:rFonts w:hint="default"/>
        <w:u w:val="none" w:color="auto"/>
      </w:rPr>
    </w:lvl>
    <w:lvl w:ilvl="3" w:tentative="0">
      <w:start w:val="1"/>
      <w:numFmt w:val="decimal"/>
      <w:lvlText w:val="%4."/>
      <w:lvlJc w:val="left"/>
      <w:pPr>
        <w:ind w:left="1680" w:hanging="420"/>
      </w:pPr>
      <w:rPr>
        <w:rFonts w:hint="default"/>
        <w:u w:val="none" w:color="auto"/>
      </w:rPr>
    </w:lvl>
    <w:lvl w:ilvl="4" w:tentative="0">
      <w:start w:val="1"/>
      <w:numFmt w:val="lowerLetter"/>
      <w:lvlText w:val="%5)"/>
      <w:lvlJc w:val="left"/>
      <w:pPr>
        <w:ind w:left="2100" w:hanging="420"/>
      </w:pPr>
      <w:rPr>
        <w:rFonts w:hint="default"/>
        <w:u w:val="none" w:color="auto"/>
      </w:rPr>
    </w:lvl>
    <w:lvl w:ilvl="5" w:tentative="0">
      <w:start w:val="1"/>
      <w:numFmt w:val="lowerRoman"/>
      <w:lvlText w:val="%6."/>
      <w:lvlJc w:val="right"/>
      <w:pPr>
        <w:ind w:left="2520" w:hanging="420"/>
      </w:pPr>
      <w:rPr>
        <w:rFonts w:hint="default"/>
        <w:u w:val="none" w:color="auto"/>
      </w:rPr>
    </w:lvl>
    <w:lvl w:ilvl="6" w:tentative="0">
      <w:start w:val="1"/>
      <w:numFmt w:val="decimal"/>
      <w:lvlText w:val="%7."/>
      <w:lvlJc w:val="left"/>
      <w:pPr>
        <w:ind w:left="2940" w:hanging="420"/>
      </w:pPr>
      <w:rPr>
        <w:rFonts w:hint="default"/>
        <w:u w:val="none" w:color="auto"/>
      </w:rPr>
    </w:lvl>
    <w:lvl w:ilvl="7" w:tentative="0">
      <w:start w:val="1"/>
      <w:numFmt w:val="lowerLetter"/>
      <w:lvlText w:val="%8)"/>
      <w:lvlJc w:val="left"/>
      <w:pPr>
        <w:ind w:left="3360" w:hanging="420"/>
      </w:pPr>
      <w:rPr>
        <w:rFonts w:hint="default"/>
        <w:u w:val="none" w:color="auto"/>
      </w:rPr>
    </w:lvl>
    <w:lvl w:ilvl="8" w:tentative="0">
      <w:start w:val="1"/>
      <w:numFmt w:val="lowerRoman"/>
      <w:lvlText w:val="%9."/>
      <w:lvlJc w:val="right"/>
      <w:pPr>
        <w:ind w:left="3780" w:hanging="420"/>
      </w:pPr>
      <w:rPr>
        <w:rFonts w:hint="default"/>
        <w:u w:val="none" w:color="auto"/>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ZGYxZmY3ZmI5MjEwNGM0NDhiN2FmOTgzYzdkZTcifQ=="/>
    <w:docVar w:name="KSO_WPS_MARK_KEY" w:val="c311d98a-8cec-4637-919f-5a17ec7073bb"/>
  </w:docVars>
  <w:rsids>
    <w:rsidRoot w:val="00172A27"/>
    <w:rsid w:val="022513F4"/>
    <w:rsid w:val="0BC624F7"/>
    <w:rsid w:val="0D372DF5"/>
    <w:rsid w:val="18BB3504"/>
    <w:rsid w:val="23C04937"/>
    <w:rsid w:val="2A163929"/>
    <w:rsid w:val="2F692860"/>
    <w:rsid w:val="348476E9"/>
    <w:rsid w:val="72890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spacing w:beforeLines="0" w:afterLines="0"/>
      <w:jc w:val="both"/>
    </w:pPr>
    <w:rPr>
      <w:rFonts w:hint="default"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beforeLines="0" w:afterLines="0"/>
      <w:jc w:val="left"/>
    </w:pPr>
    <w:rPr>
      <w:rFonts w:hint="default"/>
      <w:sz w:val="18"/>
      <w:szCs w:val="18"/>
    </w:rPr>
  </w:style>
  <w:style w:type="paragraph" w:styleId="5">
    <w:name w:val="List Paragraph"/>
    <w:basedOn w:val="1"/>
    <w:unhideWhenUsed/>
    <w:qFormat/>
    <w:uiPriority w:val="34"/>
    <w:pPr>
      <w:spacing w:beforeLines="0" w:afterLines="0"/>
      <w:ind w:firstLine="420" w:firstLineChars="200"/>
    </w:pPr>
    <w:rPr>
      <w:rFonts w:hint="default"/>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4067</Words>
  <Characters>4395</Characters>
  <Lines>0</Lines>
  <Paragraphs>0</Paragraphs>
  <TotalTime>12</TotalTime>
  <ScaleCrop>false</ScaleCrop>
  <LinksUpToDate>false</LinksUpToDate>
  <CharactersWithSpaces>4424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2021-04-29T07:40:00Z</dcterms:created>
  <dc:creator>Administrator</dc:creator>
  <cp:lastModifiedBy>博飞</cp:lastModifiedBy>
  <cp:lastPrinted>2025-02-27T08:06:33Z</cp:lastPrinted>
  <dcterms:modified xsi:type="dcterms:W3CDTF">2025-02-27T08:07:28Z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2E94254ACF7A448C9695659FFBA6465C</vt:lpwstr>
  </property>
</Properties>
</file>