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年屯昌县枫木镇中心幼儿园</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屯昌县枫木镇中心幼儿园</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屯昌县枫木镇中心幼儿园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屯昌县枫木镇中心幼儿园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800" w:firstLineChars="250"/>
        <w:jc w:val="left"/>
        <w:rPr>
          <w:rFonts w:ascii="仿宋_GB2312" w:hAnsi="宋体" w:eastAsia="仿宋_GB2312"/>
          <w:sz w:val="32"/>
          <w:szCs w:val="32"/>
        </w:rPr>
      </w:pPr>
      <w:r>
        <w:rPr>
          <w:rFonts w:hint="eastAsia" w:ascii="仿宋_GB2312" w:hAnsi="宋体" w:eastAsia="仿宋_GB2312"/>
          <w:sz w:val="32"/>
          <w:szCs w:val="32"/>
        </w:rPr>
        <w:t>（一）我园属于事业单位，财务隶属关系为二级单位，园里编制共有2</w:t>
      </w:r>
      <w:r>
        <w:rPr>
          <w:rFonts w:hint="eastAsia" w:ascii="仿宋_GB2312" w:hAnsi="宋体" w:eastAsia="仿宋_GB2312"/>
          <w:sz w:val="32"/>
          <w:szCs w:val="32"/>
          <w:lang w:val="en-US" w:eastAsia="zh-CN"/>
        </w:rPr>
        <w:t>5</w:t>
      </w:r>
      <w:r>
        <w:rPr>
          <w:rFonts w:hint="eastAsia" w:ascii="仿宋_GB2312" w:hAnsi="宋体" w:eastAsia="仿宋_GB2312"/>
          <w:sz w:val="32"/>
          <w:szCs w:val="32"/>
        </w:rPr>
        <w:t>人，事业编制实有人员2</w:t>
      </w:r>
      <w:r>
        <w:rPr>
          <w:rFonts w:hint="eastAsia" w:ascii="仿宋_GB2312" w:hAnsi="宋体" w:eastAsia="仿宋_GB2312"/>
          <w:sz w:val="32"/>
          <w:szCs w:val="32"/>
          <w:lang w:val="en-US" w:eastAsia="zh-CN"/>
        </w:rPr>
        <w:t>6</w:t>
      </w:r>
      <w:r>
        <w:rPr>
          <w:rFonts w:hint="eastAsia" w:ascii="仿宋_GB2312" w:hAnsi="宋体" w:eastAsia="仿宋_GB2312"/>
          <w:sz w:val="32"/>
          <w:szCs w:val="32"/>
        </w:rPr>
        <w:t>人，其中教辅人员</w:t>
      </w:r>
      <w:r>
        <w:rPr>
          <w:rFonts w:hint="eastAsia" w:ascii="仿宋_GB2312" w:hAnsi="宋体" w:eastAsia="仿宋_GB2312"/>
          <w:sz w:val="32"/>
          <w:szCs w:val="32"/>
          <w:lang w:val="en-US" w:eastAsia="zh-CN"/>
        </w:rPr>
        <w:t>1</w:t>
      </w:r>
      <w:r>
        <w:rPr>
          <w:rFonts w:hint="eastAsia" w:ascii="仿宋_GB2312" w:hAnsi="宋体" w:eastAsia="仿宋_GB2312"/>
          <w:sz w:val="32"/>
          <w:szCs w:val="32"/>
        </w:rPr>
        <w:t>人，专任教师2</w:t>
      </w:r>
      <w:r>
        <w:rPr>
          <w:rFonts w:hint="eastAsia" w:ascii="仿宋_GB2312" w:hAnsi="宋体" w:eastAsia="仿宋_GB2312"/>
          <w:sz w:val="32"/>
          <w:szCs w:val="32"/>
          <w:lang w:val="en-US" w:eastAsia="zh-CN"/>
        </w:rPr>
        <w:t>2</w:t>
      </w:r>
      <w:r>
        <w:rPr>
          <w:rFonts w:hint="eastAsia" w:ascii="仿宋_GB2312" w:hAnsi="宋体" w:eastAsia="仿宋_GB2312"/>
          <w:sz w:val="32"/>
          <w:szCs w:val="32"/>
        </w:rPr>
        <w:t>人。共有3名园长双肩挑，一正二副。</w:t>
      </w:r>
    </w:p>
    <w:p>
      <w:pPr>
        <w:ind w:firstLine="800" w:firstLineChars="250"/>
        <w:rPr>
          <w:rFonts w:ascii="仿宋_GB2312" w:hAnsi="仿宋" w:eastAsia="仿宋_GB2312" w:cs="仿宋"/>
          <w:sz w:val="32"/>
          <w:szCs w:val="32"/>
        </w:rPr>
      </w:pPr>
      <w:r>
        <w:rPr>
          <w:rFonts w:hint="eastAsia" w:ascii="仿宋_GB2312" w:hAnsi="宋体" w:eastAsia="仿宋_GB2312" w:cs="Arial"/>
          <w:color w:val="333333"/>
          <w:sz w:val="32"/>
          <w:szCs w:val="32"/>
        </w:rPr>
        <w:t>（二）我园认真按照国务院及县教育局的文件执行规范性的三定方案，</w:t>
      </w:r>
      <w:r>
        <w:rPr>
          <w:rFonts w:hint="eastAsia" w:ascii="仿宋_GB2312" w:hAnsi="宋体" w:eastAsia="仿宋_GB2312" w:cs="仿宋"/>
          <w:sz w:val="32"/>
          <w:szCs w:val="32"/>
        </w:rPr>
        <w:t>统筹拟定综合管理全园学龄前的幼儿教育，以及工作教育经费;履行管理好教育附加费及教育部门预算内与预算外资金的使用等等各项工作方案。</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800" w:firstLineChars="250"/>
        <w:jc w:val="left"/>
        <w:rPr>
          <w:rFonts w:ascii="仿宋_GB2312" w:hAnsi="黑体" w:eastAsia="仿宋_GB2312" w:cs="仿宋_GB2312"/>
          <w:sz w:val="32"/>
          <w:szCs w:val="32"/>
        </w:rPr>
      </w:pPr>
      <w:bookmarkStart w:id="0" w:name="_GoBack"/>
      <w:bookmarkEnd w:id="0"/>
    </w:p>
    <w:p>
      <w:pPr>
        <w:ind w:firstLine="640" w:firstLineChars="200"/>
        <w:jc w:val="left"/>
        <w:rPr>
          <w:rFonts w:ascii="仿宋_GB2312" w:hAnsi="黑体" w:eastAsia="仿宋_GB2312" w:cs="仿宋_GB2312"/>
          <w:sz w:val="32"/>
          <w:szCs w:val="32"/>
        </w:rPr>
      </w:pPr>
      <w:r>
        <w:rPr>
          <w:rFonts w:hint="eastAsia" w:ascii="仿宋_GB2312" w:hAnsi="宋体" w:eastAsia="仿宋_GB2312"/>
          <w:sz w:val="32"/>
          <w:szCs w:val="32"/>
        </w:rPr>
        <w:t>无</w:t>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屯昌县枫木镇中心幼儿园</w:t>
      </w:r>
      <w:r>
        <w:rPr>
          <w:rFonts w:hint="eastAsia" w:ascii="黑体" w:hAnsi="黑体" w:eastAsia="黑体"/>
          <w:sz w:val="32"/>
          <w:szCs w:val="32"/>
        </w:rPr>
        <w:t>单位</w:t>
      </w:r>
      <w:r>
        <w:rPr>
          <w:rFonts w:hint="eastAsia" w:ascii="黑体" w:hAnsi="黑体" w:eastAsia="黑体"/>
          <w:sz w:val="32"/>
          <w:szCs w:val="32"/>
          <w:lang w:val="en-US" w:eastAsia="zh-CN"/>
        </w:rPr>
        <w:t>2025</w:t>
      </w:r>
      <w:r>
        <w:rPr>
          <w:rFonts w:hint="eastAsia" w:ascii="黑体" w:hAnsi="黑体" w:eastAsia="黑体"/>
          <w:sz w:val="32"/>
          <w:szCs w:val="32"/>
        </w:rPr>
        <w:t>年单位预算表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年单位预算情况说明</w:t>
      </w:r>
    </w:p>
    <w:p>
      <w:pPr>
        <w:spacing w:line="578" w:lineRule="exact"/>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屯昌县枫木镇中心幼儿园2025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1021.56</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505.87</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505.87</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9.82</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515.69</w:t>
      </w:r>
      <w:r>
        <w:rPr>
          <w:rFonts w:hint="eastAsia" w:ascii="仿宋" w:hAnsi="仿宋" w:eastAsia="仿宋" w:cs="仿宋"/>
          <w:sz w:val="32"/>
          <w:szCs w:val="32"/>
        </w:rPr>
        <w:t>万元，包括一般公共服务支出</w:t>
      </w:r>
      <w:r>
        <w:rPr>
          <w:rFonts w:hint="eastAsia" w:ascii="仿宋" w:hAnsi="仿宋" w:eastAsia="仿宋" w:cs="仿宋"/>
          <w:sz w:val="32"/>
          <w:szCs w:val="32"/>
          <w:lang w:val="en-US" w:eastAsia="zh-CN"/>
        </w:rPr>
        <w:t>515.69</w:t>
      </w:r>
      <w:r>
        <w:rPr>
          <w:rFonts w:hint="eastAsia" w:ascii="仿宋" w:hAnsi="仿宋" w:eastAsia="仿宋" w:cs="仿宋"/>
          <w:sz w:val="32"/>
          <w:szCs w:val="32"/>
        </w:rPr>
        <w:t>万元、外交支出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万元、国防支出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358.51</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67.41</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50.01</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39.76</w:t>
      </w:r>
      <w:r>
        <w:rPr>
          <w:rFonts w:hint="eastAsia" w:ascii="仿宋_GB2312" w:hAnsi="黑体" w:eastAsia="仿宋_GB2312"/>
          <w:sz w:val="32"/>
          <w:szCs w:val="32"/>
        </w:rPr>
        <w:t>万元，结转下年</w:t>
      </w:r>
      <w:r>
        <w:rPr>
          <w:rFonts w:hint="eastAsia" w:ascii="仿宋_GB2312" w:hAnsi="黑体" w:eastAsia="仿宋_GB2312"/>
          <w:sz w:val="32"/>
          <w:szCs w:val="32"/>
          <w:lang w:val="en-US" w:eastAsia="zh-CN"/>
        </w:rPr>
        <w:t>9.82</w:t>
      </w:r>
      <w:r>
        <w:rPr>
          <w:rFonts w:hint="eastAsia" w:ascii="仿宋_GB2312" w:hAnsi="黑体" w:eastAsia="仿宋_GB2312"/>
          <w:sz w:val="32"/>
          <w:szCs w:val="32"/>
        </w:rPr>
        <w:t>万元</w:t>
      </w:r>
      <w:r>
        <w:rPr>
          <w:rFonts w:hint="eastAsia" w:ascii="仿宋" w:hAnsi="仿宋" w:eastAsia="仿宋" w:cs="仿宋"/>
          <w:sz w:val="32"/>
          <w:szCs w:val="32"/>
        </w:rPr>
        <w:t>。</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屯昌县枫木镇中心幼儿园2024</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473.66</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32.21</w:t>
      </w:r>
      <w:r>
        <w:rPr>
          <w:rFonts w:hint="eastAsia" w:ascii="仿宋" w:hAnsi="仿宋" w:eastAsia="仿宋" w:cs="仿宋"/>
          <w:sz w:val="32"/>
          <w:szCs w:val="32"/>
        </w:rPr>
        <w:t>万元，主要是</w:t>
      </w:r>
      <w:r>
        <w:rPr>
          <w:rFonts w:hint="eastAsia" w:ascii="仿宋_GB2312" w:hAnsi="黑体" w:eastAsia="仿宋_GB2312"/>
          <w:sz w:val="32"/>
          <w:szCs w:val="32"/>
        </w:rPr>
        <w:t>要是我单位的</w:t>
      </w:r>
      <w:r>
        <w:rPr>
          <w:rFonts w:hint="eastAsia" w:ascii="宋体" w:hAnsi="宋体"/>
          <w:sz w:val="32"/>
          <w:szCs w:val="32"/>
        </w:rPr>
        <w:t>教育支出和</w:t>
      </w:r>
      <w:r>
        <w:rPr>
          <w:rFonts w:hint="eastAsia" w:ascii="宋体" w:hAnsi="宋体" w:cs="宋体"/>
          <w:sz w:val="30"/>
          <w:szCs w:val="30"/>
        </w:rPr>
        <w:t>社会保障和卫生健康支出、住房保障支出等</w:t>
      </w:r>
      <w:r>
        <w:rPr>
          <w:rFonts w:hint="eastAsia" w:ascii="宋体" w:hAnsi="宋体"/>
          <w:sz w:val="32"/>
          <w:szCs w:val="32"/>
        </w:rPr>
        <w:t>有所</w:t>
      </w:r>
      <w:r>
        <w:rPr>
          <w:rFonts w:hint="eastAsia" w:ascii="宋体" w:hAnsi="宋体"/>
          <w:sz w:val="32"/>
          <w:szCs w:val="32"/>
          <w:lang w:val="en-US" w:eastAsia="zh-CN"/>
        </w:rPr>
        <w:t>增加</w:t>
      </w:r>
      <w:r>
        <w:rPr>
          <w:rFonts w:hint="eastAsia" w:ascii="仿宋" w:hAnsi="仿宋" w:eastAsia="仿宋" w:cs="仿宋"/>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 w:hAnsi="仿宋" w:eastAsia="仿宋" w:cs="仿宋"/>
          <w:sz w:val="32"/>
          <w:szCs w:val="32"/>
        </w:rPr>
        <w:t>一般公共服务（类）支出</w:t>
      </w:r>
      <w:r>
        <w:rPr>
          <w:rFonts w:hint="eastAsia" w:ascii="仿宋" w:hAnsi="仿宋" w:eastAsia="仿宋" w:cs="仿宋"/>
          <w:sz w:val="32"/>
          <w:szCs w:val="32"/>
          <w:lang w:val="en-US" w:eastAsia="zh-CN"/>
        </w:rPr>
        <w:t>515.69</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%；外交（类）支出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w:t>
      </w:r>
      <w:r>
        <w:rPr>
          <w:rFonts w:hint="eastAsia" w:ascii="仿宋" w:hAnsi="仿宋" w:eastAsia="仿宋" w:cs="仿宋"/>
          <w:sz w:val="32"/>
          <w:szCs w:val="32"/>
          <w:lang w:val="en-US" w:eastAsia="zh-CN"/>
        </w:rPr>
        <w:t>358.51</w:t>
      </w:r>
      <w:r>
        <w:rPr>
          <w:rFonts w:hint="eastAsia" w:ascii="仿宋" w:hAnsi="仿宋" w:eastAsia="仿宋" w:cs="仿宋"/>
          <w:sz w:val="32"/>
          <w:szCs w:val="32"/>
        </w:rPr>
        <w:t>万元，占</w:t>
      </w:r>
      <w:r>
        <w:rPr>
          <w:rFonts w:hint="eastAsia" w:ascii="仿宋" w:hAnsi="仿宋" w:eastAsia="仿宋" w:cs="仿宋"/>
          <w:sz w:val="32"/>
          <w:szCs w:val="32"/>
          <w:lang w:val="en-US" w:eastAsia="zh-CN"/>
        </w:rPr>
        <w:t>70</w:t>
      </w:r>
      <w:r>
        <w:rPr>
          <w:rFonts w:hint="eastAsia" w:ascii="仿宋" w:hAnsi="仿宋" w:eastAsia="仿宋" w:cs="仿宋"/>
          <w:sz w:val="32"/>
          <w:szCs w:val="32"/>
        </w:rPr>
        <w:t>%；科学技术（类）支出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67.41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50.01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w:t>
      </w:r>
      <w:r>
        <w:rPr>
          <w:rFonts w:hint="eastAsia" w:ascii="仿宋_GB2312" w:hAnsi="黑体" w:eastAsia="仿宋_GB2312"/>
          <w:sz w:val="32"/>
          <w:szCs w:val="32"/>
        </w:rPr>
        <w:t>%；住房保障</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39.76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w:t>
      </w:r>
      <w:r>
        <w:rPr>
          <w:rFonts w:hint="eastAsia" w:ascii="仿宋_GB2312" w:hAnsi="黑体" w:eastAsia="仿宋_GB2312"/>
          <w:sz w:val="32"/>
          <w:szCs w:val="32"/>
        </w:rPr>
        <w:t>%。</w:t>
      </w:r>
    </w:p>
    <w:p>
      <w:pPr>
        <w:spacing w:line="578" w:lineRule="exact"/>
        <w:ind w:firstLine="800" w:firstLineChars="250"/>
        <w:rPr>
          <w:rFonts w:hint="eastAsia" w:ascii="仿宋" w:hAnsi="仿宋" w:eastAsia="仿宋" w:cs="仿宋"/>
          <w:sz w:val="32"/>
          <w:szCs w:val="32"/>
        </w:rPr>
      </w:pP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rPr>
          <w:rFonts w:ascii="仿宋_GB2312" w:hAnsi="宋体" w:eastAsia="仿宋_GB2312"/>
          <w:sz w:val="32"/>
          <w:szCs w:val="32"/>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358.51</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29.3</w:t>
      </w:r>
      <w:r>
        <w:rPr>
          <w:rFonts w:hint="eastAsia" w:ascii="仿宋_GB2312" w:hAnsi="黑体" w:eastAsia="仿宋_GB2312"/>
          <w:sz w:val="32"/>
          <w:szCs w:val="32"/>
        </w:rPr>
        <w:t>万元，主要是</w:t>
      </w:r>
      <w:r>
        <w:rPr>
          <w:rFonts w:hint="eastAsia" w:ascii="仿宋_GB2312" w:hAnsi="宋体" w:eastAsia="仿宋_GB2312"/>
          <w:sz w:val="32"/>
          <w:szCs w:val="32"/>
        </w:rPr>
        <w:t>我单位教育支出有所</w:t>
      </w:r>
      <w:r>
        <w:rPr>
          <w:rFonts w:hint="eastAsia" w:ascii="仿宋_GB2312" w:hAnsi="宋体" w:eastAsia="仿宋_GB2312"/>
          <w:sz w:val="32"/>
          <w:szCs w:val="32"/>
          <w:lang w:val="en-US" w:eastAsia="zh-CN"/>
        </w:rPr>
        <w:t>增加</w:t>
      </w:r>
      <w:r>
        <w:rPr>
          <w:rFonts w:hint="eastAsia" w:ascii="仿宋_GB2312" w:hAnsi="宋体" w:eastAsia="仿宋_GB2312"/>
          <w:sz w:val="32"/>
          <w:szCs w:val="32"/>
        </w:rPr>
        <w:t>。</w:t>
      </w:r>
    </w:p>
    <w:p>
      <w:pPr>
        <w:ind w:firstLine="64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67.41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5.37</w:t>
      </w:r>
      <w:r>
        <w:rPr>
          <w:rFonts w:hint="eastAsia" w:ascii="仿宋_GB2312" w:hAnsi="黑体" w:eastAsia="仿宋_GB2312"/>
          <w:sz w:val="32"/>
          <w:szCs w:val="32"/>
        </w:rPr>
        <w:t>万元，主要是</w:t>
      </w:r>
      <w:r>
        <w:rPr>
          <w:rFonts w:hint="eastAsia" w:ascii="仿宋_GB2312" w:hAnsi="宋体" w:eastAsia="仿宋_GB2312"/>
          <w:sz w:val="32"/>
          <w:szCs w:val="32"/>
        </w:rPr>
        <w:t>人员工资和养老保险费</w:t>
      </w:r>
      <w:r>
        <w:rPr>
          <w:rFonts w:hint="eastAsia" w:ascii="仿宋_GB2312" w:hAnsi="黑体" w:eastAsia="仿宋_GB2312"/>
          <w:sz w:val="32"/>
          <w:szCs w:val="32"/>
        </w:rPr>
        <w:t>增加。</w:t>
      </w:r>
    </w:p>
    <w:p>
      <w:pPr>
        <w:ind w:firstLine="64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50.01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减少0.66</w:t>
      </w:r>
      <w:r>
        <w:rPr>
          <w:rFonts w:hint="eastAsia" w:ascii="仿宋_GB2312" w:hAnsi="黑体" w:eastAsia="仿宋_GB2312"/>
          <w:sz w:val="32"/>
          <w:szCs w:val="32"/>
        </w:rPr>
        <w:t>万元，主要是</w:t>
      </w:r>
      <w:r>
        <w:rPr>
          <w:rFonts w:hint="eastAsia" w:ascii="仿宋_GB2312" w:hAnsi="宋体" w:eastAsia="仿宋_GB2312"/>
          <w:sz w:val="32"/>
          <w:szCs w:val="32"/>
        </w:rPr>
        <w:t>人员医疗保险费</w:t>
      </w:r>
      <w:r>
        <w:rPr>
          <w:rFonts w:hint="eastAsia" w:ascii="仿宋_GB2312" w:hAnsi="宋体" w:eastAsia="仿宋_GB2312"/>
          <w:sz w:val="32"/>
          <w:szCs w:val="32"/>
          <w:lang w:val="en-US" w:eastAsia="zh-CN"/>
        </w:rPr>
        <w:t>减少</w:t>
      </w:r>
      <w:r>
        <w:rPr>
          <w:rFonts w:hint="eastAsia" w:ascii="仿宋_GB2312" w:hAnsi="黑体" w:eastAsia="仿宋_GB2312"/>
          <w:sz w:val="32"/>
          <w:szCs w:val="32"/>
        </w:rPr>
        <w:t>。</w:t>
      </w:r>
    </w:p>
    <w:p>
      <w:pPr>
        <w:ind w:firstLine="64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39.76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3.08</w:t>
      </w:r>
      <w:r>
        <w:rPr>
          <w:rFonts w:hint="eastAsia" w:ascii="仿宋_GB2312" w:hAnsi="黑体" w:eastAsia="仿宋_GB2312"/>
          <w:sz w:val="32"/>
          <w:szCs w:val="32"/>
        </w:rPr>
        <w:t>万元，主要是</w:t>
      </w:r>
      <w:r>
        <w:rPr>
          <w:rFonts w:hint="eastAsia" w:ascii="仿宋_GB2312" w:hAnsi="宋体" w:eastAsia="仿宋_GB2312"/>
          <w:sz w:val="32"/>
          <w:szCs w:val="32"/>
        </w:rPr>
        <w:t>人员工资和住房公积金增加</w:t>
      </w:r>
      <w:r>
        <w:rPr>
          <w:rFonts w:hint="eastAsia" w:ascii="仿宋_GB2312" w:hAnsi="黑体" w:eastAsia="仿宋_GB2312"/>
          <w:sz w:val="32"/>
          <w:szCs w:val="32"/>
        </w:rPr>
        <w:t>。</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年一般公共预算基本支出情况说明</w:t>
      </w:r>
    </w:p>
    <w:p>
      <w:pPr>
        <w:spacing w:line="578" w:lineRule="exact"/>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屯昌县枫木镇中心幼儿园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年一般公共预算基本支出为</w:t>
      </w:r>
      <w:r>
        <w:rPr>
          <w:rFonts w:hint="eastAsia" w:ascii="仿宋" w:hAnsi="仿宋" w:eastAsia="仿宋" w:cs="仿宋"/>
          <w:sz w:val="32"/>
          <w:szCs w:val="32"/>
          <w:lang w:val="en-US" w:eastAsia="zh-CN"/>
        </w:rPr>
        <w:t>505.53</w:t>
      </w:r>
      <w:r>
        <w:rPr>
          <w:rFonts w:hint="eastAsia" w:ascii="仿宋" w:hAnsi="仿宋" w:eastAsia="仿宋" w:cs="仿宋"/>
          <w:sz w:val="32"/>
          <w:szCs w:val="32"/>
        </w:rPr>
        <w:t>万元，其中：</w:t>
      </w:r>
    </w:p>
    <w:p>
      <w:pPr>
        <w:ind w:firstLine="640"/>
        <w:rPr>
          <w:rFonts w:ascii="仿宋_GB2312" w:hAnsi="黑体" w:eastAsia="仿宋_GB2312"/>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502.21</w:t>
      </w:r>
      <w:r>
        <w:rPr>
          <w:rFonts w:hint="eastAsia" w:ascii="仿宋" w:hAnsi="仿宋" w:eastAsia="仿宋" w:cs="仿宋"/>
          <w:sz w:val="32"/>
          <w:szCs w:val="32"/>
        </w:rPr>
        <w:t>万元，主要包括：</w:t>
      </w:r>
      <w:r>
        <w:rPr>
          <w:rFonts w:hint="eastAsia" w:ascii="仿宋_GB2312" w:hAnsi="黑体" w:eastAsia="仿宋_GB2312"/>
          <w:sz w:val="32"/>
          <w:szCs w:val="32"/>
        </w:rPr>
        <w:t>基本工资、津贴补贴、奖金、绩效工资、机关事业单位基本养老保险缴费、公务员医疗补助缴费、其他社会保障缴费、城镇职工基本医疗保险缴费、医疗费补助、住房公积金。</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3.32</w:t>
      </w:r>
      <w:r>
        <w:rPr>
          <w:rFonts w:hint="eastAsia" w:ascii="仿宋" w:hAnsi="仿宋" w:eastAsia="仿宋" w:cs="仿宋"/>
          <w:sz w:val="32"/>
          <w:szCs w:val="32"/>
        </w:rPr>
        <w:t>万元，主要包括：办公费、咨询费、手续费、水费、电费。</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屯昌县枫木镇中心幼儿园202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rPr>
          <w:rFonts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ind w:firstLine="640"/>
        <w:rPr>
          <w:rFonts w:ascii="仿宋_GB2312" w:hAnsi="黑体" w:eastAsia="仿宋_GB2312"/>
          <w:sz w:val="32"/>
          <w:szCs w:val="32"/>
        </w:rPr>
      </w:pP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及</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ind w:firstLine="64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cs="仿宋_GB2312"/>
          <w:sz w:val="32"/>
          <w:szCs w:val="32"/>
        </w:rPr>
        <w:t>屯昌县枫木镇中心幼儿园202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rPr>
          <w:rFonts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ind w:firstLine="640"/>
        <w:rPr>
          <w:rFonts w:ascii="仿宋_GB2312" w:hAnsi="黑体" w:eastAsia="仿宋_GB2312"/>
          <w:sz w:val="32"/>
          <w:szCs w:val="32"/>
        </w:rPr>
      </w:pP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及</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ind w:firstLine="64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rPr>
          <w:rFonts w:ascii="楷体" w:hAnsi="楷体" w:eastAsia="楷体"/>
          <w:sz w:val="32"/>
          <w:szCs w:val="32"/>
        </w:rPr>
      </w:pPr>
      <w:r>
        <w:rPr>
          <w:rFonts w:hint="eastAsia" w:ascii="楷体" w:hAnsi="楷体" w:eastAsia="楷体"/>
          <w:sz w:val="32"/>
          <w:szCs w:val="32"/>
        </w:rPr>
        <w:t>（一）政府性基金预算当年规模变化情况</w:t>
      </w:r>
    </w:p>
    <w:p>
      <w:pPr>
        <w:ind w:firstLine="640"/>
        <w:rPr>
          <w:rFonts w:ascii="仿宋_GB2312" w:hAnsi="黑体" w:eastAsia="仿宋_GB2312"/>
          <w:sz w:val="32"/>
          <w:szCs w:val="32"/>
        </w:rPr>
      </w:pPr>
      <w:r>
        <w:rPr>
          <w:rFonts w:hint="eastAsia" w:ascii="仿宋_GB2312" w:hAnsi="黑体" w:eastAsia="仿宋_GB2312" w:cs="仿宋_GB2312"/>
          <w:sz w:val="32"/>
          <w:szCs w:val="32"/>
        </w:rPr>
        <w:t>屯昌县枫木镇中心幼儿园202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ascii="仿宋_GB2312" w:hAnsi="宋体" w:eastAsia="仿宋_GB2312"/>
          <w:sz w:val="32"/>
          <w:szCs w:val="32"/>
        </w:rPr>
      </w:pPr>
      <w:r>
        <w:rPr>
          <w:rFonts w:hint="eastAsia" w:ascii="仿宋_GB2312" w:hAnsi="宋体" w:eastAsia="仿宋_GB2312"/>
          <w:sz w:val="32"/>
          <w:szCs w:val="32"/>
        </w:rPr>
        <w:t>无政府性基金预算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ascii="仿宋_GB2312" w:hAnsi="黑体" w:eastAsia="仿宋_GB2312"/>
          <w:sz w:val="32"/>
          <w:szCs w:val="32"/>
        </w:rPr>
      </w:pPr>
      <w:r>
        <w:rPr>
          <w:rFonts w:hint="eastAsia" w:ascii="仿宋_GB2312" w:hAnsi="黑体" w:eastAsia="仿宋_GB2312" w:cs="??_GB2312"/>
          <w:sz w:val="32"/>
          <w:szCs w:val="32"/>
        </w:rPr>
        <w:t>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rPr>
          <w:rFonts w:ascii="仿宋_GB2312" w:hAnsi="黑体" w:eastAsia="仿宋_GB2312"/>
          <w:sz w:val="32"/>
          <w:szCs w:val="32"/>
        </w:rPr>
      </w:pPr>
      <w:r>
        <w:rPr>
          <w:rFonts w:hint="eastAsia" w:ascii="仿宋_GB2312" w:hAnsi="黑体" w:eastAsia="仿宋_GB2312" w:cs="仿宋_GB2312"/>
          <w:sz w:val="32"/>
          <w:szCs w:val="32"/>
        </w:rPr>
        <w:t>按照综合预算原则，屯昌县枫木镇中心幼儿园202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年所有收入和支出均纳入部门预算管理。收入包括：一般公共预算收入，上年结转</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cs="仿宋_GB2312"/>
          <w:sz w:val="32"/>
          <w:szCs w:val="32"/>
        </w:rPr>
        <w:t>屯昌县枫木镇中心幼儿园202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1021.56</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屯昌县枫木镇中心幼儿园202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收入预算</w:t>
      </w:r>
      <w:r>
        <w:rPr>
          <w:rFonts w:hint="eastAsia" w:ascii="仿宋_GB2312" w:hAnsi="黑体" w:eastAsia="仿宋_GB2312"/>
          <w:sz w:val="32"/>
          <w:szCs w:val="32"/>
          <w:lang w:val="en-US" w:eastAsia="zh-CN"/>
        </w:rPr>
        <w:t>515.69</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9.82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0.01</w:t>
      </w:r>
      <w:r>
        <w:rPr>
          <w:rFonts w:hint="eastAsia" w:ascii="仿宋_GB2312" w:hAnsi="黑体" w:eastAsia="仿宋_GB2312"/>
          <w:sz w:val="32"/>
          <w:szCs w:val="32"/>
        </w:rPr>
        <w:t>%；一般公共预算收入</w:t>
      </w:r>
      <w:r>
        <w:rPr>
          <w:rFonts w:hint="eastAsia" w:ascii="仿宋_GB2312" w:hAnsi="黑体" w:eastAsia="仿宋_GB2312"/>
          <w:sz w:val="32"/>
          <w:szCs w:val="32"/>
          <w:lang w:val="en-US" w:eastAsia="zh-CN"/>
        </w:rPr>
        <w:t>505.87</w:t>
      </w:r>
      <w:r>
        <w:rPr>
          <w:rFonts w:hint="eastAsia" w:ascii="仿宋_GB2312" w:hAnsi="黑体" w:eastAsia="仿宋_GB2312"/>
          <w:sz w:val="32"/>
          <w:szCs w:val="32"/>
        </w:rPr>
        <w:t>万元，占</w:t>
      </w:r>
      <w:r>
        <w:rPr>
          <w:rFonts w:hint="eastAsia" w:ascii="仿宋_GB2312" w:hAnsi="黑体" w:eastAsia="仿宋_GB2312" w:cs="仿宋_GB2312"/>
          <w:sz w:val="32"/>
          <w:szCs w:val="32"/>
        </w:rPr>
        <w:t>9</w:t>
      </w:r>
      <w:r>
        <w:rPr>
          <w:rFonts w:hint="eastAsia" w:ascii="仿宋_GB2312" w:hAnsi="黑体" w:eastAsia="仿宋_GB2312" w:cs="仿宋_GB2312"/>
          <w:sz w:val="32"/>
          <w:szCs w:val="32"/>
          <w:lang w:val="en-US" w:eastAsia="zh-CN"/>
        </w:rPr>
        <w:t>9</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增加37.08</w:t>
      </w:r>
      <w:r>
        <w:rPr>
          <w:rFonts w:hint="eastAsia" w:ascii="仿宋_GB2312" w:hAnsi="黑体" w:eastAsia="仿宋_GB2312"/>
          <w:sz w:val="32"/>
          <w:szCs w:val="32"/>
        </w:rPr>
        <w:t>万元，主要是我单位教育支出和社会保障和就业支出等有所</w:t>
      </w:r>
      <w:r>
        <w:rPr>
          <w:rFonts w:hint="eastAsia" w:ascii="仿宋_GB2312" w:hAnsi="黑体" w:eastAsia="仿宋_GB2312" w:cs="仿宋_GB2312"/>
          <w:sz w:val="32"/>
          <w:szCs w:val="32"/>
          <w:lang w:val="en-US" w:eastAsia="zh-CN"/>
        </w:rPr>
        <w:t>增加</w:t>
      </w:r>
      <w:r>
        <w:rPr>
          <w:rFonts w:hint="eastAsia" w:ascii="仿宋_GB2312" w:hAnsi="黑体" w:eastAsia="仿宋_GB2312"/>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仿宋_GB2312"/>
          <w:sz w:val="32"/>
          <w:szCs w:val="32"/>
        </w:rPr>
        <w:t>屯昌县枫木镇中心幼儿园202</w:t>
      </w:r>
      <w:r>
        <w:rPr>
          <w:rFonts w:hint="eastAsia" w:ascii="黑体" w:hAnsi="黑体" w:eastAsia="黑体" w:cs="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屯昌县枫木镇中心幼儿园202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支出预算</w:t>
      </w:r>
      <w:r>
        <w:rPr>
          <w:rFonts w:hint="eastAsia" w:ascii="仿宋_GB2312" w:hAnsi="黑体" w:eastAsia="仿宋_GB2312"/>
          <w:sz w:val="32"/>
          <w:szCs w:val="32"/>
          <w:lang w:val="en-US" w:eastAsia="zh-CN"/>
        </w:rPr>
        <w:t>515.69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505.63</w:t>
      </w:r>
      <w:r>
        <w:rPr>
          <w:rFonts w:hint="eastAsia" w:ascii="仿宋_GB2312" w:hAnsi="黑体" w:eastAsia="仿宋_GB2312"/>
          <w:sz w:val="32"/>
          <w:szCs w:val="32"/>
        </w:rPr>
        <w:t>元，占</w:t>
      </w:r>
      <w:r>
        <w:rPr>
          <w:rFonts w:hint="eastAsia" w:ascii="仿宋_GB2312" w:hAnsi="黑体" w:eastAsia="仿宋_GB2312" w:cs="仿宋_GB2312"/>
          <w:sz w:val="32"/>
          <w:szCs w:val="32"/>
          <w:lang w:val="en-US" w:eastAsia="zh-CN"/>
        </w:rPr>
        <w:t>98</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10.16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0.02</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增加37.08</w:t>
      </w:r>
      <w:r>
        <w:rPr>
          <w:rFonts w:hint="eastAsia" w:ascii="仿宋_GB2312" w:hAnsi="黑体" w:eastAsia="仿宋_GB2312"/>
          <w:sz w:val="32"/>
          <w:szCs w:val="32"/>
        </w:rPr>
        <w:t>万元</w:t>
      </w:r>
      <w:r>
        <w:rPr>
          <w:rFonts w:hint="eastAsia" w:ascii="仿宋_GB2312" w:hAnsi="黑体" w:eastAsia="仿宋_GB2312" w:cs="仿宋_GB2312"/>
          <w:sz w:val="32"/>
          <w:szCs w:val="32"/>
        </w:rPr>
        <w:t>，主要是我单位教育支出和社会保障和就业支出等有所</w:t>
      </w:r>
      <w:r>
        <w:rPr>
          <w:rFonts w:hint="eastAsia" w:ascii="仿宋_GB2312" w:hAnsi="黑体" w:eastAsia="仿宋_GB2312" w:cs="仿宋_GB2312"/>
          <w:sz w:val="32"/>
          <w:szCs w:val="32"/>
          <w:lang w:val="en-US" w:eastAsia="zh-CN"/>
        </w:rPr>
        <w:t>增加</w:t>
      </w:r>
      <w:r>
        <w:rPr>
          <w:rFonts w:hint="eastAsia" w:ascii="仿宋_GB2312" w:hAnsi="黑体" w:eastAsia="仿宋_GB2312" w:cs="仿宋_GB2312"/>
          <w:sz w:val="32"/>
          <w:szCs w:val="32"/>
        </w:rPr>
        <w:t>。</w:t>
      </w:r>
    </w:p>
    <w:p>
      <w:pPr>
        <w:spacing w:line="578" w:lineRule="exact"/>
        <w:ind w:firstLine="640" w:firstLineChars="200"/>
        <w:rPr>
          <w:rFonts w:hint="eastAsia" w:ascii="仿宋" w:hAnsi="仿宋" w:eastAsia="仿宋" w:cs="仿宋"/>
          <w:sz w:val="32"/>
          <w:szCs w:val="32"/>
        </w:rPr>
      </w:pP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（一）机关运行经费</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年屯昌县枫木镇中心幼儿园机关运行经费预算0万元。</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（二）政府采购情况</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年屯昌县枫木镇中心幼儿园无政府采购预算。</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（三）国有资产占有使用情况</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12月31日，屯昌县枫木镇中心幼儿园本级及下属各预算单位共有车辆0辆，其中，领导干部用车0辆，机要通信应急用车0辆、一般执法执勤用车0辆、特种专业技术用车0辆、其他用车0辆。单位价值100万元以上设备0台（套）。</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（四）绩效目标设置情况</w:t>
      </w:r>
    </w:p>
    <w:p>
      <w:pPr>
        <w:ind w:firstLine="640"/>
        <w:rPr>
          <w:rFonts w:hint="eastAsia" w:ascii="仿宋_GB2312" w:hAnsi="黑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年屯昌县枫木镇中心幼儿园10个项目实行绩效目标管理，其中涉及一般公共预算</w:t>
      </w:r>
      <w:r>
        <w:rPr>
          <w:rFonts w:hint="eastAsia" w:ascii="仿宋_GB2312" w:hAnsi="黑体" w:eastAsia="仿宋_GB2312" w:cs="仿宋_GB2312"/>
          <w:sz w:val="32"/>
          <w:szCs w:val="32"/>
          <w:lang w:val="en-US" w:eastAsia="zh-CN"/>
        </w:rPr>
        <w:t>505.87</w:t>
      </w:r>
      <w:r>
        <w:rPr>
          <w:rFonts w:hint="eastAsia" w:ascii="仿宋_GB2312" w:hAnsi="黑体" w:eastAsia="仿宋_GB2312"/>
          <w:sz w:val="32"/>
          <w:szCs w:val="32"/>
        </w:rPr>
        <w:t>万元</w:t>
      </w:r>
      <w:r>
        <w:rPr>
          <w:rFonts w:hint="eastAsia" w:ascii="仿宋_GB2312" w:hAnsi="黑体" w:eastAsia="仿宋_GB2312" w:cs="仿宋_GB2312"/>
          <w:sz w:val="32"/>
          <w:szCs w:val="32"/>
        </w:rPr>
        <w:t>、政府性基金0万元。</w:t>
      </w:r>
    </w:p>
    <w:p>
      <w:pPr>
        <w:jc w:val="left"/>
        <w:rPr>
          <w:rFonts w:ascii="仿宋_GB2312" w:hAnsi="宋体" w:eastAsia="仿宋_GB2312" w:cs="宋体"/>
          <w:color w:val="000000"/>
          <w:kern w:val="0"/>
          <w:sz w:val="32"/>
          <w:szCs w:val="30"/>
        </w:rPr>
      </w:pPr>
      <w:r>
        <w:rPr>
          <w:rFonts w:hint="eastAsia" w:ascii="宋体" w:hAnsi="宋体" w:cs="宋体"/>
          <w:sz w:val="32"/>
          <w:szCs w:val="32"/>
        </w:rPr>
        <w:t> </w:t>
      </w: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16A5392"/>
    <w:rsid w:val="0A0F2593"/>
    <w:rsid w:val="0B0665B6"/>
    <w:rsid w:val="21E37950"/>
    <w:rsid w:val="262E1B3A"/>
    <w:rsid w:val="29EF7222"/>
    <w:rsid w:val="438B5D92"/>
    <w:rsid w:val="482669ED"/>
    <w:rsid w:val="58AE0D51"/>
    <w:rsid w:val="5DB000D0"/>
    <w:rsid w:val="60EE621A"/>
    <w:rsid w:val="6629445D"/>
    <w:rsid w:val="6F3757AB"/>
    <w:rsid w:val="7290669C"/>
    <w:rsid w:val="741B476E"/>
    <w:rsid w:val="7D2B0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12</Pages>
  <Words>3845</Words>
  <Characters>3910</Characters>
  <Lines>0</Lines>
  <Paragraphs>0</Paragraphs>
  <TotalTime>0</TotalTime>
  <ScaleCrop>false</ScaleCrop>
  <LinksUpToDate>false</LinksUpToDate>
  <CharactersWithSpaces>3940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2025-02-28T07:54:42Z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47B55DA1CA31424491876CEEBCE0E232_13</vt:lpwstr>
  </property>
  <property fmtid="{D5CDD505-2E9C-101B-9397-08002B2CF9AE}" pid="4" name="KSOTemplateDocerSaveRecord">
    <vt:lpwstr>eyJoZGlkIjoiYmExNjdjZTZiNzVjMjQyOGFiMjk5OWU2NGFmYTkwYjkiLCJ1c2VySWQiOiI1NTYxODA1OTkifQ==</vt:lpwstr>
  </property>
</Properties>
</file>