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eastAsia="zh-CN"/>
        </w:rPr>
      </w:pPr>
      <w:bookmarkStart w:id="0" w:name="_GoBack"/>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eastAsia="zh-CN"/>
        </w:rPr>
        <w:t>屯昌县新兴镇中心小学</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eastAsia="zh-CN"/>
        </w:rPr>
        <w:t>公开说明</w:t>
      </w:r>
    </w:p>
    <w:bookmarkEnd w:id="0"/>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屯昌县新兴镇中心小学</w:t>
      </w:r>
      <w:r>
        <w:rPr>
          <w:rFonts w:hint="eastAsia" w:ascii="黑体" w:hAnsi="黑体" w:eastAsia="黑体"/>
          <w:sz w:val="32"/>
          <w:szCs w:val="32"/>
        </w:rPr>
        <w:t>概况</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年单位单位预</w:t>
      </w:r>
      <w:r>
        <w:rPr>
          <w:rFonts w:hint="eastAsia" w:ascii="黑体" w:hAnsi="黑体" w:eastAsia="黑体"/>
          <w:sz w:val="32"/>
          <w:szCs w:val="32"/>
          <w:lang w:eastAsia="zh-CN"/>
        </w:rPr>
        <w:t>算</w:t>
      </w:r>
      <w:r>
        <w:rPr>
          <w:rFonts w:hint="eastAsia" w:ascii="黑体" w:hAnsi="黑体" w:eastAsia="黑体"/>
          <w:sz w:val="32"/>
          <w:szCs w:val="32"/>
        </w:rPr>
        <w:t>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屯昌县新兴镇中心小学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keepNext w:val="0"/>
        <w:keepLines w:val="0"/>
        <w:widowControl/>
        <w:suppressLineNumbers w:val="0"/>
        <w:ind w:left="0" w:firstLine="640"/>
        <w:rPr>
          <w:rFonts w:hint="eastAsia" w:ascii="黑体" w:hAnsi="黑体" w:eastAsia="黑体" w:cs="仿宋_GB2312"/>
          <w:sz w:val="32"/>
          <w:szCs w:val="32"/>
        </w:rPr>
      </w:pPr>
      <w:r>
        <w:rPr>
          <w:rFonts w:hint="eastAsia" w:ascii="黑体" w:hAnsi="黑体" w:eastAsia="黑体" w:cs="仿宋_GB2312"/>
          <w:sz w:val="32"/>
          <w:szCs w:val="32"/>
        </w:rPr>
        <w:t>主要职能</w:t>
      </w:r>
    </w:p>
    <w:p>
      <w:pPr>
        <w:keepNext w:val="0"/>
        <w:keepLines w:val="0"/>
        <w:widowControl/>
        <w:suppressLineNumbers w:val="0"/>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（一）</w:t>
      </w:r>
      <w:r>
        <w:rPr>
          <w:rFonts w:hint="eastAsia" w:ascii="仿宋" w:hAnsi="仿宋" w:eastAsia="仿宋" w:cs="仿宋"/>
          <w:kern w:val="0"/>
          <w:sz w:val="32"/>
          <w:szCs w:val="32"/>
        </w:rPr>
        <w:t xml:space="preserve">、贯彻执行国家和省政府关于教育工作的方针、政策和法规,起草有关教育的地方性法规、规章草案,并监督执行。 </w:t>
      </w:r>
    </w:p>
    <w:p>
      <w:pPr>
        <w:keepNext w:val="0"/>
        <w:keepLines w:val="0"/>
        <w:widowControl/>
        <w:suppressLineNumbers w:val="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（二）</w:t>
      </w:r>
      <w:r>
        <w:rPr>
          <w:rFonts w:hint="eastAsia" w:ascii="仿宋" w:hAnsi="仿宋" w:eastAsia="仿宋" w:cs="仿宋"/>
          <w:kern w:val="0"/>
          <w:sz w:val="32"/>
          <w:szCs w:val="32"/>
        </w:rPr>
        <w:t>、研究拟订全镇教育改革与发展战略和教育事业发展规划、年度计划;制定教育体制改革政策以及教育事业的发展重点、结构、规模、速度和步骤,并负责指导、协调、督促实施;负责全镇教育信息的统计工作。</w:t>
      </w:r>
    </w:p>
    <w:p>
      <w:pPr>
        <w:keepNext w:val="0"/>
        <w:keepLines w:val="0"/>
        <w:widowControl/>
        <w:suppressLineNumbers w:val="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lang w:eastAsia="zh-CN"/>
        </w:rPr>
        <w:t>（三）</w:t>
      </w:r>
      <w:r>
        <w:rPr>
          <w:rFonts w:hint="eastAsia" w:ascii="仿宋" w:hAnsi="仿宋" w:eastAsia="仿宋" w:cs="仿宋"/>
          <w:kern w:val="0"/>
          <w:sz w:val="32"/>
          <w:szCs w:val="32"/>
        </w:rPr>
        <w:t>、指导全镇各校的思想政治工作、品德教育工作、体育卫生与艺术教育工作、国防教育工作及安全稳定工作。</w:t>
      </w:r>
    </w:p>
    <w:p>
      <w:pPr>
        <w:keepNext w:val="0"/>
        <w:keepLines w:val="0"/>
        <w:widowControl/>
        <w:suppressLineNumbers w:val="0"/>
        <w:ind w:left="0" w:firstLine="640"/>
        <w:rPr>
          <w:rFonts w:hint="eastAsia" w:ascii="仿宋" w:hAnsi="仿宋" w:eastAsia="仿宋" w:cs="仿宋"/>
          <w:kern w:val="0"/>
          <w:sz w:val="32"/>
          <w:szCs w:val="32"/>
        </w:rPr>
      </w:pPr>
      <w:r>
        <w:rPr>
          <w:rFonts w:hint="eastAsia" w:ascii="仿宋" w:hAnsi="仿宋" w:eastAsia="仿宋" w:cs="仿宋"/>
          <w:kern w:val="0"/>
          <w:sz w:val="32"/>
          <w:szCs w:val="32"/>
          <w:lang w:eastAsia="zh-CN"/>
        </w:rPr>
        <w:t>（四）</w:t>
      </w:r>
      <w:r>
        <w:rPr>
          <w:rFonts w:hint="eastAsia" w:ascii="仿宋" w:hAnsi="仿宋" w:eastAsia="仿宋" w:cs="仿宋"/>
          <w:kern w:val="0"/>
          <w:sz w:val="32"/>
          <w:szCs w:val="32"/>
        </w:rPr>
        <w:t>、综合管理全镇基础教育、幼儿教育、特殊教育、远程教育等工作。</w:t>
      </w:r>
    </w:p>
    <w:p>
      <w:pPr>
        <w:keepNext w:val="0"/>
        <w:keepLines w:val="0"/>
        <w:widowControl/>
        <w:suppressLineNumbers w:val="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（五）</w:t>
      </w:r>
      <w:r>
        <w:rPr>
          <w:rFonts w:hint="eastAsia" w:ascii="仿宋" w:hAnsi="仿宋" w:eastAsia="仿宋" w:cs="仿宋"/>
          <w:kern w:val="0"/>
          <w:sz w:val="32"/>
          <w:szCs w:val="32"/>
        </w:rPr>
        <w:t>、协调指导全镇各校教育体制、办学体制及学校内部管理体制的改革,协调教育内部与外部的关系。。</w:t>
      </w:r>
    </w:p>
    <w:p>
      <w:pPr>
        <w:keepNext w:val="0"/>
        <w:keepLines w:val="0"/>
        <w:widowControl/>
        <w:suppressLineNumbers w:val="0"/>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（六）</w:t>
      </w:r>
      <w:r>
        <w:rPr>
          <w:rFonts w:hint="eastAsia" w:ascii="仿宋" w:hAnsi="仿宋" w:eastAsia="仿宋" w:cs="仿宋"/>
          <w:kern w:val="0"/>
          <w:sz w:val="32"/>
          <w:szCs w:val="32"/>
        </w:rPr>
        <w:t>、负责管理教育全镇教科研工作和信息化建设。</w:t>
      </w:r>
    </w:p>
    <w:p>
      <w:pPr>
        <w:keepNext w:val="0"/>
        <w:keepLines w:val="0"/>
        <w:widowControl/>
        <w:suppressLineNumbers w:val="0"/>
        <w:ind w:left="0" w:firstLine="640"/>
        <w:rPr>
          <w:rFonts w:hint="eastAsia" w:ascii="黑体" w:hAnsi="宋体" w:eastAsia="黑体" w:cs="黑体"/>
          <w:kern w:val="0"/>
          <w:sz w:val="32"/>
          <w:szCs w:val="32"/>
        </w:rPr>
      </w:pPr>
      <w:r>
        <w:rPr>
          <w:rFonts w:hint="eastAsia" w:ascii="仿宋" w:hAnsi="仿宋" w:eastAsia="仿宋" w:cs="仿宋"/>
          <w:kern w:val="0"/>
          <w:sz w:val="32"/>
          <w:szCs w:val="32"/>
          <w:lang w:eastAsia="zh-CN"/>
        </w:rPr>
        <w:t>（七）</w:t>
      </w:r>
      <w:r>
        <w:rPr>
          <w:rFonts w:hint="eastAsia" w:ascii="仿宋" w:hAnsi="仿宋" w:eastAsia="仿宋" w:cs="仿宋"/>
          <w:kern w:val="0"/>
          <w:sz w:val="32"/>
          <w:szCs w:val="32"/>
        </w:rPr>
        <w:t>、承办教育局政府交办的其他事项。</w:t>
      </w:r>
    </w:p>
    <w:p>
      <w:pPr>
        <w:numPr>
          <w:ilvl w:val="0"/>
          <w:numId w:val="0"/>
        </w:numPr>
        <w:ind w:firstLine="640" w:firstLineChars="200"/>
        <w:jc w:val="left"/>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年单位单位预算表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2,122.29</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401.32</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395.57</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237.17</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253.33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sz w:val="32"/>
          <w:szCs w:val="32"/>
          <w:lang w:val="en-US" w:eastAsia="zh-CN"/>
        </w:rPr>
        <w:t>2,122.29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67.24</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401.32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12.71</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395.57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12.53</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237.17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7.51</w:t>
      </w:r>
      <w:r>
        <w:rPr>
          <w:rFonts w:hint="eastAsia" w:ascii="仿宋_GB2312" w:hAnsi="黑体" w:eastAsia="仿宋_GB2312"/>
          <w:sz w:val="32"/>
          <w:szCs w:val="32"/>
        </w:rPr>
        <w:t>%。</w:t>
      </w:r>
    </w:p>
    <w:p>
      <w:pPr>
        <w:ind w:firstLine="800" w:firstLineChars="250"/>
        <w:rPr>
          <w:rFonts w:ascii="仿宋_GB2312" w:hAnsi="黑体" w:eastAsia="仿宋_GB2312"/>
          <w:sz w:val="32"/>
          <w:szCs w:val="32"/>
        </w:rPr>
      </w:pP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w:t>
      </w:r>
      <w:r>
        <w:rPr>
          <w:rFonts w:hint="eastAsia"/>
        </w:rPr>
        <w:t xml:space="preserve"> </w:t>
      </w:r>
      <w:r>
        <w:rPr>
          <w:rFonts w:hint="eastAsia" w:ascii="仿宋_GB2312" w:hAnsi="黑体" w:eastAsia="仿宋_GB2312" w:cs="仿宋_GB2312"/>
          <w:sz w:val="32"/>
          <w:szCs w:val="32"/>
        </w:rPr>
        <w:t>教育支出（类）普通教育（款）</w:t>
      </w:r>
      <w:r>
        <w:rPr>
          <w:rFonts w:hint="eastAsia" w:ascii="仿宋_GB2312" w:hAnsi="黑体" w:eastAsia="仿宋_GB2312" w:cs="仿宋_GB2312"/>
          <w:sz w:val="32"/>
          <w:szCs w:val="32"/>
          <w:lang w:eastAsia="zh-CN"/>
        </w:rPr>
        <w:t>小学教育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2122.29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205.45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在编教师工资增加导致</w:t>
      </w:r>
      <w:r>
        <w:rPr>
          <w:rFonts w:ascii="仿宋_GB2312" w:hAnsi="黑体" w:eastAsia="仿宋_GB2312"/>
          <w:sz w:val="32"/>
          <w:szCs w:val="32"/>
        </w:rPr>
        <w:t>人员经费</w:t>
      </w:r>
      <w:r>
        <w:rPr>
          <w:rFonts w:hint="eastAsia" w:ascii="仿宋_GB2312" w:hAnsi="黑体" w:eastAsia="仿宋_GB2312"/>
          <w:sz w:val="32"/>
          <w:szCs w:val="32"/>
          <w:lang w:eastAsia="zh-CN"/>
        </w:rPr>
        <w:t>增加</w:t>
      </w:r>
      <w:r>
        <w:rPr>
          <w:rFonts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401.32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3.14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在编教师养老缴费基数提高</w:t>
      </w:r>
      <w:r>
        <w:rPr>
          <w:rFonts w:ascii="仿宋_GB2312" w:hAnsi="黑体" w:eastAsia="仿宋_GB2312"/>
          <w:sz w:val="32"/>
          <w:szCs w:val="32"/>
        </w:rPr>
        <w:t>。</w:t>
      </w:r>
      <w:r>
        <w:rPr>
          <w:rFonts w:hint="eastAsia" w:ascii="仿宋_GB2312" w:hAnsi="黑体" w:eastAsia="仿宋_GB2312"/>
          <w:sz w:val="32"/>
          <w:szCs w:val="32"/>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133.13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7.65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在编教师养老缴费基数提高</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3. 卫生健康支出（类）行政事业单位医疗（款）事业单位医疗（项）2024年预算数为95.23万元，比上年预算数减少22.42万元，主要是在编人员减少；公务员医疗补助（项）2024年预算数为289.44万元，比上年预算数增加44.91万元，主要是在编教师工资增加；其他行政事业单位医疗支出（项）2024年预算数为10.39万元，比上年预算数增加0.85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退休教师增多。</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237.71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22.28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在编教师公积金缴费基数提高</w:t>
      </w:r>
      <w:r>
        <w:rPr>
          <w:rFonts w:hint="eastAsia" w:ascii="仿宋_GB2312" w:hAnsi="黑体" w:eastAsia="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eastAsia="zh-CN"/>
        </w:rPr>
        <w:t>3,154.33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3,134.19</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eastAsia="zh-CN"/>
        </w:rPr>
        <w:t>医疗费</w:t>
      </w:r>
      <w:r>
        <w:rPr>
          <w:rFonts w:hint="eastAsia" w:ascii="仿宋_GB2312" w:hAnsi="黑体" w:eastAsia="仿宋_GB2312"/>
          <w:sz w:val="32"/>
          <w:szCs w:val="32"/>
        </w:rPr>
        <w:t>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20.14</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253.33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人员经费提高</w:t>
      </w:r>
      <w:r>
        <w:rPr>
          <w:rFonts w:hint="eastAsia" w:ascii="仿宋_GB2312" w:hAnsi="黑体" w:eastAsia="仿宋_GB2312"/>
          <w:sz w:val="32"/>
          <w:szCs w:val="32"/>
        </w:rPr>
        <w:t>一般公共预算收入</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屯昌县新兴镇中心小学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屯昌县新兴镇中心小学</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3,156.35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eastAsia="zh-CN"/>
        </w:rPr>
        <w:t>3,154.33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99.94</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2.02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0.06</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273.46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人员经费增加增加基本支出增加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eastAsia="zh-CN"/>
        </w:rPr>
        <w:t>屯昌县新兴镇中心小学</w:t>
      </w:r>
      <w:r>
        <w:rPr>
          <w:rFonts w:hint="eastAsia" w:ascii="仿宋_GB2312" w:hAnsi="黑体" w:eastAsia="仿宋_GB2312" w:cs="仿宋_GB2312"/>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eastAsia="zh-CN"/>
        </w:rPr>
        <w:t>3,154.33</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w:t>
      </w:r>
      <w:r>
        <w:rPr>
          <w:rFonts w:hint="eastAsia" w:ascii="仿宋_GB2312" w:hAnsi="黑体" w:eastAsia="仿宋_GB2312" w:cs="仿宋_GB2312"/>
          <w:sz w:val="32"/>
          <w:szCs w:val="32"/>
          <w:lang w:eastAsia="zh-CN"/>
        </w:rPr>
        <w:t>小学教育</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反映各部门</w:t>
      </w:r>
      <w:r>
        <w:rPr>
          <w:rFonts w:ascii="仿宋_GB2312" w:hAnsi="宋体" w:eastAsia="仿宋_GB2312" w:cs="宋体"/>
          <w:color w:val="000000"/>
          <w:kern w:val="0"/>
          <w:sz w:val="32"/>
          <w:szCs w:val="30"/>
        </w:rPr>
        <w:t>举办的</w:t>
      </w:r>
      <w:r>
        <w:rPr>
          <w:rFonts w:hint="eastAsia" w:ascii="仿宋_GB2312" w:hAnsi="宋体" w:eastAsia="仿宋_GB2312" w:cs="宋体"/>
          <w:color w:val="000000"/>
          <w:kern w:val="0"/>
          <w:sz w:val="32"/>
          <w:szCs w:val="30"/>
          <w:lang w:eastAsia="zh-CN"/>
        </w:rPr>
        <w:t>小学教育</w:t>
      </w:r>
      <w:r>
        <w:rPr>
          <w:rFonts w:ascii="仿宋_GB2312" w:hAnsi="宋体" w:eastAsia="仿宋_GB2312" w:cs="宋体"/>
          <w:color w:val="000000"/>
          <w:kern w:val="0"/>
          <w:sz w:val="32"/>
          <w:szCs w:val="30"/>
        </w:rPr>
        <w:t>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line="560" w:lineRule="exact"/>
        <w:ind w:firstLine="640" w:firstLineChars="200"/>
        <w:rPr>
          <w:rFonts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反映财政部门集中安排的事业单位基本医疗保险缴费经费，未参加医疗保险的事业单位的公费医疗经费，按国家规定享受离休人员待遇的医疗经费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黑体" w:eastAsia="仿宋_GB2312"/>
          <w:sz w:val="32"/>
          <w:szCs w:val="32"/>
        </w:rPr>
        <w:t>十七</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反映财政部门集中安排的公务员医疗补助经费。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ascii="仿宋_GB2312" w:hAnsi="宋体" w:eastAsia="仿宋_GB2312" w:cs="宋体"/>
          <w:color w:val="000000"/>
          <w:kern w:val="0"/>
          <w:sz w:val="32"/>
          <w:szCs w:val="30"/>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w:t>
      </w:r>
      <w:r>
        <w:rPr>
          <w:rFonts w:ascii="仿宋_GB2312" w:hAnsi="宋体" w:eastAsia="仿宋_GB2312" w:cs="宋体"/>
          <w:color w:val="000000"/>
          <w:kern w:val="0"/>
          <w:sz w:val="32"/>
          <w:szCs w:val="30"/>
        </w:rPr>
        <w:t>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w:t>
      </w:r>
      <w:r>
        <w:rPr>
          <w:rFonts w:ascii="仿宋_GB2312" w:hAnsi="宋体" w:eastAsia="仿宋_GB2312" w:cs="宋体"/>
          <w:color w:val="000000"/>
          <w:kern w:val="0"/>
          <w:sz w:val="32"/>
          <w:szCs w:val="30"/>
        </w:rPr>
        <w:t>用于行政事业单位医疗方面的支出</w:t>
      </w:r>
      <w:r>
        <w:rPr>
          <w:rFonts w:hint="eastAsia" w:ascii="仿宋_GB2312" w:hAnsi="宋体" w:eastAsia="仿宋_GB2312" w:cs="宋体"/>
          <w:color w:val="000000"/>
          <w:kern w:val="0"/>
          <w:sz w:val="32"/>
          <w:szCs w:val="30"/>
        </w:rPr>
        <w:t>。</w:t>
      </w:r>
    </w:p>
    <w:p>
      <w:pPr>
        <w:widowControl/>
        <w:spacing w:line="560" w:lineRule="exact"/>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A314B"/>
    <w:rsid w:val="086C6FC6"/>
    <w:rsid w:val="09AC4AE2"/>
    <w:rsid w:val="0A8A10BD"/>
    <w:rsid w:val="0BB02AB6"/>
    <w:rsid w:val="0DB072CF"/>
    <w:rsid w:val="13BA697E"/>
    <w:rsid w:val="16C74411"/>
    <w:rsid w:val="1AFC3EB9"/>
    <w:rsid w:val="1D530E3B"/>
    <w:rsid w:val="275A3F43"/>
    <w:rsid w:val="2B7945A1"/>
    <w:rsid w:val="2E3070FD"/>
    <w:rsid w:val="31125FF2"/>
    <w:rsid w:val="325F1B4A"/>
    <w:rsid w:val="355F712E"/>
    <w:rsid w:val="35A2161F"/>
    <w:rsid w:val="361C7F8B"/>
    <w:rsid w:val="37614D3E"/>
    <w:rsid w:val="50520640"/>
    <w:rsid w:val="52CF5978"/>
    <w:rsid w:val="56A377E9"/>
    <w:rsid w:val="58E44D5B"/>
    <w:rsid w:val="598505DB"/>
    <w:rsid w:val="5A672D7A"/>
    <w:rsid w:val="5AA11F30"/>
    <w:rsid w:val="5B76774F"/>
    <w:rsid w:val="5B947AB3"/>
    <w:rsid w:val="5FC83FBA"/>
    <w:rsid w:val="633D2A5D"/>
    <w:rsid w:val="6FB61E36"/>
    <w:rsid w:val="722D3506"/>
    <w:rsid w:val="757A0661"/>
    <w:rsid w:val="7776738D"/>
    <w:rsid w:val="779621D5"/>
    <w:rsid w:val="78133EA6"/>
    <w:rsid w:val="7DEBCAFF"/>
    <w:rsid w:val="7E23226E"/>
    <w:rsid w:val="7F290C93"/>
    <w:rsid w:val="7FC477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子净</cp:lastModifiedBy>
  <dcterms:modified xsi:type="dcterms:W3CDTF">2025-02-28T07:45:24Z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50A14F4827EB4CF18A765932C422F9FE</vt:lpwstr>
  </property>
</Properties>
</file>