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29DFA">
      <w:pPr>
        <w:pStyle w:val="3"/>
        <w:ind w:firstLineChars="0"/>
        <w:jc w:val="center"/>
        <w:rPr>
          <w:rFonts w:hint="eastAsia"/>
          <w:color w:val="000000" w:themeColor="text1"/>
          <w:lang w:eastAsia="zh-CN"/>
          <w14:textFill>
            <w14:solidFill>
              <w14:schemeClr w14:val="tx1"/>
            </w14:solidFill>
          </w14:textFill>
        </w:rPr>
      </w:pPr>
    </w:p>
    <w:p w14:paraId="64E6CDFF">
      <w:pPr>
        <w:pStyle w:val="3"/>
        <w:ind w:firstLineChars="0"/>
        <w:jc w:val="center"/>
        <w:rPr>
          <w:rFonts w:hint="eastAsia"/>
          <w:color w:val="000000" w:themeColor="text1"/>
          <w:lang w:eastAsia="zh-CN"/>
          <w14:textFill>
            <w14:solidFill>
              <w14:schemeClr w14:val="tx1"/>
            </w14:solidFill>
          </w14:textFill>
        </w:rPr>
      </w:pPr>
    </w:p>
    <w:p w14:paraId="38F4BE32">
      <w:pPr>
        <w:ind w:firstLineChars="0"/>
        <w:jc w:val="center"/>
        <w:outlineLvl w:val="9"/>
        <w:rPr>
          <w:rFonts w:hint="eastAsia" w:ascii="Times New Roman" w:hAnsi="Times New Roman" w:eastAsia="黑体" w:cs="Times New Roman"/>
          <w:b/>
          <w:color w:val="000000" w:themeColor="text1"/>
          <w:kern w:val="44"/>
          <w:sz w:val="52"/>
          <w:szCs w:val="44"/>
          <w:lang w:eastAsia="zh-CN"/>
          <w14:textFill>
            <w14:solidFill>
              <w14:schemeClr w14:val="tx1"/>
            </w14:solidFill>
          </w14:textFill>
        </w:rPr>
      </w:pPr>
      <w:bookmarkStart w:id="0" w:name="_Hlk41654583"/>
      <w:r>
        <w:rPr>
          <w:rFonts w:hint="eastAsia" w:ascii="Times New Roman" w:hAnsi="Times New Roman" w:eastAsia="黑体" w:cs="Times New Roman"/>
          <w:b/>
          <w:color w:val="000000" w:themeColor="text1"/>
          <w:kern w:val="44"/>
          <w:sz w:val="52"/>
          <w:szCs w:val="44"/>
          <w:lang w:eastAsia="zh-CN"/>
          <w14:textFill>
            <w14:solidFill>
              <w14:schemeClr w14:val="tx1"/>
            </w14:solidFill>
          </w14:textFill>
        </w:rPr>
        <w:t>屯昌县“十五五”</w:t>
      </w:r>
      <w:r>
        <w:rPr>
          <w:rFonts w:hint="eastAsia" w:ascii="Times New Roman" w:hAnsi="Times New Roman" w:eastAsia="黑体" w:cs="Times New Roman"/>
          <w:b/>
          <w:color w:val="000000" w:themeColor="text1"/>
          <w:kern w:val="44"/>
          <w:sz w:val="52"/>
          <w:szCs w:val="44"/>
          <w:lang w:val="en-US" w:eastAsia="zh-CN"/>
          <w14:textFill>
            <w14:solidFill>
              <w14:schemeClr w14:val="tx1"/>
            </w14:solidFill>
          </w14:textFill>
        </w:rPr>
        <w:t>生态环境保护</w:t>
      </w:r>
      <w:r>
        <w:rPr>
          <w:rFonts w:hint="eastAsia" w:ascii="Times New Roman" w:hAnsi="Times New Roman" w:eastAsia="黑体" w:cs="Times New Roman"/>
          <w:b/>
          <w:color w:val="000000" w:themeColor="text1"/>
          <w:kern w:val="44"/>
          <w:sz w:val="52"/>
          <w:szCs w:val="44"/>
          <w:lang w:eastAsia="zh-CN"/>
          <w14:textFill>
            <w14:solidFill>
              <w14:schemeClr w14:val="tx1"/>
            </w14:solidFill>
          </w14:textFill>
        </w:rPr>
        <w:t>规划</w:t>
      </w:r>
    </w:p>
    <w:p w14:paraId="08920109">
      <w:pPr>
        <w:ind w:firstLineChars="0"/>
        <w:jc w:val="center"/>
        <w:outlineLvl w:val="9"/>
        <w:rPr>
          <w:rFonts w:hint="default"/>
          <w:color w:val="000000" w:themeColor="text1"/>
          <w:lang w:val="en-US"/>
          <w14:textFill>
            <w14:solidFill>
              <w14:schemeClr w14:val="tx1"/>
            </w14:solidFill>
          </w14:textFill>
        </w:rPr>
      </w:pPr>
    </w:p>
    <w:bookmarkEnd w:id="0"/>
    <w:p w14:paraId="41DCD8C9">
      <w:pPr>
        <w:pStyle w:val="3"/>
        <w:ind w:firstLineChars="0"/>
        <w:jc w:val="center"/>
        <w:rPr>
          <w:color w:val="000000" w:themeColor="text1"/>
          <w14:textFill>
            <w14:solidFill>
              <w14:schemeClr w14:val="tx1"/>
            </w14:solidFill>
          </w14:textFill>
        </w:rPr>
      </w:pPr>
    </w:p>
    <w:p w14:paraId="014CE5DA">
      <w:pPr>
        <w:pStyle w:val="3"/>
        <w:ind w:firstLineChars="0"/>
        <w:jc w:val="center"/>
        <w:rPr>
          <w:rFonts w:hint="eastAsia"/>
          <w:color w:val="000000" w:themeColor="text1"/>
          <w:lang w:eastAsia="zh-CN"/>
          <w14:textFill>
            <w14:solidFill>
              <w14:schemeClr w14:val="tx1"/>
            </w14:solidFill>
          </w14:textFill>
        </w:rPr>
      </w:pPr>
    </w:p>
    <w:p w14:paraId="7C448D2C">
      <w:pPr>
        <w:pStyle w:val="3"/>
        <w:ind w:firstLineChars="0"/>
        <w:jc w:val="center"/>
        <w:rPr>
          <w:color w:val="000000" w:themeColor="text1"/>
          <w14:textFill>
            <w14:solidFill>
              <w14:schemeClr w14:val="tx1"/>
            </w14:solidFill>
          </w14:textFill>
        </w:rPr>
      </w:pPr>
    </w:p>
    <w:p w14:paraId="1BA51555">
      <w:pPr>
        <w:pStyle w:val="3"/>
        <w:ind w:firstLineChars="0"/>
        <w:jc w:val="center"/>
        <w:rPr>
          <w:color w:val="000000" w:themeColor="text1"/>
          <w14:textFill>
            <w14:solidFill>
              <w14:schemeClr w14:val="tx1"/>
            </w14:solidFill>
          </w14:textFill>
        </w:rPr>
      </w:pPr>
    </w:p>
    <w:p w14:paraId="51BF4E72">
      <w:pPr>
        <w:pStyle w:val="3"/>
        <w:ind w:firstLineChars="0"/>
        <w:jc w:val="center"/>
        <w:rPr>
          <w:color w:val="000000" w:themeColor="text1"/>
          <w14:textFill>
            <w14:solidFill>
              <w14:schemeClr w14:val="tx1"/>
            </w14:solidFill>
          </w14:textFill>
        </w:rPr>
      </w:pPr>
    </w:p>
    <w:p w14:paraId="2D8FB550">
      <w:pPr>
        <w:pStyle w:val="3"/>
        <w:ind w:firstLineChars="0"/>
        <w:jc w:val="center"/>
        <w:rPr>
          <w:color w:val="000000" w:themeColor="text1"/>
          <w14:textFill>
            <w14:solidFill>
              <w14:schemeClr w14:val="tx1"/>
            </w14:solidFill>
          </w14:textFill>
        </w:rPr>
      </w:pPr>
    </w:p>
    <w:p w14:paraId="7CFB2924">
      <w:pPr>
        <w:pStyle w:val="3"/>
        <w:ind w:firstLineChars="0"/>
        <w:jc w:val="center"/>
        <w:rPr>
          <w:color w:val="000000" w:themeColor="text1"/>
          <w14:textFill>
            <w14:solidFill>
              <w14:schemeClr w14:val="tx1"/>
            </w14:solidFill>
          </w14:textFill>
        </w:rPr>
      </w:pPr>
    </w:p>
    <w:p w14:paraId="44E80AF7">
      <w:pPr>
        <w:pStyle w:val="3"/>
        <w:ind w:firstLineChars="0"/>
        <w:jc w:val="center"/>
        <w:rPr>
          <w:color w:val="000000" w:themeColor="text1"/>
          <w14:textFill>
            <w14:solidFill>
              <w14:schemeClr w14:val="tx1"/>
            </w14:solidFill>
          </w14:textFill>
        </w:rPr>
      </w:pPr>
    </w:p>
    <w:p w14:paraId="07CA98B5">
      <w:pPr>
        <w:pStyle w:val="3"/>
        <w:bidi w:val="0"/>
        <w:rPr>
          <w:color w:val="000000" w:themeColor="text1"/>
          <w14:textFill>
            <w14:solidFill>
              <w14:schemeClr w14:val="tx1"/>
            </w14:solidFill>
          </w14:textFill>
        </w:rPr>
      </w:pPr>
    </w:p>
    <w:p w14:paraId="721CC8BF">
      <w:pPr>
        <w:pStyle w:val="3"/>
        <w:bidi w:val="0"/>
        <w:rPr>
          <w:color w:val="000000" w:themeColor="text1"/>
          <w14:textFill>
            <w14:solidFill>
              <w14:schemeClr w14:val="tx1"/>
            </w14:solidFill>
          </w14:textFill>
        </w:rPr>
      </w:pPr>
    </w:p>
    <w:p w14:paraId="6BC1EE56">
      <w:pPr>
        <w:pStyle w:val="3"/>
        <w:bidi w:val="0"/>
        <w:rPr>
          <w:color w:val="000000" w:themeColor="text1"/>
          <w14:textFill>
            <w14:solidFill>
              <w14:schemeClr w14:val="tx1"/>
            </w14:solidFill>
          </w14:textFill>
        </w:rPr>
      </w:pPr>
    </w:p>
    <w:p w14:paraId="74B83BAE">
      <w:pPr>
        <w:pStyle w:val="3"/>
        <w:bidi w:val="0"/>
        <w:rPr>
          <w:color w:val="000000" w:themeColor="text1"/>
          <w14:textFill>
            <w14:solidFill>
              <w14:schemeClr w14:val="tx1"/>
            </w14:solidFill>
          </w14:textFill>
        </w:rPr>
      </w:pPr>
    </w:p>
    <w:p w14:paraId="27046FC2">
      <w:pPr>
        <w:pStyle w:val="3"/>
        <w:bidi w:val="0"/>
        <w:rPr>
          <w:color w:val="000000" w:themeColor="text1"/>
          <w14:textFill>
            <w14:solidFill>
              <w14:schemeClr w14:val="tx1"/>
            </w14:solidFill>
          </w14:textFill>
        </w:rPr>
      </w:pPr>
    </w:p>
    <w:p w14:paraId="299896BC">
      <w:pPr>
        <w:pStyle w:val="3"/>
        <w:bidi w:val="0"/>
        <w:rPr>
          <w:color w:val="000000" w:themeColor="text1"/>
          <w14:textFill>
            <w14:solidFill>
              <w14:schemeClr w14:val="tx1"/>
            </w14:solidFill>
          </w14:textFill>
        </w:rPr>
      </w:pPr>
    </w:p>
    <w:p w14:paraId="6F3DC30E">
      <w:pPr>
        <w:ind w:firstLine="0" w:firstLineChars="0"/>
        <w:jc w:val="center"/>
        <w:rPr>
          <w:rFonts w:hint="eastAsia" w:ascii="Times New Roman" w:hAnsi="Times New Roman" w:eastAsia="黑体" w:cs="Times New Roman"/>
          <w:b/>
          <w:color w:val="000000" w:themeColor="text1"/>
          <w:sz w:val="36"/>
          <w:szCs w:val="32"/>
          <w:lang w:eastAsia="zh-CN"/>
          <w14:textFill>
            <w14:solidFill>
              <w14:schemeClr w14:val="tx1"/>
            </w14:solidFill>
          </w14:textFill>
        </w:rPr>
      </w:pPr>
      <w:r>
        <w:rPr>
          <w:rFonts w:hint="eastAsia" w:ascii="Times New Roman" w:hAnsi="Times New Roman" w:eastAsia="黑体" w:cs="Times New Roman"/>
          <w:b/>
          <w:color w:val="000000" w:themeColor="text1"/>
          <w:sz w:val="36"/>
          <w:szCs w:val="32"/>
          <w:lang w:eastAsia="zh-CN"/>
          <w14:textFill>
            <w14:solidFill>
              <w14:schemeClr w14:val="tx1"/>
            </w14:solidFill>
          </w14:textFill>
        </w:rPr>
        <w:t>屯昌</w:t>
      </w:r>
      <w:r>
        <w:rPr>
          <w:rFonts w:hint="eastAsia" w:ascii="Times New Roman" w:hAnsi="Times New Roman" w:eastAsia="黑体" w:cs="Times New Roman"/>
          <w:b/>
          <w:color w:val="000000" w:themeColor="text1"/>
          <w:sz w:val="36"/>
          <w:szCs w:val="32"/>
          <w14:textFill>
            <w14:solidFill>
              <w14:schemeClr w14:val="tx1"/>
            </w14:solidFill>
          </w14:textFill>
        </w:rPr>
        <w:t>县</w:t>
      </w:r>
      <w:r>
        <w:rPr>
          <w:rFonts w:hint="eastAsia" w:ascii="Times New Roman" w:hAnsi="Times New Roman" w:eastAsia="黑体" w:cs="Times New Roman"/>
          <w:b/>
          <w:color w:val="000000" w:themeColor="text1"/>
          <w:sz w:val="36"/>
          <w:szCs w:val="32"/>
          <w:lang w:eastAsia="zh-CN"/>
          <w14:textFill>
            <w14:solidFill>
              <w14:schemeClr w14:val="tx1"/>
            </w14:solidFill>
          </w14:textFill>
        </w:rPr>
        <w:t>人民政府</w:t>
      </w:r>
    </w:p>
    <w:p w14:paraId="7A7DFBAF">
      <w:pPr>
        <w:ind w:firstLine="0" w:firstLineChars="0"/>
        <w:jc w:val="center"/>
        <w:rPr>
          <w:rFonts w:hint="eastAsia"/>
          <w:color w:val="000000" w:themeColor="text1"/>
          <w14:textFill>
            <w14:solidFill>
              <w14:schemeClr w14:val="tx1"/>
            </w14:solidFill>
          </w14:textFill>
        </w:rPr>
      </w:pPr>
      <w:r>
        <w:rPr>
          <w:rFonts w:ascii="Times New Roman" w:hAnsi="Times New Roman" w:eastAsia="黑体" w:cs="Times New Roman"/>
          <w:b/>
          <w:color w:val="000000" w:themeColor="text1"/>
          <w:sz w:val="36"/>
          <w:szCs w:val="32"/>
          <w14:textFill>
            <w14:solidFill>
              <w14:schemeClr w14:val="tx1"/>
            </w14:solidFill>
          </w14:textFill>
        </w:rPr>
        <w:t>202</w:t>
      </w:r>
      <w:r>
        <w:rPr>
          <w:rFonts w:hint="eastAsia" w:ascii="Times New Roman" w:hAnsi="Times New Roman" w:eastAsia="黑体" w:cs="Times New Roman"/>
          <w:b/>
          <w:color w:val="000000" w:themeColor="text1"/>
          <w:sz w:val="36"/>
          <w:szCs w:val="32"/>
          <w:lang w:val="en-US" w:eastAsia="zh-CN"/>
          <w14:textFill>
            <w14:solidFill>
              <w14:schemeClr w14:val="tx1"/>
            </w14:solidFill>
          </w14:textFill>
        </w:rPr>
        <w:t>6</w:t>
      </w:r>
      <w:r>
        <w:rPr>
          <w:rFonts w:hint="eastAsia" w:ascii="Times New Roman" w:hAnsi="Times New Roman" w:eastAsia="黑体" w:cs="Times New Roman"/>
          <w:b/>
          <w:color w:val="000000" w:themeColor="text1"/>
          <w:sz w:val="36"/>
          <w:szCs w:val="32"/>
          <w14:textFill>
            <w14:solidFill>
              <w14:schemeClr w14:val="tx1"/>
            </w14:solidFill>
          </w14:textFill>
        </w:rPr>
        <w:t>年</w:t>
      </w:r>
      <w:r>
        <w:rPr>
          <w:rFonts w:hint="eastAsia" w:eastAsia="黑体" w:cs="Times New Roman"/>
          <w:b/>
          <w:color w:val="000000" w:themeColor="text1"/>
          <w:sz w:val="36"/>
          <w:szCs w:val="32"/>
          <w:lang w:val="en-US" w:eastAsia="zh-CN"/>
          <w14:textFill>
            <w14:solidFill>
              <w14:schemeClr w14:val="tx1"/>
            </w14:solidFill>
          </w14:textFill>
        </w:rPr>
        <w:t>7</w:t>
      </w:r>
      <w:r>
        <w:rPr>
          <w:rFonts w:hint="eastAsia" w:ascii="Times New Roman" w:hAnsi="Times New Roman" w:eastAsia="黑体" w:cs="Times New Roman"/>
          <w:b/>
          <w:color w:val="000000" w:themeColor="text1"/>
          <w:sz w:val="36"/>
          <w:szCs w:val="32"/>
          <w14:textFill>
            <w14:solidFill>
              <w14:schemeClr w14:val="tx1"/>
            </w14:solidFill>
          </w14:textFill>
        </w:rPr>
        <w:t>月</w:t>
      </w:r>
    </w:p>
    <w:p w14:paraId="0D949EC1">
      <w:pPr>
        <w:pStyle w:val="3"/>
        <w:bidi w:val="0"/>
        <w:rPr>
          <w:color w:val="000000" w:themeColor="text1"/>
          <w14:textFill>
            <w14:solidFill>
              <w14:schemeClr w14:val="tx1"/>
            </w14:solidFill>
          </w14:textFill>
        </w:rPr>
      </w:pPr>
    </w:p>
    <w:p w14:paraId="4BE80EF1">
      <w:pPr>
        <w:pStyle w:val="3"/>
        <w:bidi w:val="0"/>
        <w:rPr>
          <w:color w:val="000000" w:themeColor="text1"/>
          <w14:textFill>
            <w14:solidFill>
              <w14:schemeClr w14:val="tx1"/>
            </w14:solidFill>
          </w14:textFill>
        </w:rPr>
      </w:pPr>
    </w:p>
    <w:p w14:paraId="7C2B5914">
      <w:pPr>
        <w:pStyle w:val="3"/>
        <w:ind w:firstLineChars="0"/>
        <w:jc w:val="center"/>
        <w:rPr>
          <w:rFonts w:hint="eastAsia"/>
          <w:color w:val="000000" w:themeColor="text1"/>
          <w:lang w:eastAsia="zh-CN"/>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upperRoman"/>
          <w:cols w:space="425" w:num="1"/>
          <w:docGrid w:type="lines" w:linePitch="312" w:charSpace="0"/>
        </w:sectPr>
      </w:pPr>
    </w:p>
    <w:sdt>
      <w:sdtPr>
        <w:rPr>
          <w:b/>
          <w:color w:val="000000" w:themeColor="text1"/>
          <w:sz w:val="28"/>
          <w:lang w:val="en-US" w:eastAsia="zh-CN"/>
          <w14:textFill>
            <w14:solidFill>
              <w14:schemeClr w14:val="tx1"/>
            </w14:solidFill>
          </w14:textFill>
        </w:rPr>
        <w:id w:val="147459094"/>
        <w15:color w:val="DBDBDB"/>
        <w:docPartObj>
          <w:docPartGallery w:val="Table of Contents"/>
          <w:docPartUnique/>
        </w:docPartObj>
      </w:sdtPr>
      <w:sdtEndPr>
        <w:rPr>
          <w:rFonts w:hint="eastAsia" w:ascii="Times New Roman" w:hAnsi="Times New Roman" w:eastAsia="宋体" w:cstheme="minorBidi"/>
          <w:b/>
          <w:color w:val="000000" w:themeColor="text1"/>
          <w:kern w:val="2"/>
          <w:sz w:val="28"/>
          <w:szCs w:val="22"/>
          <w:lang w:val="en-US" w:eastAsia="zh-CN" w:bidi="ar-SA"/>
          <w14:textFill>
            <w14:solidFill>
              <w14:schemeClr w14:val="tx1"/>
            </w14:solidFill>
          </w14:textFill>
        </w:rPr>
      </w:sdtEndPr>
      <w:sdtContent>
        <w:p w14:paraId="776970FF">
          <w:pPr>
            <w:pStyle w:val="3"/>
            <w:keepNext w:val="0"/>
            <w:keepLines w:val="0"/>
            <w:pageBreakBefore w:val="0"/>
            <w:widowControl w:val="0"/>
            <w:kinsoku/>
            <w:wordWrap/>
            <w:overflowPunct/>
            <w:topLinePunct w:val="0"/>
            <w:autoSpaceDE/>
            <w:autoSpaceDN/>
            <w:bidi w:val="0"/>
            <w:adjustRightInd/>
            <w:snapToGrid/>
            <w:spacing w:before="0" w:beforeLines="0" w:after="0" w:afterLines="0"/>
            <w:ind w:left="0" w:leftChars="0" w:right="0" w:rightChars="0" w:firstLineChars="0"/>
            <w:jc w:val="center"/>
            <w:textAlignment w:val="auto"/>
            <w:outlineLvl w:val="9"/>
            <w:rPr>
              <w:b/>
              <w:color w:val="000000" w:themeColor="text1"/>
              <w:sz w:val="28"/>
              <w14:textFill>
                <w14:solidFill>
                  <w14:schemeClr w14:val="tx1"/>
                </w14:solidFill>
              </w14:textFill>
            </w:rPr>
          </w:pPr>
          <w:r>
            <w:rPr>
              <w:rFonts w:hint="eastAsia"/>
              <w:b/>
              <w:color w:val="000000" w:themeColor="text1"/>
              <w:sz w:val="28"/>
              <w14:textFill>
                <w14:solidFill>
                  <w14:schemeClr w14:val="tx1"/>
                </w14:solidFill>
              </w14:textFill>
            </w:rPr>
            <w:t>目</w:t>
          </w:r>
          <w:r>
            <w:rPr>
              <w:rFonts w:hint="eastAsia"/>
              <w:b/>
              <w:color w:val="000000" w:themeColor="text1"/>
              <w:sz w:val="28"/>
              <w:lang w:val="en-US" w:eastAsia="zh-CN"/>
              <w14:textFill>
                <w14:solidFill>
                  <w14:schemeClr w14:val="tx1"/>
                </w14:solidFill>
              </w14:textFill>
            </w:rPr>
            <w:t xml:space="preserve"> </w:t>
          </w:r>
          <w:r>
            <w:rPr>
              <w:rFonts w:hint="eastAsia"/>
              <w:b/>
              <w:color w:val="000000" w:themeColor="text1"/>
              <w:sz w:val="28"/>
              <w14:textFill>
                <w14:solidFill>
                  <w14:schemeClr w14:val="tx1"/>
                </w14:solidFill>
              </w14:textFill>
            </w:rPr>
            <w:t>录</w:t>
          </w:r>
        </w:p>
        <w:p w14:paraId="187B0431">
          <w:pPr>
            <w:pStyle w:val="13"/>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color w:val="000000" w:themeColor="text1"/>
              <w:sz w:val="28"/>
              <w14:textFill>
                <w14:solidFill>
                  <w14:schemeClr w14:val="tx1"/>
                </w14:solidFill>
              </w14:textFill>
            </w:rPr>
            <w:instrText xml:space="preserve">TOC \o "1-2" \h \u </w:instrText>
          </w:r>
          <w:r>
            <w:rPr>
              <w:rFonts w:hint="eastAsia"/>
              <w:color w:val="000000" w:themeColor="text1"/>
              <w:sz w:val="28"/>
              <w14:textFill>
                <w14:solidFill>
                  <w14:schemeClr w14:val="tx1"/>
                </w14:solidFill>
              </w14:textFill>
            </w:rPr>
            <w:fldChar w:fldCharType="separate"/>
          </w:r>
          <w:r>
            <w:rPr>
              <w:rFonts w:hint="eastAsia"/>
              <w:color w:val="000000" w:themeColor="text1"/>
              <w:sz w:val="28"/>
              <w14:textFill>
                <w14:solidFill>
                  <w14:schemeClr w14:val="tx1"/>
                </w14:solidFill>
              </w14:textFill>
            </w:rPr>
            <w:fldChar w:fldCharType="begin"/>
          </w:r>
          <w:r>
            <w:rPr>
              <w:rFonts w:hint="eastAsia"/>
              <w:sz w:val="28"/>
            </w:rPr>
            <w:instrText xml:space="preserve"> HYPERLINK \l _Toc15496 </w:instrText>
          </w:r>
          <w:r>
            <w:rPr>
              <w:rFonts w:hint="eastAsia"/>
              <w:sz w:val="28"/>
            </w:rPr>
            <w:fldChar w:fldCharType="separate"/>
          </w:r>
          <w:r>
            <w:rPr>
              <w:rFonts w:hint="eastAsia"/>
              <w:sz w:val="28"/>
            </w:rPr>
            <w:t xml:space="preserve">第一章 </w:t>
          </w:r>
          <w:r>
            <w:rPr>
              <w:rFonts w:hint="eastAsia"/>
              <w:sz w:val="28"/>
              <w:lang w:eastAsia="zh-CN"/>
            </w:rPr>
            <w:t>“十四五”时期生态环境保护回顾总结</w:t>
          </w:r>
          <w:r>
            <w:rPr>
              <w:sz w:val="28"/>
            </w:rPr>
            <w:tab/>
          </w:r>
          <w:r>
            <w:rPr>
              <w:sz w:val="28"/>
            </w:rPr>
            <w:fldChar w:fldCharType="begin"/>
          </w:r>
          <w:r>
            <w:rPr>
              <w:sz w:val="28"/>
            </w:rPr>
            <w:instrText xml:space="preserve"> PAGEREF _Toc15496 \h </w:instrText>
          </w:r>
          <w:r>
            <w:rPr>
              <w:sz w:val="28"/>
            </w:rPr>
            <w:fldChar w:fldCharType="separate"/>
          </w:r>
          <w:r>
            <w:rPr>
              <w:sz w:val="28"/>
            </w:rPr>
            <w:t>1</w:t>
          </w:r>
          <w:r>
            <w:rPr>
              <w:sz w:val="28"/>
            </w:rPr>
            <w:fldChar w:fldCharType="end"/>
          </w:r>
          <w:r>
            <w:rPr>
              <w:rFonts w:hint="eastAsia"/>
              <w:color w:val="000000" w:themeColor="text1"/>
              <w:sz w:val="28"/>
              <w14:textFill>
                <w14:solidFill>
                  <w14:schemeClr w14:val="tx1"/>
                </w14:solidFill>
              </w14:textFill>
            </w:rPr>
            <w:fldChar w:fldCharType="end"/>
          </w:r>
        </w:p>
        <w:p w14:paraId="0A5D4099">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_Toc20757 </w:instrText>
          </w:r>
          <w:r>
            <w:rPr>
              <w:rFonts w:hint="eastAsia"/>
              <w:sz w:val="28"/>
            </w:rPr>
            <w:fldChar w:fldCharType="separate"/>
          </w:r>
          <w:r>
            <w:rPr>
              <w:rFonts w:hint="eastAsia"/>
              <w:sz w:val="28"/>
            </w:rPr>
            <w:t xml:space="preserve">第一节 </w:t>
          </w:r>
          <w:r>
            <w:rPr>
              <w:rFonts w:hint="eastAsia"/>
              <w:sz w:val="28"/>
              <w:lang w:val="en-US" w:eastAsia="zh-CN"/>
            </w:rPr>
            <w:t>“十四五”工作成效</w:t>
          </w:r>
          <w:r>
            <w:rPr>
              <w:sz w:val="28"/>
            </w:rPr>
            <w:tab/>
          </w:r>
          <w:r>
            <w:rPr>
              <w:sz w:val="28"/>
            </w:rPr>
            <w:fldChar w:fldCharType="begin"/>
          </w:r>
          <w:r>
            <w:rPr>
              <w:sz w:val="28"/>
            </w:rPr>
            <w:instrText xml:space="preserve"> PAGEREF _Toc20757 \h </w:instrText>
          </w:r>
          <w:r>
            <w:rPr>
              <w:sz w:val="28"/>
            </w:rPr>
            <w:fldChar w:fldCharType="separate"/>
          </w:r>
          <w:r>
            <w:rPr>
              <w:sz w:val="28"/>
            </w:rPr>
            <w:t>1</w:t>
          </w:r>
          <w:r>
            <w:rPr>
              <w:sz w:val="28"/>
            </w:rPr>
            <w:fldChar w:fldCharType="end"/>
          </w:r>
          <w:r>
            <w:rPr>
              <w:rFonts w:hint="eastAsia"/>
              <w:color w:val="000000" w:themeColor="text1"/>
              <w:sz w:val="28"/>
              <w14:textFill>
                <w14:solidFill>
                  <w14:schemeClr w14:val="tx1"/>
                </w14:solidFill>
              </w14:textFill>
            </w:rPr>
            <w:fldChar w:fldCharType="end"/>
          </w:r>
        </w:p>
        <w:p w14:paraId="70B63C75">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_Toc4269 </w:instrText>
          </w:r>
          <w:r>
            <w:rPr>
              <w:rFonts w:hint="eastAsia"/>
              <w:sz w:val="28"/>
            </w:rPr>
            <w:fldChar w:fldCharType="separate"/>
          </w:r>
          <w:r>
            <w:rPr>
              <w:rFonts w:hint="eastAsia"/>
              <w:sz w:val="28"/>
            </w:rPr>
            <w:t>第二节 面临的机遇</w:t>
          </w:r>
          <w:r>
            <w:rPr>
              <w:sz w:val="28"/>
            </w:rPr>
            <w:tab/>
          </w:r>
          <w:r>
            <w:rPr>
              <w:sz w:val="28"/>
            </w:rPr>
            <w:fldChar w:fldCharType="begin"/>
          </w:r>
          <w:r>
            <w:rPr>
              <w:sz w:val="28"/>
            </w:rPr>
            <w:instrText xml:space="preserve"> PAGEREF _Toc4269 \h </w:instrText>
          </w:r>
          <w:r>
            <w:rPr>
              <w:sz w:val="28"/>
            </w:rPr>
            <w:fldChar w:fldCharType="separate"/>
          </w:r>
          <w:r>
            <w:rPr>
              <w:sz w:val="28"/>
            </w:rPr>
            <w:t>5</w:t>
          </w:r>
          <w:r>
            <w:rPr>
              <w:sz w:val="28"/>
            </w:rPr>
            <w:fldChar w:fldCharType="end"/>
          </w:r>
          <w:r>
            <w:rPr>
              <w:rFonts w:hint="eastAsia"/>
              <w:color w:val="000000" w:themeColor="text1"/>
              <w:sz w:val="28"/>
              <w14:textFill>
                <w14:solidFill>
                  <w14:schemeClr w14:val="tx1"/>
                </w14:solidFill>
              </w14:textFill>
            </w:rPr>
            <w:fldChar w:fldCharType="end"/>
          </w:r>
        </w:p>
        <w:p w14:paraId="0A3EB54C">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_Toc8346 </w:instrText>
          </w:r>
          <w:r>
            <w:rPr>
              <w:rFonts w:hint="eastAsia"/>
              <w:sz w:val="28"/>
            </w:rPr>
            <w:fldChar w:fldCharType="separate"/>
          </w:r>
          <w:r>
            <w:rPr>
              <w:rFonts w:hint="eastAsia"/>
              <w:sz w:val="28"/>
            </w:rPr>
            <w:t>第三节 当前存在的主要生态环境问题</w:t>
          </w:r>
          <w:r>
            <w:rPr>
              <w:sz w:val="28"/>
            </w:rPr>
            <w:tab/>
          </w:r>
          <w:r>
            <w:rPr>
              <w:sz w:val="28"/>
            </w:rPr>
            <w:fldChar w:fldCharType="begin"/>
          </w:r>
          <w:r>
            <w:rPr>
              <w:sz w:val="28"/>
            </w:rPr>
            <w:instrText xml:space="preserve"> PAGEREF _Toc8346 \h </w:instrText>
          </w:r>
          <w:r>
            <w:rPr>
              <w:sz w:val="28"/>
            </w:rPr>
            <w:fldChar w:fldCharType="separate"/>
          </w:r>
          <w:r>
            <w:rPr>
              <w:sz w:val="28"/>
            </w:rPr>
            <w:t>7</w:t>
          </w:r>
          <w:r>
            <w:rPr>
              <w:sz w:val="28"/>
            </w:rPr>
            <w:fldChar w:fldCharType="end"/>
          </w:r>
          <w:r>
            <w:rPr>
              <w:rFonts w:hint="eastAsia"/>
              <w:color w:val="000000" w:themeColor="text1"/>
              <w:sz w:val="28"/>
              <w14:textFill>
                <w14:solidFill>
                  <w14:schemeClr w14:val="tx1"/>
                </w14:solidFill>
              </w14:textFill>
            </w:rPr>
            <w:fldChar w:fldCharType="end"/>
          </w:r>
        </w:p>
        <w:p w14:paraId="574695A1">
          <w:pPr>
            <w:pStyle w:val="13"/>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_Toc29032 </w:instrText>
          </w:r>
          <w:r>
            <w:rPr>
              <w:rFonts w:hint="eastAsia"/>
              <w:sz w:val="28"/>
            </w:rPr>
            <w:fldChar w:fldCharType="separate"/>
          </w:r>
          <w:r>
            <w:rPr>
              <w:rFonts w:hint="eastAsia"/>
              <w:sz w:val="28"/>
            </w:rPr>
            <w:t>第二章 指导思想、基本原则与主要目标</w:t>
          </w:r>
          <w:r>
            <w:rPr>
              <w:sz w:val="28"/>
            </w:rPr>
            <w:tab/>
          </w:r>
          <w:r>
            <w:rPr>
              <w:sz w:val="28"/>
            </w:rPr>
            <w:fldChar w:fldCharType="begin"/>
          </w:r>
          <w:r>
            <w:rPr>
              <w:sz w:val="28"/>
            </w:rPr>
            <w:instrText xml:space="preserve"> PAGEREF _Toc29032 \h </w:instrText>
          </w:r>
          <w:r>
            <w:rPr>
              <w:sz w:val="28"/>
            </w:rPr>
            <w:fldChar w:fldCharType="separate"/>
          </w:r>
          <w:r>
            <w:rPr>
              <w:sz w:val="28"/>
            </w:rPr>
            <w:t>11</w:t>
          </w:r>
          <w:r>
            <w:rPr>
              <w:sz w:val="28"/>
            </w:rPr>
            <w:fldChar w:fldCharType="end"/>
          </w:r>
          <w:r>
            <w:rPr>
              <w:rFonts w:hint="eastAsia"/>
              <w:color w:val="000000" w:themeColor="text1"/>
              <w:sz w:val="28"/>
              <w14:textFill>
                <w14:solidFill>
                  <w14:schemeClr w14:val="tx1"/>
                </w14:solidFill>
              </w14:textFill>
            </w:rPr>
            <w:fldChar w:fldCharType="end"/>
          </w:r>
        </w:p>
        <w:p w14:paraId="7B8F6CD9">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_Toc30509 </w:instrText>
          </w:r>
          <w:r>
            <w:rPr>
              <w:rFonts w:hint="eastAsia"/>
              <w:sz w:val="28"/>
            </w:rPr>
            <w:fldChar w:fldCharType="separate"/>
          </w:r>
          <w:r>
            <w:rPr>
              <w:rFonts w:hint="eastAsia"/>
              <w:sz w:val="28"/>
            </w:rPr>
            <w:t>第一节 指导思想</w:t>
          </w:r>
          <w:r>
            <w:rPr>
              <w:sz w:val="28"/>
            </w:rPr>
            <w:tab/>
          </w:r>
          <w:r>
            <w:rPr>
              <w:sz w:val="28"/>
            </w:rPr>
            <w:fldChar w:fldCharType="begin"/>
          </w:r>
          <w:r>
            <w:rPr>
              <w:sz w:val="28"/>
            </w:rPr>
            <w:instrText xml:space="preserve"> PAGEREF _Toc30509 \h </w:instrText>
          </w:r>
          <w:r>
            <w:rPr>
              <w:sz w:val="28"/>
            </w:rPr>
            <w:fldChar w:fldCharType="separate"/>
          </w:r>
          <w:r>
            <w:rPr>
              <w:sz w:val="28"/>
            </w:rPr>
            <w:t>11</w:t>
          </w:r>
          <w:r>
            <w:rPr>
              <w:sz w:val="28"/>
            </w:rPr>
            <w:fldChar w:fldCharType="end"/>
          </w:r>
          <w:r>
            <w:rPr>
              <w:rFonts w:hint="eastAsia"/>
              <w:color w:val="000000" w:themeColor="text1"/>
              <w:sz w:val="28"/>
              <w14:textFill>
                <w14:solidFill>
                  <w14:schemeClr w14:val="tx1"/>
                </w14:solidFill>
              </w14:textFill>
            </w:rPr>
            <w:fldChar w:fldCharType="end"/>
          </w:r>
        </w:p>
        <w:p w14:paraId="56481E87">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_Toc20352 </w:instrText>
          </w:r>
          <w:r>
            <w:rPr>
              <w:rFonts w:hint="eastAsia"/>
              <w:sz w:val="28"/>
            </w:rPr>
            <w:fldChar w:fldCharType="separate"/>
          </w:r>
          <w:r>
            <w:rPr>
              <w:rFonts w:hint="eastAsia"/>
              <w:sz w:val="28"/>
            </w:rPr>
            <w:t>第二节 基本原则</w:t>
          </w:r>
          <w:r>
            <w:rPr>
              <w:sz w:val="28"/>
            </w:rPr>
            <w:tab/>
          </w:r>
          <w:r>
            <w:rPr>
              <w:sz w:val="28"/>
            </w:rPr>
            <w:fldChar w:fldCharType="begin"/>
          </w:r>
          <w:r>
            <w:rPr>
              <w:sz w:val="28"/>
            </w:rPr>
            <w:instrText xml:space="preserve"> PAGEREF _Toc20352 \h </w:instrText>
          </w:r>
          <w:r>
            <w:rPr>
              <w:sz w:val="28"/>
            </w:rPr>
            <w:fldChar w:fldCharType="separate"/>
          </w:r>
          <w:r>
            <w:rPr>
              <w:sz w:val="28"/>
            </w:rPr>
            <w:t>11</w:t>
          </w:r>
          <w:r>
            <w:rPr>
              <w:sz w:val="28"/>
            </w:rPr>
            <w:fldChar w:fldCharType="end"/>
          </w:r>
          <w:r>
            <w:rPr>
              <w:rFonts w:hint="eastAsia"/>
              <w:color w:val="000000" w:themeColor="text1"/>
              <w:sz w:val="28"/>
              <w14:textFill>
                <w14:solidFill>
                  <w14:schemeClr w14:val="tx1"/>
                </w14:solidFill>
              </w14:textFill>
            </w:rPr>
            <w:fldChar w:fldCharType="end"/>
          </w:r>
        </w:p>
        <w:p w14:paraId="12CD44DC">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_Toc21260 </w:instrText>
          </w:r>
          <w:r>
            <w:rPr>
              <w:rFonts w:hint="eastAsia"/>
              <w:sz w:val="28"/>
            </w:rPr>
            <w:fldChar w:fldCharType="separate"/>
          </w:r>
          <w:r>
            <w:rPr>
              <w:rFonts w:hint="eastAsia"/>
              <w:sz w:val="28"/>
            </w:rPr>
            <w:t>第三节 主要目标</w:t>
          </w:r>
          <w:r>
            <w:rPr>
              <w:sz w:val="28"/>
            </w:rPr>
            <w:tab/>
          </w:r>
          <w:r>
            <w:rPr>
              <w:sz w:val="28"/>
            </w:rPr>
            <w:fldChar w:fldCharType="begin"/>
          </w:r>
          <w:r>
            <w:rPr>
              <w:sz w:val="28"/>
            </w:rPr>
            <w:instrText xml:space="preserve"> PAGEREF _Toc21260 \h </w:instrText>
          </w:r>
          <w:r>
            <w:rPr>
              <w:sz w:val="28"/>
            </w:rPr>
            <w:fldChar w:fldCharType="separate"/>
          </w:r>
          <w:r>
            <w:rPr>
              <w:sz w:val="28"/>
            </w:rPr>
            <w:t>12</w:t>
          </w:r>
          <w:r>
            <w:rPr>
              <w:sz w:val="28"/>
            </w:rPr>
            <w:fldChar w:fldCharType="end"/>
          </w:r>
          <w:r>
            <w:rPr>
              <w:rFonts w:hint="eastAsia"/>
              <w:color w:val="000000" w:themeColor="text1"/>
              <w:sz w:val="28"/>
              <w14:textFill>
                <w14:solidFill>
                  <w14:schemeClr w14:val="tx1"/>
                </w14:solidFill>
              </w14:textFill>
            </w:rPr>
            <w:fldChar w:fldCharType="end"/>
          </w:r>
        </w:p>
        <w:p w14:paraId="348C7F0E">
          <w:pPr>
            <w:pStyle w:val="13"/>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_Toc1674 </w:instrText>
          </w:r>
          <w:r>
            <w:rPr>
              <w:rFonts w:hint="eastAsia"/>
              <w:sz w:val="28"/>
            </w:rPr>
            <w:fldChar w:fldCharType="separate"/>
          </w:r>
          <w:r>
            <w:rPr>
              <w:rFonts w:hint="eastAsia" w:ascii="Times New Roman" w:hAnsi="Times New Roman"/>
              <w:sz w:val="28"/>
            </w:rPr>
            <w:t>第三章 把握屯昌</w:t>
          </w:r>
          <w:r>
            <w:rPr>
              <w:rFonts w:hint="eastAsia" w:ascii="Times New Roman" w:hAnsi="Times New Roman"/>
              <w:sz w:val="28"/>
              <w:lang w:val="en-US" w:eastAsia="zh-CN"/>
            </w:rPr>
            <w:t>特色</w:t>
          </w:r>
          <w:r>
            <w:rPr>
              <w:rFonts w:hint="eastAsia" w:ascii="Times New Roman" w:hAnsi="Times New Roman"/>
              <w:sz w:val="28"/>
            </w:rPr>
            <w:t>，</w:t>
          </w:r>
          <w:r>
            <w:rPr>
              <w:rFonts w:hint="eastAsia" w:ascii="Times New Roman" w:hAnsi="Times New Roman"/>
              <w:sz w:val="28"/>
              <w:lang w:eastAsia="zh-CN"/>
            </w:rPr>
            <w:t>推进生态文明示范区建设</w:t>
          </w:r>
          <w:r>
            <w:rPr>
              <w:sz w:val="28"/>
            </w:rPr>
            <w:tab/>
          </w:r>
          <w:r>
            <w:rPr>
              <w:sz w:val="28"/>
            </w:rPr>
            <w:fldChar w:fldCharType="begin"/>
          </w:r>
          <w:r>
            <w:rPr>
              <w:sz w:val="28"/>
            </w:rPr>
            <w:instrText xml:space="preserve"> PAGEREF _Toc1674 \h </w:instrText>
          </w:r>
          <w:r>
            <w:rPr>
              <w:sz w:val="28"/>
            </w:rPr>
            <w:fldChar w:fldCharType="separate"/>
          </w:r>
          <w:r>
            <w:rPr>
              <w:sz w:val="28"/>
            </w:rPr>
            <w:t>16</w:t>
          </w:r>
          <w:r>
            <w:rPr>
              <w:sz w:val="28"/>
            </w:rPr>
            <w:fldChar w:fldCharType="end"/>
          </w:r>
          <w:r>
            <w:rPr>
              <w:rFonts w:hint="eastAsia"/>
              <w:color w:val="000000" w:themeColor="text1"/>
              <w:sz w:val="28"/>
              <w14:textFill>
                <w14:solidFill>
                  <w14:schemeClr w14:val="tx1"/>
                </w14:solidFill>
              </w14:textFill>
            </w:rPr>
            <w:fldChar w:fldCharType="end"/>
          </w:r>
        </w:p>
        <w:p w14:paraId="6BD69EE3">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_Toc18080 </w:instrText>
          </w:r>
          <w:r>
            <w:rPr>
              <w:rFonts w:hint="eastAsia"/>
              <w:sz w:val="28"/>
            </w:rPr>
            <w:fldChar w:fldCharType="separate"/>
          </w:r>
          <w:r>
            <w:rPr>
              <w:rFonts w:hint="eastAsia"/>
              <w:sz w:val="28"/>
            </w:rPr>
            <w:t xml:space="preserve">第一节 </w:t>
          </w:r>
          <w:r>
            <w:rPr>
              <w:rFonts w:hint="eastAsia"/>
              <w:sz w:val="28"/>
              <w:lang w:val="en-US" w:eastAsia="zh-CN"/>
            </w:rPr>
            <w:t>发挥“一园三区两中心”引领作用</w:t>
          </w:r>
          <w:r>
            <w:rPr>
              <w:sz w:val="28"/>
            </w:rPr>
            <w:tab/>
          </w:r>
          <w:r>
            <w:rPr>
              <w:sz w:val="28"/>
            </w:rPr>
            <w:fldChar w:fldCharType="begin"/>
          </w:r>
          <w:r>
            <w:rPr>
              <w:sz w:val="28"/>
            </w:rPr>
            <w:instrText xml:space="preserve"> PAGEREF _Toc18080 \h </w:instrText>
          </w:r>
          <w:r>
            <w:rPr>
              <w:sz w:val="28"/>
            </w:rPr>
            <w:fldChar w:fldCharType="separate"/>
          </w:r>
          <w:r>
            <w:rPr>
              <w:sz w:val="28"/>
            </w:rPr>
            <w:t>16</w:t>
          </w:r>
          <w:r>
            <w:rPr>
              <w:sz w:val="28"/>
            </w:rPr>
            <w:fldChar w:fldCharType="end"/>
          </w:r>
          <w:r>
            <w:rPr>
              <w:rFonts w:hint="eastAsia"/>
              <w:color w:val="000000" w:themeColor="text1"/>
              <w:sz w:val="28"/>
              <w14:textFill>
                <w14:solidFill>
                  <w14:schemeClr w14:val="tx1"/>
                </w14:solidFill>
              </w14:textFill>
            </w:rPr>
            <w:fldChar w:fldCharType="end"/>
          </w:r>
        </w:p>
        <w:p w14:paraId="7EB55AF7">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_Toc30689 </w:instrText>
          </w:r>
          <w:r>
            <w:rPr>
              <w:rFonts w:hint="eastAsia"/>
              <w:sz w:val="28"/>
            </w:rPr>
            <w:fldChar w:fldCharType="separate"/>
          </w:r>
          <w:r>
            <w:rPr>
              <w:rFonts w:hint="eastAsia"/>
              <w:sz w:val="28"/>
            </w:rPr>
            <w:t xml:space="preserve">第二节 </w:t>
          </w:r>
          <w:r>
            <w:rPr>
              <w:rFonts w:hint="eastAsia"/>
              <w:sz w:val="28"/>
              <w:lang w:val="en-US" w:eastAsia="zh-CN"/>
            </w:rPr>
            <w:t>优化屯昌资源要素配置</w:t>
          </w:r>
          <w:r>
            <w:rPr>
              <w:sz w:val="28"/>
            </w:rPr>
            <w:tab/>
          </w:r>
          <w:r>
            <w:rPr>
              <w:sz w:val="28"/>
            </w:rPr>
            <w:fldChar w:fldCharType="begin"/>
          </w:r>
          <w:r>
            <w:rPr>
              <w:sz w:val="28"/>
            </w:rPr>
            <w:instrText xml:space="preserve"> PAGEREF _Toc30689 \h </w:instrText>
          </w:r>
          <w:r>
            <w:rPr>
              <w:sz w:val="28"/>
            </w:rPr>
            <w:fldChar w:fldCharType="separate"/>
          </w:r>
          <w:r>
            <w:rPr>
              <w:sz w:val="28"/>
            </w:rPr>
            <w:t>18</w:t>
          </w:r>
          <w:r>
            <w:rPr>
              <w:sz w:val="28"/>
            </w:rPr>
            <w:fldChar w:fldCharType="end"/>
          </w:r>
          <w:r>
            <w:rPr>
              <w:rFonts w:hint="eastAsia"/>
              <w:color w:val="000000" w:themeColor="text1"/>
              <w:sz w:val="28"/>
              <w14:textFill>
                <w14:solidFill>
                  <w14:schemeClr w14:val="tx1"/>
                </w14:solidFill>
              </w14:textFill>
            </w:rPr>
            <w:fldChar w:fldCharType="end"/>
          </w:r>
        </w:p>
        <w:p w14:paraId="0F8F82AA">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_Toc19457 </w:instrText>
          </w:r>
          <w:r>
            <w:rPr>
              <w:rFonts w:hint="eastAsia"/>
              <w:sz w:val="28"/>
            </w:rPr>
            <w:fldChar w:fldCharType="separate"/>
          </w:r>
          <w:r>
            <w:rPr>
              <w:rFonts w:hint="eastAsia"/>
              <w:sz w:val="28"/>
              <w:lang w:val="en-US" w:eastAsia="zh-CN"/>
            </w:rPr>
            <w:t>第三节 开展美丽屯昌建设全民行动</w:t>
          </w:r>
          <w:r>
            <w:rPr>
              <w:sz w:val="28"/>
            </w:rPr>
            <w:tab/>
          </w:r>
          <w:r>
            <w:rPr>
              <w:sz w:val="28"/>
            </w:rPr>
            <w:fldChar w:fldCharType="begin"/>
          </w:r>
          <w:r>
            <w:rPr>
              <w:sz w:val="28"/>
            </w:rPr>
            <w:instrText xml:space="preserve"> PAGEREF _Toc19457 \h </w:instrText>
          </w:r>
          <w:r>
            <w:rPr>
              <w:sz w:val="28"/>
            </w:rPr>
            <w:fldChar w:fldCharType="separate"/>
          </w:r>
          <w:r>
            <w:rPr>
              <w:sz w:val="28"/>
            </w:rPr>
            <w:t>20</w:t>
          </w:r>
          <w:r>
            <w:rPr>
              <w:sz w:val="28"/>
            </w:rPr>
            <w:fldChar w:fldCharType="end"/>
          </w:r>
          <w:r>
            <w:rPr>
              <w:rFonts w:hint="eastAsia"/>
              <w:color w:val="000000" w:themeColor="text1"/>
              <w:sz w:val="28"/>
              <w14:textFill>
                <w14:solidFill>
                  <w14:schemeClr w14:val="tx1"/>
                </w14:solidFill>
              </w14:textFill>
            </w:rPr>
            <w:fldChar w:fldCharType="end"/>
          </w:r>
        </w:p>
        <w:p w14:paraId="417FDA5B">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_Toc8872 </w:instrText>
          </w:r>
          <w:r>
            <w:rPr>
              <w:rFonts w:hint="eastAsia"/>
              <w:sz w:val="28"/>
            </w:rPr>
            <w:fldChar w:fldCharType="separate"/>
          </w:r>
          <w:r>
            <w:rPr>
              <w:rFonts w:hint="eastAsia"/>
              <w:sz w:val="28"/>
              <w:lang w:val="en-US" w:eastAsia="zh-CN"/>
            </w:rPr>
            <w:t>第四节 深化与巩固屯昌县生态文明建设示范区创建成果</w:t>
          </w:r>
          <w:r>
            <w:rPr>
              <w:sz w:val="28"/>
            </w:rPr>
            <w:tab/>
          </w:r>
          <w:r>
            <w:rPr>
              <w:sz w:val="28"/>
            </w:rPr>
            <w:fldChar w:fldCharType="begin"/>
          </w:r>
          <w:r>
            <w:rPr>
              <w:sz w:val="28"/>
            </w:rPr>
            <w:instrText xml:space="preserve"> PAGEREF _Toc8872 \h </w:instrText>
          </w:r>
          <w:r>
            <w:rPr>
              <w:sz w:val="28"/>
            </w:rPr>
            <w:fldChar w:fldCharType="separate"/>
          </w:r>
          <w:r>
            <w:rPr>
              <w:sz w:val="28"/>
            </w:rPr>
            <w:t>21</w:t>
          </w:r>
          <w:r>
            <w:rPr>
              <w:sz w:val="28"/>
            </w:rPr>
            <w:fldChar w:fldCharType="end"/>
          </w:r>
          <w:r>
            <w:rPr>
              <w:rFonts w:hint="eastAsia"/>
              <w:color w:val="000000" w:themeColor="text1"/>
              <w:sz w:val="28"/>
              <w14:textFill>
                <w14:solidFill>
                  <w14:schemeClr w14:val="tx1"/>
                </w14:solidFill>
              </w14:textFill>
            </w:rPr>
            <w:fldChar w:fldCharType="end"/>
          </w:r>
        </w:p>
        <w:p w14:paraId="588A552A">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_Toc17807 </w:instrText>
          </w:r>
          <w:r>
            <w:rPr>
              <w:rFonts w:hint="eastAsia"/>
              <w:sz w:val="28"/>
            </w:rPr>
            <w:fldChar w:fldCharType="separate"/>
          </w:r>
          <w:r>
            <w:rPr>
              <w:rFonts w:hint="eastAsia"/>
              <w:sz w:val="28"/>
              <w:lang w:eastAsia="zh-CN"/>
            </w:rPr>
            <w:t>第五节 创新拓展生态产品价值实现路径</w:t>
          </w:r>
          <w:r>
            <w:rPr>
              <w:sz w:val="28"/>
            </w:rPr>
            <w:tab/>
          </w:r>
          <w:r>
            <w:rPr>
              <w:sz w:val="28"/>
            </w:rPr>
            <w:fldChar w:fldCharType="begin"/>
          </w:r>
          <w:r>
            <w:rPr>
              <w:sz w:val="28"/>
            </w:rPr>
            <w:instrText xml:space="preserve"> PAGEREF _Toc17807 \h </w:instrText>
          </w:r>
          <w:r>
            <w:rPr>
              <w:sz w:val="28"/>
            </w:rPr>
            <w:fldChar w:fldCharType="separate"/>
          </w:r>
          <w:r>
            <w:rPr>
              <w:sz w:val="28"/>
            </w:rPr>
            <w:t>22</w:t>
          </w:r>
          <w:r>
            <w:rPr>
              <w:sz w:val="28"/>
            </w:rPr>
            <w:fldChar w:fldCharType="end"/>
          </w:r>
          <w:r>
            <w:rPr>
              <w:rFonts w:hint="eastAsia"/>
              <w:color w:val="000000" w:themeColor="text1"/>
              <w:sz w:val="28"/>
              <w14:textFill>
                <w14:solidFill>
                  <w14:schemeClr w14:val="tx1"/>
                </w14:solidFill>
              </w14:textFill>
            </w:rPr>
            <w:fldChar w:fldCharType="end"/>
          </w:r>
        </w:p>
        <w:p w14:paraId="2F9F4591">
          <w:pPr>
            <w:pStyle w:val="13"/>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_Toc18555 </w:instrText>
          </w:r>
          <w:r>
            <w:rPr>
              <w:rFonts w:hint="eastAsia"/>
              <w:sz w:val="28"/>
            </w:rPr>
            <w:fldChar w:fldCharType="separate"/>
          </w:r>
          <w:r>
            <w:rPr>
              <w:rFonts w:hint="eastAsia"/>
              <w:sz w:val="28"/>
            </w:rPr>
            <w:t xml:space="preserve">第四章 </w:t>
          </w:r>
          <w:r>
            <w:rPr>
              <w:rFonts w:hint="eastAsia"/>
              <w:sz w:val="28"/>
              <w:lang w:val="en-US" w:eastAsia="zh-CN"/>
            </w:rPr>
            <w:t>强化绿色低碳</w:t>
          </w:r>
          <w:r>
            <w:rPr>
              <w:rFonts w:hint="eastAsia" w:ascii="Times New Roman" w:hAnsi="Times New Roman"/>
              <w:sz w:val="28"/>
              <w:lang w:val="en-US" w:eastAsia="zh-CN"/>
            </w:rPr>
            <w:t>引领，塑造高质量发展新引擎</w:t>
          </w:r>
          <w:r>
            <w:rPr>
              <w:sz w:val="28"/>
            </w:rPr>
            <w:tab/>
          </w:r>
          <w:r>
            <w:rPr>
              <w:sz w:val="28"/>
            </w:rPr>
            <w:fldChar w:fldCharType="begin"/>
          </w:r>
          <w:r>
            <w:rPr>
              <w:sz w:val="28"/>
            </w:rPr>
            <w:instrText xml:space="preserve"> PAGEREF _Toc18555 \h </w:instrText>
          </w:r>
          <w:r>
            <w:rPr>
              <w:sz w:val="28"/>
            </w:rPr>
            <w:fldChar w:fldCharType="separate"/>
          </w:r>
          <w:r>
            <w:rPr>
              <w:sz w:val="28"/>
            </w:rPr>
            <w:t>24</w:t>
          </w:r>
          <w:r>
            <w:rPr>
              <w:sz w:val="28"/>
            </w:rPr>
            <w:fldChar w:fldCharType="end"/>
          </w:r>
          <w:r>
            <w:rPr>
              <w:rFonts w:hint="eastAsia"/>
              <w:color w:val="000000" w:themeColor="text1"/>
              <w:sz w:val="28"/>
              <w14:textFill>
                <w14:solidFill>
                  <w14:schemeClr w14:val="tx1"/>
                </w14:solidFill>
              </w14:textFill>
            </w:rPr>
            <w:fldChar w:fldCharType="end"/>
          </w:r>
        </w:p>
        <w:p w14:paraId="386C0079">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_Toc7234 </w:instrText>
          </w:r>
          <w:r>
            <w:rPr>
              <w:rFonts w:hint="eastAsia"/>
              <w:sz w:val="28"/>
            </w:rPr>
            <w:fldChar w:fldCharType="separate"/>
          </w:r>
          <w:r>
            <w:rPr>
              <w:rFonts w:hint="eastAsia"/>
              <w:sz w:val="28"/>
              <w:lang w:val="en-US" w:eastAsia="zh-CN"/>
            </w:rPr>
            <w:t>第一节 建立清洁低碳的能源体系</w:t>
          </w:r>
          <w:r>
            <w:rPr>
              <w:sz w:val="28"/>
            </w:rPr>
            <w:tab/>
          </w:r>
          <w:r>
            <w:rPr>
              <w:sz w:val="28"/>
            </w:rPr>
            <w:fldChar w:fldCharType="begin"/>
          </w:r>
          <w:r>
            <w:rPr>
              <w:sz w:val="28"/>
            </w:rPr>
            <w:instrText xml:space="preserve"> PAGEREF _Toc7234 \h </w:instrText>
          </w:r>
          <w:r>
            <w:rPr>
              <w:sz w:val="28"/>
            </w:rPr>
            <w:fldChar w:fldCharType="separate"/>
          </w:r>
          <w:r>
            <w:rPr>
              <w:sz w:val="28"/>
            </w:rPr>
            <w:t>24</w:t>
          </w:r>
          <w:r>
            <w:rPr>
              <w:sz w:val="28"/>
            </w:rPr>
            <w:fldChar w:fldCharType="end"/>
          </w:r>
          <w:r>
            <w:rPr>
              <w:rFonts w:hint="eastAsia"/>
              <w:color w:val="000000" w:themeColor="text1"/>
              <w:sz w:val="28"/>
              <w14:textFill>
                <w14:solidFill>
                  <w14:schemeClr w14:val="tx1"/>
                </w14:solidFill>
              </w14:textFill>
            </w:rPr>
            <w:fldChar w:fldCharType="end"/>
          </w:r>
        </w:p>
        <w:p w14:paraId="383C98FA">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_Toc27895 </w:instrText>
          </w:r>
          <w:r>
            <w:rPr>
              <w:rFonts w:hint="eastAsia"/>
              <w:sz w:val="28"/>
            </w:rPr>
            <w:fldChar w:fldCharType="separate"/>
          </w:r>
          <w:r>
            <w:rPr>
              <w:rFonts w:hint="eastAsia"/>
              <w:sz w:val="28"/>
            </w:rPr>
            <w:t xml:space="preserve">第二节 </w:t>
          </w:r>
          <w:r>
            <w:rPr>
              <w:rFonts w:hint="eastAsia"/>
              <w:sz w:val="28"/>
              <w:lang w:val="en-US" w:eastAsia="zh-CN"/>
            </w:rPr>
            <w:t>推动城镇</w:t>
          </w:r>
          <w:r>
            <w:rPr>
              <w:rFonts w:hint="eastAsia"/>
              <w:sz w:val="28"/>
            </w:rPr>
            <w:t>建筑</w:t>
          </w:r>
          <w:r>
            <w:rPr>
              <w:rFonts w:hint="eastAsia"/>
              <w:sz w:val="28"/>
              <w:lang w:val="en-US" w:eastAsia="zh-CN"/>
            </w:rPr>
            <w:t>绿色低碳发展</w:t>
          </w:r>
          <w:r>
            <w:rPr>
              <w:sz w:val="28"/>
            </w:rPr>
            <w:tab/>
          </w:r>
          <w:r>
            <w:rPr>
              <w:sz w:val="28"/>
            </w:rPr>
            <w:fldChar w:fldCharType="begin"/>
          </w:r>
          <w:r>
            <w:rPr>
              <w:sz w:val="28"/>
            </w:rPr>
            <w:instrText xml:space="preserve"> PAGEREF _Toc27895 \h </w:instrText>
          </w:r>
          <w:r>
            <w:rPr>
              <w:sz w:val="28"/>
            </w:rPr>
            <w:fldChar w:fldCharType="separate"/>
          </w:r>
          <w:r>
            <w:rPr>
              <w:sz w:val="28"/>
            </w:rPr>
            <w:t>25</w:t>
          </w:r>
          <w:r>
            <w:rPr>
              <w:sz w:val="28"/>
            </w:rPr>
            <w:fldChar w:fldCharType="end"/>
          </w:r>
          <w:r>
            <w:rPr>
              <w:rFonts w:hint="eastAsia"/>
              <w:color w:val="000000" w:themeColor="text1"/>
              <w:sz w:val="28"/>
              <w14:textFill>
                <w14:solidFill>
                  <w14:schemeClr w14:val="tx1"/>
                </w14:solidFill>
              </w14:textFill>
            </w:rPr>
            <w:fldChar w:fldCharType="end"/>
          </w:r>
        </w:p>
        <w:p w14:paraId="4F1A698A">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_Toc12715 </w:instrText>
          </w:r>
          <w:r>
            <w:rPr>
              <w:rFonts w:hint="eastAsia"/>
              <w:sz w:val="28"/>
            </w:rPr>
            <w:fldChar w:fldCharType="separate"/>
          </w:r>
          <w:r>
            <w:rPr>
              <w:rFonts w:hint="eastAsia"/>
              <w:sz w:val="28"/>
              <w:lang w:val="en-US" w:eastAsia="zh-CN"/>
            </w:rPr>
            <w:t>第三节 打造交通运输绿色名片</w:t>
          </w:r>
          <w:r>
            <w:rPr>
              <w:sz w:val="28"/>
            </w:rPr>
            <w:tab/>
          </w:r>
          <w:r>
            <w:rPr>
              <w:sz w:val="28"/>
            </w:rPr>
            <w:fldChar w:fldCharType="begin"/>
          </w:r>
          <w:r>
            <w:rPr>
              <w:sz w:val="28"/>
            </w:rPr>
            <w:instrText xml:space="preserve"> PAGEREF _Toc12715 \h </w:instrText>
          </w:r>
          <w:r>
            <w:rPr>
              <w:sz w:val="28"/>
            </w:rPr>
            <w:fldChar w:fldCharType="separate"/>
          </w:r>
          <w:r>
            <w:rPr>
              <w:sz w:val="28"/>
            </w:rPr>
            <w:t>26</w:t>
          </w:r>
          <w:r>
            <w:rPr>
              <w:sz w:val="28"/>
            </w:rPr>
            <w:fldChar w:fldCharType="end"/>
          </w:r>
          <w:r>
            <w:rPr>
              <w:rFonts w:hint="eastAsia"/>
              <w:color w:val="000000" w:themeColor="text1"/>
              <w:sz w:val="28"/>
              <w14:textFill>
                <w14:solidFill>
                  <w14:schemeClr w14:val="tx1"/>
                </w14:solidFill>
              </w14:textFill>
            </w:rPr>
            <w:fldChar w:fldCharType="end"/>
          </w:r>
        </w:p>
        <w:p w14:paraId="17459603">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_Toc11848 </w:instrText>
          </w:r>
          <w:r>
            <w:rPr>
              <w:rFonts w:hint="eastAsia"/>
              <w:sz w:val="28"/>
            </w:rPr>
            <w:fldChar w:fldCharType="separate"/>
          </w:r>
          <w:r>
            <w:rPr>
              <w:rFonts w:hint="eastAsia"/>
              <w:sz w:val="28"/>
              <w:lang w:val="en-US" w:eastAsia="zh-CN"/>
            </w:rPr>
            <w:t>第四节 适应气候变化</w:t>
          </w:r>
          <w:r>
            <w:rPr>
              <w:sz w:val="28"/>
            </w:rPr>
            <w:tab/>
          </w:r>
          <w:r>
            <w:rPr>
              <w:sz w:val="28"/>
            </w:rPr>
            <w:fldChar w:fldCharType="begin"/>
          </w:r>
          <w:r>
            <w:rPr>
              <w:sz w:val="28"/>
            </w:rPr>
            <w:instrText xml:space="preserve"> PAGEREF _Toc11848 \h </w:instrText>
          </w:r>
          <w:r>
            <w:rPr>
              <w:sz w:val="28"/>
            </w:rPr>
            <w:fldChar w:fldCharType="separate"/>
          </w:r>
          <w:r>
            <w:rPr>
              <w:sz w:val="28"/>
            </w:rPr>
            <w:t>26</w:t>
          </w:r>
          <w:r>
            <w:rPr>
              <w:sz w:val="28"/>
            </w:rPr>
            <w:fldChar w:fldCharType="end"/>
          </w:r>
          <w:r>
            <w:rPr>
              <w:rFonts w:hint="eastAsia"/>
              <w:color w:val="000000" w:themeColor="text1"/>
              <w:sz w:val="28"/>
              <w14:textFill>
                <w14:solidFill>
                  <w14:schemeClr w14:val="tx1"/>
                </w14:solidFill>
              </w14:textFill>
            </w:rPr>
            <w:fldChar w:fldCharType="end"/>
          </w:r>
        </w:p>
        <w:p w14:paraId="251AFDF1">
          <w:pPr>
            <w:pStyle w:val="13"/>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_Toc19124 </w:instrText>
          </w:r>
          <w:r>
            <w:rPr>
              <w:rFonts w:hint="eastAsia"/>
              <w:sz w:val="28"/>
            </w:rPr>
            <w:fldChar w:fldCharType="separate"/>
          </w:r>
          <w:r>
            <w:rPr>
              <w:rFonts w:hint="eastAsia"/>
              <w:sz w:val="28"/>
            </w:rPr>
            <w:t xml:space="preserve">第五章 </w:t>
          </w:r>
          <w:r>
            <w:rPr>
              <w:rFonts w:hint="eastAsia"/>
              <w:sz w:val="28"/>
              <w:lang w:eastAsia="zh-CN"/>
            </w:rPr>
            <w:t>深入推进污染防治攻坚战</w:t>
          </w:r>
          <w:r>
            <w:rPr>
              <w:sz w:val="28"/>
            </w:rPr>
            <w:tab/>
          </w:r>
          <w:r>
            <w:rPr>
              <w:sz w:val="28"/>
            </w:rPr>
            <w:fldChar w:fldCharType="begin"/>
          </w:r>
          <w:r>
            <w:rPr>
              <w:sz w:val="28"/>
            </w:rPr>
            <w:instrText xml:space="preserve"> PAGEREF _Toc19124 \h </w:instrText>
          </w:r>
          <w:r>
            <w:rPr>
              <w:sz w:val="28"/>
            </w:rPr>
            <w:fldChar w:fldCharType="separate"/>
          </w:r>
          <w:r>
            <w:rPr>
              <w:sz w:val="28"/>
            </w:rPr>
            <w:t>28</w:t>
          </w:r>
          <w:r>
            <w:rPr>
              <w:sz w:val="28"/>
            </w:rPr>
            <w:fldChar w:fldCharType="end"/>
          </w:r>
          <w:r>
            <w:rPr>
              <w:rFonts w:hint="eastAsia"/>
              <w:color w:val="000000" w:themeColor="text1"/>
              <w:sz w:val="28"/>
              <w14:textFill>
                <w14:solidFill>
                  <w14:schemeClr w14:val="tx1"/>
                </w14:solidFill>
              </w14:textFill>
            </w:rPr>
            <w:fldChar w:fldCharType="end"/>
          </w:r>
        </w:p>
        <w:p w14:paraId="4A0ACEBC">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_Toc10074 </w:instrText>
          </w:r>
          <w:r>
            <w:rPr>
              <w:rFonts w:hint="eastAsia"/>
              <w:sz w:val="28"/>
            </w:rPr>
            <w:fldChar w:fldCharType="separate"/>
          </w:r>
          <w:r>
            <w:rPr>
              <w:rFonts w:hint="eastAsia"/>
              <w:sz w:val="28"/>
              <w:lang w:eastAsia="zh-CN"/>
            </w:rPr>
            <w:t>第一节　建设“美丽河湖”，构建人水和谐</w:t>
          </w:r>
          <w:r>
            <w:rPr>
              <w:sz w:val="28"/>
            </w:rPr>
            <w:tab/>
          </w:r>
          <w:r>
            <w:rPr>
              <w:sz w:val="28"/>
            </w:rPr>
            <w:fldChar w:fldCharType="begin"/>
          </w:r>
          <w:r>
            <w:rPr>
              <w:sz w:val="28"/>
            </w:rPr>
            <w:instrText xml:space="preserve"> PAGEREF _Toc10074 \h </w:instrText>
          </w:r>
          <w:r>
            <w:rPr>
              <w:sz w:val="28"/>
            </w:rPr>
            <w:fldChar w:fldCharType="separate"/>
          </w:r>
          <w:r>
            <w:rPr>
              <w:sz w:val="28"/>
            </w:rPr>
            <w:t>28</w:t>
          </w:r>
          <w:r>
            <w:rPr>
              <w:sz w:val="28"/>
            </w:rPr>
            <w:fldChar w:fldCharType="end"/>
          </w:r>
          <w:r>
            <w:rPr>
              <w:rFonts w:hint="eastAsia"/>
              <w:color w:val="000000" w:themeColor="text1"/>
              <w:sz w:val="28"/>
              <w14:textFill>
                <w14:solidFill>
                  <w14:schemeClr w14:val="tx1"/>
                </w14:solidFill>
              </w14:textFill>
            </w:rPr>
            <w:fldChar w:fldCharType="end"/>
          </w:r>
        </w:p>
        <w:p w14:paraId="6BEA225C">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_Toc413 </w:instrText>
          </w:r>
          <w:r>
            <w:rPr>
              <w:rFonts w:hint="eastAsia"/>
              <w:sz w:val="28"/>
            </w:rPr>
            <w:fldChar w:fldCharType="separate"/>
          </w:r>
          <w:r>
            <w:rPr>
              <w:rFonts w:hint="eastAsia" w:ascii="Times New Roman" w:hAnsi="Times New Roman"/>
              <w:sz w:val="28"/>
              <w:lang w:val="en-US" w:eastAsia="zh-CN"/>
            </w:rPr>
            <w:t>第二节 深化“无废城市”建设</w:t>
          </w:r>
          <w:r>
            <w:rPr>
              <w:sz w:val="28"/>
            </w:rPr>
            <w:tab/>
          </w:r>
          <w:r>
            <w:rPr>
              <w:sz w:val="28"/>
            </w:rPr>
            <w:fldChar w:fldCharType="begin"/>
          </w:r>
          <w:r>
            <w:rPr>
              <w:sz w:val="28"/>
            </w:rPr>
            <w:instrText xml:space="preserve"> PAGEREF _Toc413 \h </w:instrText>
          </w:r>
          <w:r>
            <w:rPr>
              <w:sz w:val="28"/>
            </w:rPr>
            <w:fldChar w:fldCharType="separate"/>
          </w:r>
          <w:r>
            <w:rPr>
              <w:sz w:val="28"/>
            </w:rPr>
            <w:t>32</w:t>
          </w:r>
          <w:r>
            <w:rPr>
              <w:sz w:val="28"/>
            </w:rPr>
            <w:fldChar w:fldCharType="end"/>
          </w:r>
          <w:r>
            <w:rPr>
              <w:rFonts w:hint="eastAsia"/>
              <w:color w:val="000000" w:themeColor="text1"/>
              <w:sz w:val="28"/>
              <w14:textFill>
                <w14:solidFill>
                  <w14:schemeClr w14:val="tx1"/>
                </w14:solidFill>
              </w14:textFill>
            </w:rPr>
            <w:fldChar w:fldCharType="end"/>
          </w:r>
        </w:p>
        <w:p w14:paraId="5C7AD205">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_Toc20577 </w:instrText>
          </w:r>
          <w:r>
            <w:rPr>
              <w:rFonts w:hint="eastAsia"/>
              <w:sz w:val="28"/>
            </w:rPr>
            <w:fldChar w:fldCharType="separate"/>
          </w:r>
          <w:r>
            <w:rPr>
              <w:rFonts w:hint="eastAsia"/>
              <w:sz w:val="28"/>
              <w:lang w:eastAsia="zh-CN"/>
            </w:rPr>
            <w:t>第三节</w:t>
          </w:r>
          <w:r>
            <w:rPr>
              <w:rFonts w:hint="eastAsia"/>
              <w:sz w:val="28"/>
              <w:lang w:val="en-US" w:eastAsia="zh-CN"/>
            </w:rPr>
            <w:t xml:space="preserve"> </w:t>
          </w:r>
          <w:r>
            <w:rPr>
              <w:rFonts w:hint="eastAsia" w:ascii="Times New Roman" w:hAnsi="Times New Roman"/>
              <w:sz w:val="28"/>
              <w:lang w:eastAsia="zh-CN"/>
            </w:rPr>
            <w:t>纵深推进大气污染防治，守护</w:t>
          </w:r>
          <w:r>
            <w:rPr>
              <w:rFonts w:hint="eastAsia"/>
              <w:sz w:val="28"/>
              <w:lang w:eastAsia="zh-CN"/>
            </w:rPr>
            <w:t>净美</w:t>
          </w:r>
          <w:r>
            <w:rPr>
              <w:rFonts w:hint="eastAsia" w:ascii="Times New Roman" w:hAnsi="Times New Roman"/>
              <w:sz w:val="28"/>
              <w:lang w:eastAsia="zh-CN"/>
            </w:rPr>
            <w:t>蓝天</w:t>
          </w:r>
          <w:r>
            <w:rPr>
              <w:sz w:val="28"/>
            </w:rPr>
            <w:tab/>
          </w:r>
          <w:r>
            <w:rPr>
              <w:sz w:val="28"/>
            </w:rPr>
            <w:fldChar w:fldCharType="begin"/>
          </w:r>
          <w:r>
            <w:rPr>
              <w:sz w:val="28"/>
            </w:rPr>
            <w:instrText xml:space="preserve"> PAGEREF _Toc20577 \h </w:instrText>
          </w:r>
          <w:r>
            <w:rPr>
              <w:sz w:val="28"/>
            </w:rPr>
            <w:fldChar w:fldCharType="separate"/>
          </w:r>
          <w:r>
            <w:rPr>
              <w:sz w:val="28"/>
            </w:rPr>
            <w:t>35</w:t>
          </w:r>
          <w:r>
            <w:rPr>
              <w:sz w:val="28"/>
            </w:rPr>
            <w:fldChar w:fldCharType="end"/>
          </w:r>
          <w:r>
            <w:rPr>
              <w:rFonts w:hint="eastAsia"/>
              <w:color w:val="000000" w:themeColor="text1"/>
              <w:sz w:val="28"/>
              <w14:textFill>
                <w14:solidFill>
                  <w14:schemeClr w14:val="tx1"/>
                </w14:solidFill>
              </w14:textFill>
            </w:rPr>
            <w:fldChar w:fldCharType="end"/>
          </w:r>
        </w:p>
        <w:p w14:paraId="700843AD">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_Toc217 </w:instrText>
          </w:r>
          <w:r>
            <w:rPr>
              <w:rFonts w:hint="eastAsia"/>
              <w:sz w:val="28"/>
            </w:rPr>
            <w:fldChar w:fldCharType="separate"/>
          </w:r>
          <w:r>
            <w:rPr>
              <w:rFonts w:hint="eastAsia"/>
              <w:sz w:val="28"/>
              <w:lang w:val="en-US" w:eastAsia="zh-CN"/>
            </w:rPr>
            <w:t>第三节 深化土壤污染防控</w:t>
          </w:r>
          <w:r>
            <w:rPr>
              <w:sz w:val="28"/>
            </w:rPr>
            <w:tab/>
          </w:r>
          <w:r>
            <w:rPr>
              <w:sz w:val="28"/>
            </w:rPr>
            <w:fldChar w:fldCharType="begin"/>
          </w:r>
          <w:r>
            <w:rPr>
              <w:sz w:val="28"/>
            </w:rPr>
            <w:instrText xml:space="preserve"> PAGEREF _Toc217 \h </w:instrText>
          </w:r>
          <w:r>
            <w:rPr>
              <w:sz w:val="28"/>
            </w:rPr>
            <w:fldChar w:fldCharType="separate"/>
          </w:r>
          <w:r>
            <w:rPr>
              <w:sz w:val="28"/>
            </w:rPr>
            <w:t>38</w:t>
          </w:r>
          <w:r>
            <w:rPr>
              <w:sz w:val="28"/>
            </w:rPr>
            <w:fldChar w:fldCharType="end"/>
          </w:r>
          <w:r>
            <w:rPr>
              <w:rFonts w:hint="eastAsia"/>
              <w:color w:val="000000" w:themeColor="text1"/>
              <w:sz w:val="28"/>
              <w14:textFill>
                <w14:solidFill>
                  <w14:schemeClr w14:val="tx1"/>
                </w14:solidFill>
              </w14:textFill>
            </w:rPr>
            <w:fldChar w:fldCharType="end"/>
          </w:r>
        </w:p>
        <w:p w14:paraId="21A2B907">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_Toc14549 </w:instrText>
          </w:r>
          <w:r>
            <w:rPr>
              <w:rFonts w:hint="eastAsia"/>
              <w:sz w:val="28"/>
            </w:rPr>
            <w:fldChar w:fldCharType="separate"/>
          </w:r>
          <w:r>
            <w:rPr>
              <w:rFonts w:hint="eastAsia"/>
              <w:sz w:val="28"/>
              <w:lang w:val="en-US" w:eastAsia="zh-CN"/>
            </w:rPr>
            <w:t>第四节 系统开展噪声污染防治</w:t>
          </w:r>
          <w:r>
            <w:rPr>
              <w:sz w:val="28"/>
            </w:rPr>
            <w:tab/>
          </w:r>
          <w:r>
            <w:rPr>
              <w:sz w:val="28"/>
            </w:rPr>
            <w:fldChar w:fldCharType="begin"/>
          </w:r>
          <w:r>
            <w:rPr>
              <w:sz w:val="28"/>
            </w:rPr>
            <w:instrText xml:space="preserve"> PAGEREF _Toc14549 \h </w:instrText>
          </w:r>
          <w:r>
            <w:rPr>
              <w:sz w:val="28"/>
            </w:rPr>
            <w:fldChar w:fldCharType="separate"/>
          </w:r>
          <w:r>
            <w:rPr>
              <w:sz w:val="28"/>
            </w:rPr>
            <w:t>39</w:t>
          </w:r>
          <w:r>
            <w:rPr>
              <w:sz w:val="28"/>
            </w:rPr>
            <w:fldChar w:fldCharType="end"/>
          </w:r>
          <w:r>
            <w:rPr>
              <w:rFonts w:hint="eastAsia"/>
              <w:color w:val="000000" w:themeColor="text1"/>
              <w:sz w:val="28"/>
              <w14:textFill>
                <w14:solidFill>
                  <w14:schemeClr w14:val="tx1"/>
                </w14:solidFill>
              </w14:textFill>
            </w:rPr>
            <w:fldChar w:fldCharType="end"/>
          </w:r>
        </w:p>
        <w:p w14:paraId="39F66644">
          <w:pPr>
            <w:pStyle w:val="13"/>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_Toc5542 </w:instrText>
          </w:r>
          <w:r>
            <w:rPr>
              <w:rFonts w:hint="eastAsia"/>
              <w:sz w:val="28"/>
            </w:rPr>
            <w:fldChar w:fldCharType="separate"/>
          </w:r>
          <w:r>
            <w:rPr>
              <w:rFonts w:hint="eastAsia"/>
              <w:sz w:val="28"/>
              <w:lang w:eastAsia="zh-CN"/>
            </w:rPr>
            <w:t xml:space="preserve">第六章 </w:t>
          </w:r>
          <w:r>
            <w:rPr>
              <w:rFonts w:hint="eastAsia"/>
              <w:sz w:val="28"/>
              <w:lang w:val="en-US" w:eastAsia="zh-CN"/>
            </w:rPr>
            <w:t>防范环境风险，守住生态安全底线</w:t>
          </w:r>
          <w:r>
            <w:rPr>
              <w:sz w:val="28"/>
            </w:rPr>
            <w:tab/>
          </w:r>
          <w:r>
            <w:rPr>
              <w:sz w:val="28"/>
            </w:rPr>
            <w:fldChar w:fldCharType="begin"/>
          </w:r>
          <w:r>
            <w:rPr>
              <w:sz w:val="28"/>
            </w:rPr>
            <w:instrText xml:space="preserve"> PAGEREF _Toc5542 \h </w:instrText>
          </w:r>
          <w:r>
            <w:rPr>
              <w:sz w:val="28"/>
            </w:rPr>
            <w:fldChar w:fldCharType="separate"/>
          </w:r>
          <w:r>
            <w:rPr>
              <w:sz w:val="28"/>
            </w:rPr>
            <w:t>42</w:t>
          </w:r>
          <w:r>
            <w:rPr>
              <w:sz w:val="28"/>
            </w:rPr>
            <w:fldChar w:fldCharType="end"/>
          </w:r>
          <w:r>
            <w:rPr>
              <w:rFonts w:hint="eastAsia"/>
              <w:color w:val="000000" w:themeColor="text1"/>
              <w:sz w:val="28"/>
              <w14:textFill>
                <w14:solidFill>
                  <w14:schemeClr w14:val="tx1"/>
                </w14:solidFill>
              </w14:textFill>
            </w:rPr>
            <w:fldChar w:fldCharType="end"/>
          </w:r>
        </w:p>
        <w:p w14:paraId="55B9374B">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_Toc3605 </w:instrText>
          </w:r>
          <w:r>
            <w:rPr>
              <w:rFonts w:hint="eastAsia"/>
              <w:sz w:val="28"/>
            </w:rPr>
            <w:fldChar w:fldCharType="separate"/>
          </w:r>
          <w:r>
            <w:rPr>
              <w:rFonts w:hint="eastAsia"/>
              <w:sz w:val="28"/>
              <w:lang w:val="en-US" w:eastAsia="zh-CN"/>
            </w:rPr>
            <w:t>第一节 加强环境污染物管理</w:t>
          </w:r>
          <w:r>
            <w:rPr>
              <w:sz w:val="28"/>
            </w:rPr>
            <w:tab/>
          </w:r>
          <w:r>
            <w:rPr>
              <w:sz w:val="28"/>
            </w:rPr>
            <w:fldChar w:fldCharType="begin"/>
          </w:r>
          <w:r>
            <w:rPr>
              <w:sz w:val="28"/>
            </w:rPr>
            <w:instrText xml:space="preserve"> PAGEREF _Toc3605 \h </w:instrText>
          </w:r>
          <w:r>
            <w:rPr>
              <w:sz w:val="28"/>
            </w:rPr>
            <w:fldChar w:fldCharType="separate"/>
          </w:r>
          <w:r>
            <w:rPr>
              <w:sz w:val="28"/>
            </w:rPr>
            <w:t>42</w:t>
          </w:r>
          <w:r>
            <w:rPr>
              <w:sz w:val="28"/>
            </w:rPr>
            <w:fldChar w:fldCharType="end"/>
          </w:r>
          <w:r>
            <w:rPr>
              <w:rFonts w:hint="eastAsia"/>
              <w:color w:val="000000" w:themeColor="text1"/>
              <w:sz w:val="28"/>
              <w14:textFill>
                <w14:solidFill>
                  <w14:schemeClr w14:val="tx1"/>
                </w14:solidFill>
              </w14:textFill>
            </w:rPr>
            <w:fldChar w:fldCharType="end"/>
          </w:r>
        </w:p>
        <w:p w14:paraId="18AD2C00">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_Toc24729 </w:instrText>
          </w:r>
          <w:r>
            <w:rPr>
              <w:rFonts w:hint="eastAsia"/>
              <w:sz w:val="28"/>
            </w:rPr>
            <w:fldChar w:fldCharType="separate"/>
          </w:r>
          <w:r>
            <w:rPr>
              <w:rFonts w:hint="eastAsia"/>
              <w:sz w:val="28"/>
              <w:lang w:val="en-US" w:eastAsia="zh-CN"/>
            </w:rPr>
            <w:t>第二节 加强辐射安全防控</w:t>
          </w:r>
          <w:r>
            <w:rPr>
              <w:sz w:val="28"/>
            </w:rPr>
            <w:tab/>
          </w:r>
          <w:r>
            <w:rPr>
              <w:sz w:val="28"/>
            </w:rPr>
            <w:fldChar w:fldCharType="begin"/>
          </w:r>
          <w:r>
            <w:rPr>
              <w:sz w:val="28"/>
            </w:rPr>
            <w:instrText xml:space="preserve"> PAGEREF _Toc24729 \h </w:instrText>
          </w:r>
          <w:r>
            <w:rPr>
              <w:sz w:val="28"/>
            </w:rPr>
            <w:fldChar w:fldCharType="separate"/>
          </w:r>
          <w:r>
            <w:rPr>
              <w:sz w:val="28"/>
            </w:rPr>
            <w:t>43</w:t>
          </w:r>
          <w:r>
            <w:rPr>
              <w:sz w:val="28"/>
            </w:rPr>
            <w:fldChar w:fldCharType="end"/>
          </w:r>
          <w:r>
            <w:rPr>
              <w:rFonts w:hint="eastAsia"/>
              <w:color w:val="000000" w:themeColor="text1"/>
              <w:sz w:val="28"/>
              <w14:textFill>
                <w14:solidFill>
                  <w14:schemeClr w14:val="tx1"/>
                </w14:solidFill>
              </w14:textFill>
            </w:rPr>
            <w:fldChar w:fldCharType="end"/>
          </w:r>
        </w:p>
        <w:p w14:paraId="2687518B">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_Toc15429 </w:instrText>
          </w:r>
          <w:r>
            <w:rPr>
              <w:rFonts w:hint="eastAsia"/>
              <w:sz w:val="28"/>
            </w:rPr>
            <w:fldChar w:fldCharType="separate"/>
          </w:r>
          <w:r>
            <w:rPr>
              <w:rFonts w:hint="eastAsia"/>
              <w:sz w:val="28"/>
              <w:lang w:val="en-US" w:eastAsia="zh-CN"/>
            </w:rPr>
            <w:t>第三节 提升环境风险应急能力</w:t>
          </w:r>
          <w:r>
            <w:rPr>
              <w:sz w:val="28"/>
            </w:rPr>
            <w:tab/>
          </w:r>
          <w:r>
            <w:rPr>
              <w:sz w:val="28"/>
            </w:rPr>
            <w:fldChar w:fldCharType="begin"/>
          </w:r>
          <w:r>
            <w:rPr>
              <w:sz w:val="28"/>
            </w:rPr>
            <w:instrText xml:space="preserve"> PAGEREF _Toc15429 \h </w:instrText>
          </w:r>
          <w:r>
            <w:rPr>
              <w:sz w:val="28"/>
            </w:rPr>
            <w:fldChar w:fldCharType="separate"/>
          </w:r>
          <w:r>
            <w:rPr>
              <w:sz w:val="28"/>
            </w:rPr>
            <w:t>45</w:t>
          </w:r>
          <w:r>
            <w:rPr>
              <w:sz w:val="28"/>
            </w:rPr>
            <w:fldChar w:fldCharType="end"/>
          </w:r>
          <w:r>
            <w:rPr>
              <w:rFonts w:hint="eastAsia"/>
              <w:color w:val="000000" w:themeColor="text1"/>
              <w:sz w:val="28"/>
              <w14:textFill>
                <w14:solidFill>
                  <w14:schemeClr w14:val="tx1"/>
                </w14:solidFill>
              </w14:textFill>
            </w:rPr>
            <w:fldChar w:fldCharType="end"/>
          </w:r>
        </w:p>
        <w:p w14:paraId="47BC67F5">
          <w:pPr>
            <w:pStyle w:val="13"/>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_Toc9016 </w:instrText>
          </w:r>
          <w:r>
            <w:rPr>
              <w:rFonts w:hint="eastAsia"/>
              <w:sz w:val="28"/>
            </w:rPr>
            <w:fldChar w:fldCharType="separate"/>
          </w:r>
          <w:r>
            <w:rPr>
              <w:rFonts w:hint="eastAsia"/>
              <w:sz w:val="28"/>
              <w:lang w:val="en-US" w:eastAsia="zh-CN"/>
            </w:rPr>
            <w:t>第七章 强化生态系统保护修复，守护绿水青山</w:t>
          </w:r>
          <w:r>
            <w:rPr>
              <w:sz w:val="28"/>
            </w:rPr>
            <w:tab/>
          </w:r>
          <w:r>
            <w:rPr>
              <w:sz w:val="28"/>
            </w:rPr>
            <w:fldChar w:fldCharType="begin"/>
          </w:r>
          <w:r>
            <w:rPr>
              <w:sz w:val="28"/>
            </w:rPr>
            <w:instrText xml:space="preserve"> PAGEREF _Toc9016 \h </w:instrText>
          </w:r>
          <w:r>
            <w:rPr>
              <w:sz w:val="28"/>
            </w:rPr>
            <w:fldChar w:fldCharType="separate"/>
          </w:r>
          <w:r>
            <w:rPr>
              <w:sz w:val="28"/>
            </w:rPr>
            <w:t>47</w:t>
          </w:r>
          <w:r>
            <w:rPr>
              <w:sz w:val="28"/>
            </w:rPr>
            <w:fldChar w:fldCharType="end"/>
          </w:r>
          <w:r>
            <w:rPr>
              <w:rFonts w:hint="eastAsia"/>
              <w:color w:val="000000" w:themeColor="text1"/>
              <w:sz w:val="28"/>
              <w14:textFill>
                <w14:solidFill>
                  <w14:schemeClr w14:val="tx1"/>
                </w14:solidFill>
              </w14:textFill>
            </w:rPr>
            <w:fldChar w:fldCharType="end"/>
          </w:r>
        </w:p>
        <w:p w14:paraId="29B8177E">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_Toc26435 </w:instrText>
          </w:r>
          <w:r>
            <w:rPr>
              <w:rFonts w:hint="eastAsia"/>
              <w:sz w:val="28"/>
            </w:rPr>
            <w:fldChar w:fldCharType="separate"/>
          </w:r>
          <w:r>
            <w:rPr>
              <w:rFonts w:hint="eastAsia"/>
              <w:sz w:val="28"/>
              <w:lang w:eastAsia="zh-CN"/>
            </w:rPr>
            <w:t>第一节 加强生物多样性保护</w:t>
          </w:r>
          <w:r>
            <w:rPr>
              <w:sz w:val="28"/>
            </w:rPr>
            <w:tab/>
          </w:r>
          <w:r>
            <w:rPr>
              <w:sz w:val="28"/>
            </w:rPr>
            <w:fldChar w:fldCharType="begin"/>
          </w:r>
          <w:r>
            <w:rPr>
              <w:sz w:val="28"/>
            </w:rPr>
            <w:instrText xml:space="preserve"> PAGEREF _Toc26435 \h </w:instrText>
          </w:r>
          <w:r>
            <w:rPr>
              <w:sz w:val="28"/>
            </w:rPr>
            <w:fldChar w:fldCharType="separate"/>
          </w:r>
          <w:r>
            <w:rPr>
              <w:sz w:val="28"/>
            </w:rPr>
            <w:t>47</w:t>
          </w:r>
          <w:r>
            <w:rPr>
              <w:sz w:val="28"/>
            </w:rPr>
            <w:fldChar w:fldCharType="end"/>
          </w:r>
          <w:r>
            <w:rPr>
              <w:rFonts w:hint="eastAsia"/>
              <w:color w:val="000000" w:themeColor="text1"/>
              <w:sz w:val="28"/>
              <w14:textFill>
                <w14:solidFill>
                  <w14:schemeClr w14:val="tx1"/>
                </w14:solidFill>
              </w14:textFill>
            </w:rPr>
            <w:fldChar w:fldCharType="end"/>
          </w:r>
        </w:p>
        <w:p w14:paraId="4DD32EB7">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_Toc26447 </w:instrText>
          </w:r>
          <w:r>
            <w:rPr>
              <w:rFonts w:hint="eastAsia"/>
              <w:sz w:val="28"/>
            </w:rPr>
            <w:fldChar w:fldCharType="separate"/>
          </w:r>
          <w:r>
            <w:rPr>
              <w:rFonts w:hint="eastAsia"/>
              <w:sz w:val="28"/>
              <w:lang w:eastAsia="zh-CN"/>
            </w:rPr>
            <w:t>第二节 加强森林生态功能保护修复</w:t>
          </w:r>
          <w:r>
            <w:rPr>
              <w:sz w:val="28"/>
            </w:rPr>
            <w:tab/>
          </w:r>
          <w:r>
            <w:rPr>
              <w:sz w:val="28"/>
            </w:rPr>
            <w:fldChar w:fldCharType="begin"/>
          </w:r>
          <w:r>
            <w:rPr>
              <w:sz w:val="28"/>
            </w:rPr>
            <w:instrText xml:space="preserve"> PAGEREF _Toc26447 \h </w:instrText>
          </w:r>
          <w:r>
            <w:rPr>
              <w:sz w:val="28"/>
            </w:rPr>
            <w:fldChar w:fldCharType="separate"/>
          </w:r>
          <w:r>
            <w:rPr>
              <w:sz w:val="28"/>
            </w:rPr>
            <w:t>48</w:t>
          </w:r>
          <w:r>
            <w:rPr>
              <w:sz w:val="28"/>
            </w:rPr>
            <w:fldChar w:fldCharType="end"/>
          </w:r>
          <w:r>
            <w:rPr>
              <w:rFonts w:hint="eastAsia"/>
              <w:color w:val="000000" w:themeColor="text1"/>
              <w:sz w:val="28"/>
              <w14:textFill>
                <w14:solidFill>
                  <w14:schemeClr w14:val="tx1"/>
                </w14:solidFill>
              </w14:textFill>
            </w:rPr>
            <w:fldChar w:fldCharType="end"/>
          </w:r>
        </w:p>
        <w:p w14:paraId="212FF1A4">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_Toc27027 </w:instrText>
          </w:r>
          <w:r>
            <w:rPr>
              <w:rFonts w:hint="eastAsia"/>
              <w:sz w:val="28"/>
            </w:rPr>
            <w:fldChar w:fldCharType="separate"/>
          </w:r>
          <w:r>
            <w:rPr>
              <w:rFonts w:hint="eastAsia"/>
              <w:sz w:val="28"/>
              <w:lang w:eastAsia="zh-CN"/>
            </w:rPr>
            <w:t>第三节 强化湿地湖库保护与修复</w:t>
          </w:r>
          <w:r>
            <w:rPr>
              <w:sz w:val="28"/>
            </w:rPr>
            <w:tab/>
          </w:r>
          <w:r>
            <w:rPr>
              <w:sz w:val="28"/>
            </w:rPr>
            <w:fldChar w:fldCharType="begin"/>
          </w:r>
          <w:r>
            <w:rPr>
              <w:sz w:val="28"/>
            </w:rPr>
            <w:instrText xml:space="preserve"> PAGEREF _Toc27027 \h </w:instrText>
          </w:r>
          <w:r>
            <w:rPr>
              <w:sz w:val="28"/>
            </w:rPr>
            <w:fldChar w:fldCharType="separate"/>
          </w:r>
          <w:r>
            <w:rPr>
              <w:sz w:val="28"/>
            </w:rPr>
            <w:t>49</w:t>
          </w:r>
          <w:r>
            <w:rPr>
              <w:sz w:val="28"/>
            </w:rPr>
            <w:fldChar w:fldCharType="end"/>
          </w:r>
          <w:r>
            <w:rPr>
              <w:rFonts w:hint="eastAsia"/>
              <w:color w:val="000000" w:themeColor="text1"/>
              <w:sz w:val="28"/>
              <w14:textFill>
                <w14:solidFill>
                  <w14:schemeClr w14:val="tx1"/>
                </w14:solidFill>
              </w14:textFill>
            </w:rPr>
            <w:fldChar w:fldCharType="end"/>
          </w:r>
        </w:p>
        <w:p w14:paraId="2DD7FDB2">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_Toc26301 </w:instrText>
          </w:r>
          <w:r>
            <w:rPr>
              <w:rFonts w:hint="eastAsia"/>
              <w:sz w:val="28"/>
            </w:rPr>
            <w:fldChar w:fldCharType="separate"/>
          </w:r>
          <w:r>
            <w:rPr>
              <w:rFonts w:hint="eastAsia"/>
              <w:sz w:val="28"/>
              <w:lang w:eastAsia="zh-CN"/>
            </w:rPr>
            <w:t>第四节 加强矿山地质环境保护和治理</w:t>
          </w:r>
          <w:r>
            <w:rPr>
              <w:sz w:val="28"/>
            </w:rPr>
            <w:tab/>
          </w:r>
          <w:r>
            <w:rPr>
              <w:sz w:val="28"/>
            </w:rPr>
            <w:fldChar w:fldCharType="begin"/>
          </w:r>
          <w:r>
            <w:rPr>
              <w:sz w:val="28"/>
            </w:rPr>
            <w:instrText xml:space="preserve"> PAGEREF _Toc26301 \h </w:instrText>
          </w:r>
          <w:r>
            <w:rPr>
              <w:sz w:val="28"/>
            </w:rPr>
            <w:fldChar w:fldCharType="separate"/>
          </w:r>
          <w:r>
            <w:rPr>
              <w:sz w:val="28"/>
            </w:rPr>
            <w:t>50</w:t>
          </w:r>
          <w:r>
            <w:rPr>
              <w:sz w:val="28"/>
            </w:rPr>
            <w:fldChar w:fldCharType="end"/>
          </w:r>
          <w:r>
            <w:rPr>
              <w:rFonts w:hint="eastAsia"/>
              <w:color w:val="000000" w:themeColor="text1"/>
              <w:sz w:val="28"/>
              <w14:textFill>
                <w14:solidFill>
                  <w14:schemeClr w14:val="tx1"/>
                </w14:solidFill>
              </w14:textFill>
            </w:rPr>
            <w:fldChar w:fldCharType="end"/>
          </w:r>
        </w:p>
        <w:p w14:paraId="19824567">
          <w:pPr>
            <w:pStyle w:val="13"/>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_Toc463 </w:instrText>
          </w:r>
          <w:r>
            <w:rPr>
              <w:rFonts w:hint="eastAsia"/>
              <w:sz w:val="28"/>
            </w:rPr>
            <w:fldChar w:fldCharType="separate"/>
          </w:r>
          <w:r>
            <w:rPr>
              <w:rFonts w:hint="eastAsia"/>
              <w:sz w:val="28"/>
            </w:rPr>
            <w:t>第八章 强化环境治理体系建设</w:t>
          </w:r>
          <w:r>
            <w:rPr>
              <w:rFonts w:hint="eastAsia"/>
              <w:sz w:val="28"/>
              <w:lang w:eastAsia="zh-CN"/>
            </w:rPr>
            <w:t>，</w:t>
          </w:r>
          <w:r>
            <w:rPr>
              <w:rFonts w:hint="eastAsia"/>
              <w:sz w:val="28"/>
            </w:rPr>
            <w:t>提升生态环境治理能力</w:t>
          </w:r>
          <w:r>
            <w:rPr>
              <w:sz w:val="28"/>
            </w:rPr>
            <w:tab/>
          </w:r>
          <w:r>
            <w:rPr>
              <w:sz w:val="28"/>
            </w:rPr>
            <w:fldChar w:fldCharType="begin"/>
          </w:r>
          <w:r>
            <w:rPr>
              <w:sz w:val="28"/>
            </w:rPr>
            <w:instrText xml:space="preserve"> PAGEREF _Toc463 \h </w:instrText>
          </w:r>
          <w:r>
            <w:rPr>
              <w:sz w:val="28"/>
            </w:rPr>
            <w:fldChar w:fldCharType="separate"/>
          </w:r>
          <w:r>
            <w:rPr>
              <w:sz w:val="28"/>
            </w:rPr>
            <w:t>52</w:t>
          </w:r>
          <w:r>
            <w:rPr>
              <w:sz w:val="28"/>
            </w:rPr>
            <w:fldChar w:fldCharType="end"/>
          </w:r>
          <w:r>
            <w:rPr>
              <w:rFonts w:hint="eastAsia"/>
              <w:color w:val="000000" w:themeColor="text1"/>
              <w:sz w:val="28"/>
              <w14:textFill>
                <w14:solidFill>
                  <w14:schemeClr w14:val="tx1"/>
                </w14:solidFill>
              </w14:textFill>
            </w:rPr>
            <w:fldChar w:fldCharType="end"/>
          </w:r>
        </w:p>
        <w:p w14:paraId="579352BF">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_Toc23959 </w:instrText>
          </w:r>
          <w:r>
            <w:rPr>
              <w:rFonts w:hint="eastAsia"/>
              <w:sz w:val="28"/>
            </w:rPr>
            <w:fldChar w:fldCharType="separate"/>
          </w:r>
          <w:r>
            <w:rPr>
              <w:rFonts w:hint="eastAsia"/>
              <w:sz w:val="28"/>
              <w:lang w:val="en-US" w:eastAsia="zh-CN"/>
            </w:rPr>
            <w:t>第一节 健全法规标准政策体系</w:t>
          </w:r>
          <w:r>
            <w:rPr>
              <w:sz w:val="28"/>
            </w:rPr>
            <w:tab/>
          </w:r>
          <w:r>
            <w:rPr>
              <w:sz w:val="28"/>
            </w:rPr>
            <w:fldChar w:fldCharType="begin"/>
          </w:r>
          <w:r>
            <w:rPr>
              <w:sz w:val="28"/>
            </w:rPr>
            <w:instrText xml:space="preserve"> PAGEREF _Toc23959 \h </w:instrText>
          </w:r>
          <w:r>
            <w:rPr>
              <w:sz w:val="28"/>
            </w:rPr>
            <w:fldChar w:fldCharType="separate"/>
          </w:r>
          <w:r>
            <w:rPr>
              <w:sz w:val="28"/>
            </w:rPr>
            <w:t>52</w:t>
          </w:r>
          <w:r>
            <w:rPr>
              <w:sz w:val="28"/>
            </w:rPr>
            <w:fldChar w:fldCharType="end"/>
          </w:r>
          <w:r>
            <w:rPr>
              <w:rFonts w:hint="eastAsia"/>
              <w:color w:val="000000" w:themeColor="text1"/>
              <w:sz w:val="28"/>
              <w14:textFill>
                <w14:solidFill>
                  <w14:schemeClr w14:val="tx1"/>
                </w14:solidFill>
              </w14:textFill>
            </w:rPr>
            <w:fldChar w:fldCharType="end"/>
          </w:r>
        </w:p>
        <w:p w14:paraId="1B02FFCC">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_Toc21819 </w:instrText>
          </w:r>
          <w:r>
            <w:rPr>
              <w:rFonts w:hint="eastAsia"/>
              <w:sz w:val="28"/>
            </w:rPr>
            <w:fldChar w:fldCharType="separate"/>
          </w:r>
          <w:r>
            <w:rPr>
              <w:rFonts w:hint="eastAsia"/>
              <w:sz w:val="28"/>
            </w:rPr>
            <w:t>第二节 健全环境责任体系</w:t>
          </w:r>
          <w:r>
            <w:rPr>
              <w:sz w:val="28"/>
            </w:rPr>
            <w:tab/>
          </w:r>
          <w:r>
            <w:rPr>
              <w:sz w:val="28"/>
            </w:rPr>
            <w:fldChar w:fldCharType="begin"/>
          </w:r>
          <w:r>
            <w:rPr>
              <w:sz w:val="28"/>
            </w:rPr>
            <w:instrText xml:space="preserve"> PAGEREF _Toc21819 \h </w:instrText>
          </w:r>
          <w:r>
            <w:rPr>
              <w:sz w:val="28"/>
            </w:rPr>
            <w:fldChar w:fldCharType="separate"/>
          </w:r>
          <w:r>
            <w:rPr>
              <w:sz w:val="28"/>
            </w:rPr>
            <w:t>52</w:t>
          </w:r>
          <w:r>
            <w:rPr>
              <w:sz w:val="28"/>
            </w:rPr>
            <w:fldChar w:fldCharType="end"/>
          </w:r>
          <w:r>
            <w:rPr>
              <w:rFonts w:hint="eastAsia"/>
              <w:color w:val="000000" w:themeColor="text1"/>
              <w:sz w:val="28"/>
              <w14:textFill>
                <w14:solidFill>
                  <w14:schemeClr w14:val="tx1"/>
                </w14:solidFill>
              </w14:textFill>
            </w:rPr>
            <w:fldChar w:fldCharType="end"/>
          </w:r>
        </w:p>
        <w:p w14:paraId="2D760019">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_Toc22408 </w:instrText>
          </w:r>
          <w:r>
            <w:rPr>
              <w:rFonts w:hint="eastAsia"/>
              <w:sz w:val="28"/>
            </w:rPr>
            <w:fldChar w:fldCharType="separate"/>
          </w:r>
          <w:r>
            <w:rPr>
              <w:rFonts w:hint="eastAsia"/>
              <w:sz w:val="28"/>
            </w:rPr>
            <w:t>第三节 构建</w:t>
          </w:r>
          <w:r>
            <w:rPr>
              <w:rFonts w:hint="eastAsia"/>
              <w:sz w:val="28"/>
              <w:lang w:val="en-US" w:eastAsia="zh-CN"/>
            </w:rPr>
            <w:t>现代环境</w:t>
          </w:r>
          <w:r>
            <w:rPr>
              <w:rFonts w:hint="eastAsia"/>
              <w:sz w:val="28"/>
            </w:rPr>
            <w:t>治理体系</w:t>
          </w:r>
          <w:r>
            <w:rPr>
              <w:sz w:val="28"/>
            </w:rPr>
            <w:tab/>
          </w:r>
          <w:r>
            <w:rPr>
              <w:sz w:val="28"/>
            </w:rPr>
            <w:fldChar w:fldCharType="begin"/>
          </w:r>
          <w:r>
            <w:rPr>
              <w:sz w:val="28"/>
            </w:rPr>
            <w:instrText xml:space="preserve"> PAGEREF _Toc22408 \h </w:instrText>
          </w:r>
          <w:r>
            <w:rPr>
              <w:sz w:val="28"/>
            </w:rPr>
            <w:fldChar w:fldCharType="separate"/>
          </w:r>
          <w:r>
            <w:rPr>
              <w:sz w:val="28"/>
            </w:rPr>
            <w:t>54</w:t>
          </w:r>
          <w:r>
            <w:rPr>
              <w:sz w:val="28"/>
            </w:rPr>
            <w:fldChar w:fldCharType="end"/>
          </w:r>
          <w:r>
            <w:rPr>
              <w:rFonts w:hint="eastAsia"/>
              <w:color w:val="000000" w:themeColor="text1"/>
              <w:sz w:val="28"/>
              <w14:textFill>
                <w14:solidFill>
                  <w14:schemeClr w14:val="tx1"/>
                </w14:solidFill>
              </w14:textFill>
            </w:rPr>
            <w:fldChar w:fldCharType="end"/>
          </w:r>
        </w:p>
        <w:p w14:paraId="4AF57947">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_Toc13926 </w:instrText>
          </w:r>
          <w:r>
            <w:rPr>
              <w:rFonts w:hint="eastAsia"/>
              <w:sz w:val="28"/>
            </w:rPr>
            <w:fldChar w:fldCharType="separate"/>
          </w:r>
          <w:r>
            <w:rPr>
              <w:rFonts w:hint="eastAsia"/>
              <w:sz w:val="28"/>
              <w:lang w:val="en-US" w:eastAsia="zh-CN"/>
            </w:rPr>
            <w:t>第四节 弘扬屯昌生态文化</w:t>
          </w:r>
          <w:r>
            <w:rPr>
              <w:sz w:val="28"/>
            </w:rPr>
            <w:tab/>
          </w:r>
          <w:r>
            <w:rPr>
              <w:sz w:val="28"/>
            </w:rPr>
            <w:fldChar w:fldCharType="begin"/>
          </w:r>
          <w:r>
            <w:rPr>
              <w:sz w:val="28"/>
            </w:rPr>
            <w:instrText xml:space="preserve"> PAGEREF _Toc13926 \h </w:instrText>
          </w:r>
          <w:r>
            <w:rPr>
              <w:sz w:val="28"/>
            </w:rPr>
            <w:fldChar w:fldCharType="separate"/>
          </w:r>
          <w:r>
            <w:rPr>
              <w:sz w:val="28"/>
            </w:rPr>
            <w:t>56</w:t>
          </w:r>
          <w:r>
            <w:rPr>
              <w:sz w:val="28"/>
            </w:rPr>
            <w:fldChar w:fldCharType="end"/>
          </w:r>
          <w:r>
            <w:rPr>
              <w:rFonts w:hint="eastAsia"/>
              <w:color w:val="000000" w:themeColor="text1"/>
              <w:sz w:val="28"/>
              <w14:textFill>
                <w14:solidFill>
                  <w14:schemeClr w14:val="tx1"/>
                </w14:solidFill>
              </w14:textFill>
            </w:rPr>
            <w:fldChar w:fldCharType="end"/>
          </w:r>
        </w:p>
        <w:p w14:paraId="50C537DC">
          <w:pPr>
            <w:pStyle w:val="13"/>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_Toc17458 </w:instrText>
          </w:r>
          <w:r>
            <w:rPr>
              <w:rFonts w:hint="eastAsia"/>
              <w:sz w:val="28"/>
            </w:rPr>
            <w:fldChar w:fldCharType="separate"/>
          </w:r>
          <w:r>
            <w:rPr>
              <w:rFonts w:hint="eastAsia"/>
              <w:sz w:val="28"/>
            </w:rPr>
            <w:t>第九章 健全组织实施与保障体系，完善责任考核与资金保障机制</w:t>
          </w:r>
          <w:r>
            <w:rPr>
              <w:sz w:val="28"/>
            </w:rPr>
            <w:tab/>
          </w:r>
          <w:r>
            <w:rPr>
              <w:sz w:val="28"/>
            </w:rPr>
            <w:fldChar w:fldCharType="begin"/>
          </w:r>
          <w:r>
            <w:rPr>
              <w:sz w:val="28"/>
            </w:rPr>
            <w:instrText xml:space="preserve"> PAGEREF _Toc17458 \h </w:instrText>
          </w:r>
          <w:r>
            <w:rPr>
              <w:sz w:val="28"/>
            </w:rPr>
            <w:fldChar w:fldCharType="separate"/>
          </w:r>
          <w:r>
            <w:rPr>
              <w:sz w:val="28"/>
            </w:rPr>
            <w:t>59</w:t>
          </w:r>
          <w:r>
            <w:rPr>
              <w:sz w:val="28"/>
            </w:rPr>
            <w:fldChar w:fldCharType="end"/>
          </w:r>
          <w:r>
            <w:rPr>
              <w:rFonts w:hint="eastAsia"/>
              <w:color w:val="000000" w:themeColor="text1"/>
              <w:sz w:val="28"/>
              <w14:textFill>
                <w14:solidFill>
                  <w14:schemeClr w14:val="tx1"/>
                </w14:solidFill>
              </w14:textFill>
            </w:rPr>
            <w:fldChar w:fldCharType="end"/>
          </w:r>
        </w:p>
        <w:p w14:paraId="32D9CC6D">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_Toc18570 </w:instrText>
          </w:r>
          <w:r>
            <w:rPr>
              <w:rFonts w:hint="eastAsia"/>
              <w:sz w:val="28"/>
            </w:rPr>
            <w:fldChar w:fldCharType="separate"/>
          </w:r>
          <w:r>
            <w:rPr>
              <w:rFonts w:hint="eastAsia"/>
              <w:sz w:val="28"/>
            </w:rPr>
            <w:t>第一节 加强组织领导</w:t>
          </w:r>
          <w:r>
            <w:rPr>
              <w:sz w:val="28"/>
            </w:rPr>
            <w:tab/>
          </w:r>
          <w:r>
            <w:rPr>
              <w:sz w:val="28"/>
            </w:rPr>
            <w:fldChar w:fldCharType="begin"/>
          </w:r>
          <w:r>
            <w:rPr>
              <w:sz w:val="28"/>
            </w:rPr>
            <w:instrText xml:space="preserve"> PAGEREF _Toc18570 \h </w:instrText>
          </w:r>
          <w:r>
            <w:rPr>
              <w:sz w:val="28"/>
            </w:rPr>
            <w:fldChar w:fldCharType="separate"/>
          </w:r>
          <w:r>
            <w:rPr>
              <w:sz w:val="28"/>
            </w:rPr>
            <w:t>59</w:t>
          </w:r>
          <w:r>
            <w:rPr>
              <w:sz w:val="28"/>
            </w:rPr>
            <w:fldChar w:fldCharType="end"/>
          </w:r>
          <w:r>
            <w:rPr>
              <w:rFonts w:hint="eastAsia"/>
              <w:color w:val="000000" w:themeColor="text1"/>
              <w:sz w:val="28"/>
              <w14:textFill>
                <w14:solidFill>
                  <w14:schemeClr w14:val="tx1"/>
                </w14:solidFill>
              </w14:textFill>
            </w:rPr>
            <w:fldChar w:fldCharType="end"/>
          </w:r>
        </w:p>
        <w:p w14:paraId="17E8624B">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_Toc27517 </w:instrText>
          </w:r>
          <w:r>
            <w:rPr>
              <w:rFonts w:hint="eastAsia"/>
              <w:sz w:val="28"/>
            </w:rPr>
            <w:fldChar w:fldCharType="separate"/>
          </w:r>
          <w:r>
            <w:rPr>
              <w:rFonts w:hint="eastAsia"/>
              <w:sz w:val="28"/>
            </w:rPr>
            <w:t>第二节 强化责任落实</w:t>
          </w:r>
          <w:r>
            <w:rPr>
              <w:sz w:val="28"/>
            </w:rPr>
            <w:tab/>
          </w:r>
          <w:r>
            <w:rPr>
              <w:sz w:val="28"/>
            </w:rPr>
            <w:fldChar w:fldCharType="begin"/>
          </w:r>
          <w:r>
            <w:rPr>
              <w:sz w:val="28"/>
            </w:rPr>
            <w:instrText xml:space="preserve"> PAGEREF _Toc27517 \h </w:instrText>
          </w:r>
          <w:r>
            <w:rPr>
              <w:sz w:val="28"/>
            </w:rPr>
            <w:fldChar w:fldCharType="separate"/>
          </w:r>
          <w:r>
            <w:rPr>
              <w:sz w:val="28"/>
            </w:rPr>
            <w:t>59</w:t>
          </w:r>
          <w:r>
            <w:rPr>
              <w:sz w:val="28"/>
            </w:rPr>
            <w:fldChar w:fldCharType="end"/>
          </w:r>
          <w:r>
            <w:rPr>
              <w:rFonts w:hint="eastAsia"/>
              <w:color w:val="000000" w:themeColor="text1"/>
              <w:sz w:val="28"/>
              <w14:textFill>
                <w14:solidFill>
                  <w14:schemeClr w14:val="tx1"/>
                </w14:solidFill>
              </w14:textFill>
            </w:rPr>
            <w:fldChar w:fldCharType="end"/>
          </w:r>
        </w:p>
        <w:p w14:paraId="1AC577C5">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_Toc1828 </w:instrText>
          </w:r>
          <w:r>
            <w:rPr>
              <w:rFonts w:hint="eastAsia"/>
              <w:sz w:val="28"/>
            </w:rPr>
            <w:fldChar w:fldCharType="separate"/>
          </w:r>
          <w:r>
            <w:rPr>
              <w:rFonts w:hint="eastAsia"/>
              <w:sz w:val="28"/>
            </w:rPr>
            <w:t>第三节 严格评估考核</w:t>
          </w:r>
          <w:r>
            <w:rPr>
              <w:sz w:val="28"/>
            </w:rPr>
            <w:tab/>
          </w:r>
          <w:r>
            <w:rPr>
              <w:sz w:val="28"/>
            </w:rPr>
            <w:fldChar w:fldCharType="begin"/>
          </w:r>
          <w:r>
            <w:rPr>
              <w:sz w:val="28"/>
            </w:rPr>
            <w:instrText xml:space="preserve"> PAGEREF _Toc1828 \h </w:instrText>
          </w:r>
          <w:r>
            <w:rPr>
              <w:sz w:val="28"/>
            </w:rPr>
            <w:fldChar w:fldCharType="separate"/>
          </w:r>
          <w:r>
            <w:rPr>
              <w:sz w:val="28"/>
            </w:rPr>
            <w:t>59</w:t>
          </w:r>
          <w:r>
            <w:rPr>
              <w:sz w:val="28"/>
            </w:rPr>
            <w:fldChar w:fldCharType="end"/>
          </w:r>
          <w:r>
            <w:rPr>
              <w:rFonts w:hint="eastAsia"/>
              <w:color w:val="000000" w:themeColor="text1"/>
              <w:sz w:val="28"/>
              <w14:textFill>
                <w14:solidFill>
                  <w14:schemeClr w14:val="tx1"/>
                </w14:solidFill>
              </w14:textFill>
            </w:rPr>
            <w:fldChar w:fldCharType="end"/>
          </w:r>
        </w:p>
        <w:p w14:paraId="7D01ED51">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_Toc10589 </w:instrText>
          </w:r>
          <w:r>
            <w:rPr>
              <w:rFonts w:hint="eastAsia"/>
              <w:sz w:val="28"/>
            </w:rPr>
            <w:fldChar w:fldCharType="separate"/>
          </w:r>
          <w:r>
            <w:rPr>
              <w:rFonts w:hint="eastAsia"/>
              <w:sz w:val="28"/>
            </w:rPr>
            <w:t>第四节 加大资金投入</w:t>
          </w:r>
          <w:r>
            <w:rPr>
              <w:sz w:val="28"/>
            </w:rPr>
            <w:tab/>
          </w:r>
          <w:r>
            <w:rPr>
              <w:sz w:val="28"/>
            </w:rPr>
            <w:fldChar w:fldCharType="begin"/>
          </w:r>
          <w:r>
            <w:rPr>
              <w:sz w:val="28"/>
            </w:rPr>
            <w:instrText xml:space="preserve"> PAGEREF _Toc10589 \h </w:instrText>
          </w:r>
          <w:r>
            <w:rPr>
              <w:sz w:val="28"/>
            </w:rPr>
            <w:fldChar w:fldCharType="separate"/>
          </w:r>
          <w:r>
            <w:rPr>
              <w:sz w:val="28"/>
            </w:rPr>
            <w:t>60</w:t>
          </w:r>
          <w:r>
            <w:rPr>
              <w:sz w:val="28"/>
            </w:rPr>
            <w:fldChar w:fldCharType="end"/>
          </w:r>
          <w:r>
            <w:rPr>
              <w:rFonts w:hint="eastAsia"/>
              <w:color w:val="000000" w:themeColor="text1"/>
              <w:sz w:val="28"/>
              <w14:textFill>
                <w14:solidFill>
                  <w14:schemeClr w14:val="tx1"/>
                </w14:solidFill>
              </w14:textFill>
            </w:rPr>
            <w:fldChar w:fldCharType="end"/>
          </w:r>
        </w:p>
        <w:p w14:paraId="7C395766">
          <w:pPr>
            <w:pStyle w:val="13"/>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_Toc21725 </w:instrText>
          </w:r>
          <w:r>
            <w:rPr>
              <w:rFonts w:hint="eastAsia"/>
              <w:sz w:val="28"/>
            </w:rPr>
            <w:fldChar w:fldCharType="separate"/>
          </w:r>
          <w:r>
            <w:rPr>
              <w:rFonts w:hint="eastAsia"/>
              <w:sz w:val="28"/>
              <w:lang w:val="en-US" w:eastAsia="zh-CN"/>
            </w:rPr>
            <w:t>第十章 规划重点工程</w:t>
          </w:r>
          <w:r>
            <w:rPr>
              <w:sz w:val="28"/>
            </w:rPr>
            <w:tab/>
          </w:r>
          <w:r>
            <w:rPr>
              <w:sz w:val="28"/>
            </w:rPr>
            <w:fldChar w:fldCharType="begin"/>
          </w:r>
          <w:r>
            <w:rPr>
              <w:sz w:val="28"/>
            </w:rPr>
            <w:instrText xml:space="preserve"> PAGEREF _Toc21725 \h </w:instrText>
          </w:r>
          <w:r>
            <w:rPr>
              <w:sz w:val="28"/>
            </w:rPr>
            <w:fldChar w:fldCharType="separate"/>
          </w:r>
          <w:r>
            <w:rPr>
              <w:sz w:val="28"/>
            </w:rPr>
            <w:t>61</w:t>
          </w:r>
          <w:r>
            <w:rPr>
              <w:sz w:val="28"/>
            </w:rPr>
            <w:fldChar w:fldCharType="end"/>
          </w:r>
          <w:r>
            <w:rPr>
              <w:rFonts w:hint="eastAsia"/>
              <w:color w:val="000000" w:themeColor="text1"/>
              <w:sz w:val="28"/>
              <w14:textFill>
                <w14:solidFill>
                  <w14:schemeClr w14:val="tx1"/>
                </w14:solidFill>
              </w14:textFill>
            </w:rPr>
            <w:fldChar w:fldCharType="end"/>
          </w:r>
        </w:p>
        <w:p w14:paraId="692F64B9">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_Toc29212 </w:instrText>
          </w:r>
          <w:r>
            <w:rPr>
              <w:rFonts w:hint="eastAsia"/>
              <w:sz w:val="28"/>
            </w:rPr>
            <w:fldChar w:fldCharType="separate"/>
          </w:r>
          <w:r>
            <w:rPr>
              <w:rFonts w:hint="eastAsia"/>
              <w:sz w:val="28"/>
              <w:lang w:val="en-US" w:eastAsia="zh-CN"/>
            </w:rPr>
            <w:t>第一节 重点工程筛选原则</w:t>
          </w:r>
          <w:r>
            <w:rPr>
              <w:sz w:val="28"/>
            </w:rPr>
            <w:tab/>
          </w:r>
          <w:r>
            <w:rPr>
              <w:sz w:val="28"/>
            </w:rPr>
            <w:fldChar w:fldCharType="begin"/>
          </w:r>
          <w:r>
            <w:rPr>
              <w:sz w:val="28"/>
            </w:rPr>
            <w:instrText xml:space="preserve"> PAGEREF _Toc29212 \h </w:instrText>
          </w:r>
          <w:r>
            <w:rPr>
              <w:sz w:val="28"/>
            </w:rPr>
            <w:fldChar w:fldCharType="separate"/>
          </w:r>
          <w:r>
            <w:rPr>
              <w:sz w:val="28"/>
            </w:rPr>
            <w:t>61</w:t>
          </w:r>
          <w:r>
            <w:rPr>
              <w:sz w:val="28"/>
            </w:rPr>
            <w:fldChar w:fldCharType="end"/>
          </w:r>
          <w:r>
            <w:rPr>
              <w:rFonts w:hint="eastAsia"/>
              <w:color w:val="000000" w:themeColor="text1"/>
              <w:sz w:val="28"/>
              <w14:textFill>
                <w14:solidFill>
                  <w14:schemeClr w14:val="tx1"/>
                </w14:solidFill>
              </w14:textFill>
            </w:rPr>
            <w:fldChar w:fldCharType="end"/>
          </w:r>
        </w:p>
        <w:p w14:paraId="38DB531B">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_Toc5231 </w:instrText>
          </w:r>
          <w:r>
            <w:rPr>
              <w:rFonts w:hint="eastAsia"/>
              <w:sz w:val="28"/>
            </w:rPr>
            <w:fldChar w:fldCharType="separate"/>
          </w:r>
          <w:r>
            <w:rPr>
              <w:rFonts w:hint="eastAsia"/>
              <w:sz w:val="28"/>
              <w:lang w:val="en-US" w:eastAsia="zh-CN"/>
            </w:rPr>
            <w:t>第二节 重点工程项目构成</w:t>
          </w:r>
          <w:r>
            <w:rPr>
              <w:sz w:val="28"/>
            </w:rPr>
            <w:tab/>
          </w:r>
          <w:r>
            <w:rPr>
              <w:sz w:val="28"/>
            </w:rPr>
            <w:fldChar w:fldCharType="begin"/>
          </w:r>
          <w:r>
            <w:rPr>
              <w:sz w:val="28"/>
            </w:rPr>
            <w:instrText xml:space="preserve"> PAGEREF _Toc5231 \h </w:instrText>
          </w:r>
          <w:r>
            <w:rPr>
              <w:sz w:val="28"/>
            </w:rPr>
            <w:fldChar w:fldCharType="separate"/>
          </w:r>
          <w:r>
            <w:rPr>
              <w:sz w:val="28"/>
            </w:rPr>
            <w:t>61</w:t>
          </w:r>
          <w:r>
            <w:rPr>
              <w:sz w:val="28"/>
            </w:rPr>
            <w:fldChar w:fldCharType="end"/>
          </w:r>
          <w:r>
            <w:rPr>
              <w:rFonts w:hint="eastAsia"/>
              <w:color w:val="000000" w:themeColor="text1"/>
              <w:sz w:val="28"/>
              <w14:textFill>
                <w14:solidFill>
                  <w14:schemeClr w14:val="tx1"/>
                </w14:solidFill>
              </w14:textFill>
            </w:rPr>
            <w:fldChar w:fldCharType="end"/>
          </w:r>
        </w:p>
        <w:p w14:paraId="567CE047">
          <w:pPr>
            <w:pStyle w:val="18"/>
            <w:tabs>
              <w:tab w:val="right" w:leader="dot" w:pos="9026"/>
            </w:tabs>
            <w:rPr>
              <w:sz w:val="28"/>
            </w:rPr>
          </w:pPr>
          <w:r>
            <w:rPr>
              <w:rFonts w:hint="eastAsia"/>
              <w:color w:val="000000" w:themeColor="text1"/>
              <w:sz w:val="28"/>
              <w14:textFill>
                <w14:solidFill>
                  <w14:schemeClr w14:val="tx1"/>
                </w14:solidFill>
              </w14:textFill>
            </w:rPr>
            <w:fldChar w:fldCharType="begin"/>
          </w:r>
          <w:r>
            <w:rPr>
              <w:rFonts w:hint="eastAsia"/>
              <w:sz w:val="28"/>
            </w:rPr>
            <w:instrText xml:space="preserve"> HYPERLINK \l _Toc29237 </w:instrText>
          </w:r>
          <w:r>
            <w:rPr>
              <w:rFonts w:hint="eastAsia"/>
              <w:sz w:val="28"/>
            </w:rPr>
            <w:fldChar w:fldCharType="separate"/>
          </w:r>
          <w:r>
            <w:rPr>
              <w:rFonts w:hint="eastAsia"/>
              <w:sz w:val="28"/>
              <w:lang w:val="en-US" w:eastAsia="zh-CN"/>
            </w:rPr>
            <w:t>第三节 投资估算及构成</w:t>
          </w:r>
          <w:r>
            <w:rPr>
              <w:sz w:val="28"/>
            </w:rPr>
            <w:tab/>
          </w:r>
          <w:r>
            <w:rPr>
              <w:sz w:val="28"/>
            </w:rPr>
            <w:fldChar w:fldCharType="begin"/>
          </w:r>
          <w:r>
            <w:rPr>
              <w:sz w:val="28"/>
            </w:rPr>
            <w:instrText xml:space="preserve"> PAGEREF _Toc29237 \h </w:instrText>
          </w:r>
          <w:r>
            <w:rPr>
              <w:sz w:val="28"/>
            </w:rPr>
            <w:fldChar w:fldCharType="separate"/>
          </w:r>
          <w:r>
            <w:rPr>
              <w:sz w:val="28"/>
            </w:rPr>
            <w:t>63</w:t>
          </w:r>
          <w:r>
            <w:rPr>
              <w:sz w:val="28"/>
            </w:rPr>
            <w:fldChar w:fldCharType="end"/>
          </w:r>
          <w:r>
            <w:rPr>
              <w:rFonts w:hint="eastAsia"/>
              <w:color w:val="000000" w:themeColor="text1"/>
              <w:sz w:val="28"/>
              <w14:textFill>
                <w14:solidFill>
                  <w14:schemeClr w14:val="tx1"/>
                </w14:solidFill>
              </w14:textFill>
            </w:rPr>
            <w:fldChar w:fldCharType="end"/>
          </w:r>
        </w:p>
        <w:p w14:paraId="42A8F2B5">
          <w:pPr>
            <w:pStyle w:val="3"/>
            <w:bidi w:val="0"/>
            <w:rPr>
              <w:rFonts w:hint="eastAsia"/>
              <w:color w:val="000000" w:themeColor="text1"/>
              <w:sz w:val="28"/>
              <w14:textFill>
                <w14:solidFill>
                  <w14:schemeClr w14:val="tx1"/>
                </w14:solidFill>
              </w14:textFill>
            </w:rPr>
          </w:pPr>
          <w:r>
            <w:rPr>
              <w:rFonts w:hint="eastAsia"/>
              <w:color w:val="000000" w:themeColor="text1"/>
              <w:sz w:val="28"/>
              <w14:textFill>
                <w14:solidFill>
                  <w14:schemeClr w14:val="tx1"/>
                </w14:solidFill>
              </w14:textFill>
            </w:rPr>
            <w:fldChar w:fldCharType="end"/>
          </w:r>
        </w:p>
      </w:sdtContent>
    </w:sdt>
    <w:p w14:paraId="25B23EEE">
      <w:pPr>
        <w:pStyle w:val="3"/>
        <w:bidi w:val="0"/>
        <w:rPr>
          <w:rFonts w:hint="eastAsia"/>
          <w:color w:val="000000" w:themeColor="text1"/>
          <w14:textFill>
            <w14:solidFill>
              <w14:schemeClr w14:val="tx1"/>
            </w14:solidFill>
          </w14:textFill>
        </w:rPr>
      </w:pPr>
      <w:bookmarkStart w:id="51" w:name="_GoBack"/>
      <w:bookmarkEnd w:id="51"/>
    </w:p>
    <w:p w14:paraId="642AC9BE">
      <w:pPr>
        <w:pStyle w:val="3"/>
        <w:bidi w:val="0"/>
        <w:rPr>
          <w:rFonts w:hint="eastAsia"/>
          <w:color w:val="000000" w:themeColor="text1"/>
          <w14:textFill>
            <w14:solidFill>
              <w14:schemeClr w14:val="tx1"/>
            </w14:solidFill>
          </w14:textFill>
        </w:rPr>
      </w:pPr>
    </w:p>
    <w:p w14:paraId="4A7B243D">
      <w:pPr>
        <w:pStyle w:val="3"/>
        <w:bidi w:val="0"/>
        <w:rPr>
          <w:rFonts w:hint="eastAsia"/>
          <w:color w:val="000000" w:themeColor="text1"/>
          <w14:textFill>
            <w14:solidFill>
              <w14:schemeClr w14:val="tx1"/>
            </w14:solidFill>
          </w14:textFill>
        </w:rPr>
      </w:pPr>
    </w:p>
    <w:p w14:paraId="4CA98EF5">
      <w:pPr>
        <w:pStyle w:val="3"/>
        <w:bidi w:val="0"/>
        <w:rPr>
          <w:rFonts w:hint="eastAsia"/>
          <w:color w:val="000000" w:themeColor="text1"/>
          <w14:textFill>
            <w14:solidFill>
              <w14:schemeClr w14:val="tx1"/>
            </w14:solidFill>
          </w14:textFill>
        </w:rPr>
        <w:sectPr>
          <w:footerReference r:id="rId11" w:type="default"/>
          <w:pgSz w:w="11906" w:h="16838"/>
          <w:pgMar w:top="1440" w:right="1440" w:bottom="1440" w:left="1440" w:header="851" w:footer="992" w:gutter="0"/>
          <w:pgNumType w:fmt="upperRoman" w:start="1"/>
          <w:cols w:space="425" w:num="1"/>
          <w:docGrid w:type="lines" w:linePitch="312" w:charSpace="0"/>
        </w:sectPr>
      </w:pPr>
    </w:p>
    <w:p w14:paraId="18076352">
      <w:pPr>
        <w:pStyle w:val="2"/>
        <w:bidi w:val="0"/>
        <w:rPr>
          <w:rFonts w:hint="eastAsia"/>
          <w:color w:val="000000" w:themeColor="text1"/>
          <w14:textFill>
            <w14:solidFill>
              <w14:schemeClr w14:val="tx1"/>
            </w14:solidFill>
          </w14:textFill>
        </w:rPr>
      </w:pPr>
      <w:bookmarkStart w:id="1" w:name="_Toc15496"/>
      <w:r>
        <w:rPr>
          <w:rFonts w:hint="eastAsia"/>
          <w:color w:val="000000" w:themeColor="text1"/>
          <w:lang w:eastAsia="zh-CN"/>
          <w14:textFill>
            <w14:solidFill>
              <w14:schemeClr w14:val="tx1"/>
            </w14:solidFill>
          </w14:textFill>
        </w:rPr>
        <w:t>“十四五”时期生态环境保护回顾总结</w:t>
      </w:r>
      <w:bookmarkEnd w:id="1"/>
    </w:p>
    <w:p w14:paraId="5B304130">
      <w:pPr>
        <w:pStyle w:val="3"/>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十四五”时期是我国开启全面建设社会主义现代化国家新征程的第一个五年，也是深入打好污染防治攻坚战，坚持改善生态环境质量的关键时期，在此背景下，屯昌县坚持以习近平新时代中国特色社会主义思想为指导，全面准确理解把握、坚决贯彻落实党的二十大精神，以“两山”理念为指导思想，将生态文明建设置于全县经济社会发展全局的战略高度，以系统性思维，全局性谋划，统筹推进生态环境保护与高质量发展，建设美丽新屯昌。</w:t>
      </w:r>
    </w:p>
    <w:p w14:paraId="1B30907E">
      <w:pPr>
        <w:pStyle w:val="4"/>
        <w:bidi w:val="0"/>
        <w:rPr>
          <w:rFonts w:hint="eastAsia"/>
          <w:color w:val="000000" w:themeColor="text1"/>
          <w14:textFill>
            <w14:solidFill>
              <w14:schemeClr w14:val="tx1"/>
            </w14:solidFill>
          </w14:textFill>
        </w:rPr>
      </w:pPr>
      <w:bookmarkStart w:id="2" w:name="_Toc20757"/>
      <w:r>
        <w:rPr>
          <w:rFonts w:hint="eastAsia"/>
          <w:color w:val="000000" w:themeColor="text1"/>
          <w:lang w:val="en-US" w:eastAsia="zh-CN"/>
          <w14:textFill>
            <w14:solidFill>
              <w14:schemeClr w14:val="tx1"/>
            </w14:solidFill>
          </w14:textFill>
        </w:rPr>
        <w:t>“十四五”工作成效</w:t>
      </w:r>
      <w:bookmarkEnd w:id="2"/>
    </w:p>
    <w:p w14:paraId="6399438E">
      <w:pPr>
        <w:pStyle w:val="3"/>
        <w:bidi w:val="0"/>
        <w:rPr>
          <w:rFonts w:hint="default"/>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生态环境质量保持优良</w:t>
      </w:r>
      <w:r>
        <w:rPr>
          <w:rFonts w:hint="eastAsia"/>
          <w:color w:val="000000" w:themeColor="text1"/>
          <w:lang w:val="en-US" w:eastAsia="zh-CN"/>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环境空气质量方面，2021年至2025年，屯昌县空气质量优良天数比例始终稳定在98.3%以上，其中2023年及2024年空气质量优良天数比例均超过99%，环境空气质量排名实现提升，最佳排名达到全省第8位。细颗粒物（PM</w:t>
      </w:r>
      <w:r>
        <w:rPr>
          <w:rFonts w:hint="eastAsia"/>
          <w:b w:val="0"/>
          <w:bCs w:val="0"/>
          <w:color w:val="000000" w:themeColor="text1"/>
          <w:sz w:val="32"/>
          <w:vertAlign w:val="subscript"/>
          <w:lang w:val="en-US" w:eastAsia="zh-CN"/>
          <w14:textFill>
            <w14:solidFill>
              <w14:schemeClr w14:val="tx1"/>
            </w14:solidFill>
          </w14:textFill>
        </w:rPr>
        <w:t>2.5</w:t>
      </w:r>
      <w:r>
        <w:rPr>
          <w:rFonts w:hint="eastAsia"/>
          <w:b w:val="0"/>
          <w:bCs w:val="0"/>
          <w:color w:val="000000" w:themeColor="text1"/>
          <w:lang w:val="en-US" w:eastAsia="zh-CN"/>
          <w14:textFill>
            <w14:solidFill>
              <w14:schemeClr w14:val="tx1"/>
            </w14:solidFill>
          </w14:textFill>
        </w:rPr>
        <w:t>）始终保持较低水平，其中2023年PM</w:t>
      </w:r>
      <w:r>
        <w:rPr>
          <w:rFonts w:hint="eastAsia"/>
          <w:b w:val="0"/>
          <w:bCs w:val="0"/>
          <w:color w:val="000000" w:themeColor="text1"/>
          <w:sz w:val="32"/>
          <w:vertAlign w:val="subscript"/>
          <w:lang w:val="en-US" w:eastAsia="zh-CN"/>
          <w14:textFill>
            <w14:solidFill>
              <w14:schemeClr w14:val="tx1"/>
            </w14:solidFill>
          </w14:textFill>
        </w:rPr>
        <w:t>2.5</w:t>
      </w:r>
      <w:r>
        <w:rPr>
          <w:rFonts w:hint="eastAsia"/>
          <w:b w:val="0"/>
          <w:bCs w:val="0"/>
          <w:color w:val="000000" w:themeColor="text1"/>
          <w:lang w:val="en-US" w:eastAsia="zh-CN"/>
          <w14:textFill>
            <w14:solidFill>
              <w14:schemeClr w14:val="tx1"/>
            </w14:solidFill>
          </w14:textFill>
        </w:rPr>
        <w:t>累计富余排名全省第一。2024年屯昌县获评“中国天然氧吧”称号。水环境质量状况方面，2021至2025年，屯昌县地表水国控断面水质优良率保持100%，城镇内河（湖）水质达标率保持100%。地表水省控断面仅在2021年水质优良率为90%，其他年份均达到100%。声环境状况方面，2022年至2024年，屯昌县声环境功能区昼间达标率保持在85.7%以上，夜间达标率保持在82.1%以上。土壤环境状况方面，屯昌县未发生耕地严重污染情况，耕地安全利用良好，重点建设用地安全利用率100%。</w:t>
      </w:r>
    </w:p>
    <w:p w14:paraId="3B9315FD">
      <w:pPr>
        <w:pStyle w:val="3"/>
        <w:bidi w:val="0"/>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生态文明建设管理体系更加完善</w:t>
      </w:r>
      <w:r>
        <w:rPr>
          <w:rFonts w:hint="eastAsia"/>
          <w:color w:val="000000" w:themeColor="text1"/>
          <w:lang w:val="en-US" w:eastAsia="zh-CN"/>
          <w14:textFill>
            <w14:solidFill>
              <w14:schemeClr w14:val="tx1"/>
            </w14:solidFill>
          </w14:textFill>
        </w:rPr>
        <w:t>。在生态环境保护制度建设方面，屯昌县取得积极成效，先后制订了《海南省屯昌县生态文明建设示范区规划（2025—2030年）》《屯昌县全面禁止生产、销售和使用一次性不可降解塑料制品补充实施方案》《屯昌县环境违法行为举报奖励暂行办法》《屯昌县大气污染防治规划（2021—2025年）》《屯昌县国土空间生态修复规划（2021—2035年）》《屯昌县“十四五”水资源利用与保护规划》等多项制度文件，涵盖生态文明示范创建、污染防治、生态修复、水资源保护等重点领域，制度体系日趋完善。</w:t>
      </w:r>
    </w:p>
    <w:p w14:paraId="2C73B7D3">
      <w:pPr>
        <w:pStyle w:val="3"/>
        <w:bidi w:val="0"/>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生态环境保护格局进一步优化</w:t>
      </w:r>
      <w:r>
        <w:rPr>
          <w:rFonts w:hint="eastAsia"/>
          <w:color w:val="000000" w:themeColor="text1"/>
          <w:lang w:val="en-US" w:eastAsia="zh-CN"/>
          <w14:textFill>
            <w14:solidFill>
              <w14:schemeClr w14:val="tx1"/>
            </w14:solidFill>
          </w14:textFill>
        </w:rPr>
        <w:t>。严格落实海南省国土空间规划要求，持续优化发展与生态保护空间格局。2023年屯昌县发布《屯昌县国土空间总体规划（2021—2035年）》，坚持以习近平新时代中国特色社会主义思想为指导，全面贯彻党的二十大精神，认真落实习近平总书记关于海南工作的系列重要讲话和指示批示精神，完整、准确、全面贯彻新发展理念，按照“一本三基四梁八柱”战略框架统筹发展与安全，明确屯昌县生态保护红线面积不低于77.65平方千米，着力建设生态循环农业示范县、南药养生观光旅游区，不断筑牢安全发展的空间基础，持续优化国土空间开发保护格局。在生态环境分区管控方面，屯昌县严格落实海南省区域空间生态环境评价工作部署，完成生态保护红线、环境质量底线、资源利用上线和生态环境准入清单编制工作。为适配政策与县域发展需求，助力高质量发展与生态高水平保护，屯昌县更新优化生态环境分区管控成果，2025年发布实施《海南省屯昌县生态环境分区管控方案（2025版）》，统筹整合后管控单元优化为11个，其中优先保护单元9个、重点管控单元1个、一般管控单元1个，管控布局更为集约精准。自分区管控实施以来，屯昌县充分依托海南省生态环境分区管控应用管理平台，面向不同服务对象开通政务端、互联网端，在项目选址、准入等领域推动成果落地应用。同时，注重“三线一单”成果与相关规划的衔接，各镇、各有关部门在规划编制、产业政策制定中，将生态环境分区管控要求作为重要依据，将生态保护红线、环境质量底线、资源利用上线等管控要求融入决策和实施全过程，全县生态环境保护格局持续优化、成效逐步显现。</w:t>
      </w:r>
    </w:p>
    <w:p w14:paraId="40ED540A">
      <w:pPr>
        <w:pStyle w:val="3"/>
        <w:bidi w:val="0"/>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生态治理与污染防治进一步加强</w:t>
      </w:r>
      <w:r>
        <w:rPr>
          <w:rFonts w:hint="eastAsia"/>
          <w:color w:val="000000" w:themeColor="text1"/>
          <w:lang w:val="en-US" w:eastAsia="zh-CN"/>
          <w14:textFill>
            <w14:solidFill>
              <w14:schemeClr w14:val="tx1"/>
            </w14:solidFill>
          </w14:textFill>
        </w:rPr>
        <w:t>。以中央、省级环保督察整改为重要抓手，扎实推进生态环境问题整治，全力推进问题销号清零。其中，胜万石场“牛奶河”污染整治成效突出，获评全省环保督察正面典型案例。依托督察整改契机持续深化大气、水、土壤污染防治，生态环境质量稳步提升，污染防治攻坚战取得显著成效。在大气污染防治方面，屯昌县持续推进重点领域大气污染整治，深入开展生物质锅炉、机制砂、烧结砖行业企业环境管理专项整治，加大对道路扬尘、工地物料堆场、餐饮油烟等污染源监管力度，对涉气重点监管企业实行每季度全覆盖执法监测，同步开展生物质锅炉、汽修喷涂、餐饮油烟行业抽测，对柴油车及非道路移动机械排放尾气开展执法监测，同时健全大气污染防治全链条预警响应工作机制。在水环境治理方面，深入开展水环境专项整治行动，严格落实河长制，加强水质监测预警，加大入河湖污染源排查管控力度，同时强化养殖场、橡胶厂等重点企业智慧监管，持续发挥全省首个市县间流域联防联控机制—南渡江联防联控工作机制作用，联合定安、澄迈、海口等市县定期会商，推动“分段治水”向“全域治水”转变，流域协同治理能力不断增强。在土壤污染防治方面，屯昌县加强重点建设用地和优先监管地块土壤污染防治管控，严格“一住两公”类重点建设用地监管，深入开展尾矿库整治，对采矿业废渣点实施地下水采样监测，有效防范土壤及地下水环境风险。</w:t>
      </w:r>
    </w:p>
    <w:p w14:paraId="241A57E9">
      <w:pPr>
        <w:keepNext w:val="0"/>
        <w:keepLines w:val="0"/>
        <w:widowControl/>
        <w:suppressLineNumbers w:val="0"/>
        <w:jc w:val="left"/>
        <w:rPr>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高质量发展“含绿量”持续提升</w:t>
      </w:r>
      <w:r>
        <w:rPr>
          <w:rFonts w:hint="eastAsia"/>
          <w:color w:val="000000" w:themeColor="text1"/>
          <w:lang w:val="en-US" w:eastAsia="zh-CN"/>
          <w14:textFill>
            <w14:solidFill>
              <w14:schemeClr w14:val="tx1"/>
            </w14:solidFill>
          </w14:textFill>
        </w:rPr>
        <w:t>。着力构建以“一园三区两中心”为核心架构的低碳循环经济产业体系，绿色低碳循环经济产业区取得突破性进展。在新型石材建材产业区，引入国际先进绿色环保技术，推动传统石材加工向精细化、高附加值方向转型。在林木精深加工产业区，夯实资源转化基础，推动林木资源向高端制造转型，持续提升产品附加值。农业生产方面，深入实施化肥农药减量增效技术，加快农业绿色发展步伐。大力推广绿色防控、农业防治等科学施药技术，合理应用先进机械，指导农户精准施药，设立化肥减量增效示范核心区，不断提高绿色防控水平和施肥用药效率，农业发展绿色成色持续增强。积极发展生态友好型、可持续的低碳循环经济，制定《屯昌县林下经济高质量发展规划》，形成以森林景观利用为主、林下养殖和林下种植为辅的生态种养模式，有效促进森林资源保护与生物多样性提升，实现生态保护与经济发展良性互动。大力推广新能源</w:t>
      </w:r>
      <w:r>
        <w:rPr>
          <w:rFonts w:ascii="仿宋_GB2312" w:hAnsi="仿宋_GB2312" w:eastAsia="仿宋_GB2312" w:cs="仿宋_GB2312"/>
          <w:color w:val="000000" w:themeColor="text1"/>
          <w:kern w:val="0"/>
          <w:sz w:val="31"/>
          <w:szCs w:val="31"/>
          <w:lang w:val="en-US" w:eastAsia="zh-CN" w:bidi="ar"/>
          <w14:textFill>
            <w14:solidFill>
              <w14:schemeClr w14:val="tx1"/>
            </w14:solidFill>
          </w14:textFill>
        </w:rPr>
        <w:t>汽车</w:t>
      </w:r>
      <w:r>
        <w:rPr>
          <w:rFonts w:hint="eastAsia" w:ascii="仿宋_GB2312" w:hAnsi="仿宋_GB2312" w:eastAsia="仿宋_GB2312" w:cs="仿宋_GB2312"/>
          <w:color w:val="000000" w:themeColor="text1"/>
          <w:kern w:val="0"/>
          <w:sz w:val="31"/>
          <w:szCs w:val="31"/>
          <w:lang w:val="en-US" w:eastAsia="zh-CN" w:bidi="ar"/>
          <w14:textFill>
            <w14:solidFill>
              <w14:schemeClr w14:val="tx1"/>
            </w14:solidFill>
          </w14:textFill>
        </w:rPr>
        <w:t>，</w:t>
      </w:r>
      <w:r>
        <w:rPr>
          <w:rFonts w:ascii="仿宋_GB2312" w:hAnsi="仿宋_GB2312" w:eastAsia="仿宋_GB2312" w:cs="仿宋_GB2312"/>
          <w:color w:val="000000" w:themeColor="text1"/>
          <w:kern w:val="0"/>
          <w:sz w:val="31"/>
          <w:szCs w:val="31"/>
          <w:lang w:val="en-US" w:eastAsia="zh-CN" w:bidi="ar"/>
          <w14:textFill>
            <w14:solidFill>
              <w14:schemeClr w14:val="tx1"/>
            </w14:solidFill>
          </w14:textFill>
        </w:rPr>
        <w:t>连续五年超额完成省定目标</w:t>
      </w:r>
      <w:r>
        <w:rPr>
          <w:rFonts w:hint="eastAsia" w:ascii="仿宋_GB2312" w:hAnsi="仿宋_GB2312" w:eastAsia="仿宋_GB2312" w:cs="仿宋_GB2312"/>
          <w:color w:val="000000" w:themeColor="text1"/>
          <w:kern w:val="0"/>
          <w:sz w:val="31"/>
          <w:szCs w:val="31"/>
          <w:lang w:val="en-US" w:eastAsia="zh-CN" w:bidi="ar"/>
          <w14:textFill>
            <w14:solidFill>
              <w14:schemeClr w14:val="tx1"/>
            </w14:solidFill>
          </w14:textFill>
        </w:rPr>
        <w:t>，实现新能源充电桩四大关键场景全覆盖</w:t>
      </w:r>
      <w:r>
        <w:rPr>
          <w:rFonts w:ascii="仿宋_GB2312" w:hAnsi="仿宋_GB2312" w:eastAsia="仿宋_GB2312" w:cs="仿宋_GB2312"/>
          <w:color w:val="000000" w:themeColor="text1"/>
          <w:kern w:val="0"/>
          <w:sz w:val="31"/>
          <w:szCs w:val="31"/>
          <w:lang w:val="en-US" w:eastAsia="zh-CN" w:bidi="ar"/>
          <w14:textFill>
            <w14:solidFill>
              <w14:schemeClr w14:val="tx1"/>
            </w14:solidFill>
          </w14:textFill>
        </w:rPr>
        <w:t>。</w:t>
      </w:r>
    </w:p>
    <w:p w14:paraId="72A49AF0">
      <w:pPr>
        <w:pStyle w:val="4"/>
        <w:bidi w:val="0"/>
        <w:rPr>
          <w:rFonts w:hint="eastAsia"/>
          <w:color w:val="000000" w:themeColor="text1"/>
          <w14:textFill>
            <w14:solidFill>
              <w14:schemeClr w14:val="tx1"/>
            </w14:solidFill>
          </w14:textFill>
        </w:rPr>
      </w:pPr>
      <w:bookmarkStart w:id="3" w:name="_Toc4269"/>
      <w:r>
        <w:rPr>
          <w:rFonts w:hint="eastAsia"/>
          <w:color w:val="000000" w:themeColor="text1"/>
          <w14:textFill>
            <w14:solidFill>
              <w14:schemeClr w14:val="tx1"/>
            </w14:solidFill>
          </w14:textFill>
        </w:rPr>
        <w:t>面临的机遇</w:t>
      </w:r>
      <w:bookmarkEnd w:id="3"/>
    </w:p>
    <w:p w14:paraId="4331509B">
      <w:pPr>
        <w:pStyle w:val="3"/>
        <w:bidi w:val="0"/>
        <w:rPr>
          <w:rFonts w:hint="eastAsia"/>
          <w:b w:val="0"/>
          <w:bCs w:val="0"/>
          <w:color w:val="000000" w:themeColor="text1"/>
          <w14:textFill>
            <w14:solidFill>
              <w14:schemeClr w14:val="tx1"/>
            </w14:solidFill>
          </w14:textFill>
        </w:rPr>
      </w:pPr>
      <w:r>
        <w:rPr>
          <w:rFonts w:hint="eastAsia"/>
          <w:b/>
          <w:bCs/>
          <w:color w:val="000000" w:themeColor="text1"/>
          <w14:textFill>
            <w14:solidFill>
              <w14:schemeClr w14:val="tx1"/>
            </w14:solidFill>
          </w14:textFill>
        </w:rPr>
        <w:t>在国际动荡变革中把握新发展格局机遇</w:t>
      </w:r>
      <w:r>
        <w:rPr>
          <w:rFonts w:hint="eastAsia"/>
          <w:b w:val="0"/>
          <w:bCs w:val="0"/>
          <w:color w:val="000000" w:themeColor="text1"/>
          <w14:textFill>
            <w14:solidFill>
              <w14:schemeClr w14:val="tx1"/>
            </w14:solidFill>
          </w14:textFill>
        </w:rPr>
        <w:t>。当今国际形势多变，全球经济复苏乏力、地缘政治冲突加剧、产业链供应链加速重构，对我国外向型经济带来严峻挑战。为应对挑战，我国加快构建以国内大循环为主体、国内国际双循环相互促进的新发展格局，海南自由贸易港政策赋能国际合作，这也为县域生态环境保护工作带来契机，当前，政策红利持续释放、资金保障机制不断优化、科技革命全面赋能，为生态环境领域前瞻性、系统性谋划重大工程提供了前所未有的历史机遇，系统谋划生态环境领域</w:t>
      </w:r>
      <w:r>
        <w:rPr>
          <w:rFonts w:hint="eastAsia"/>
          <w:b w:val="0"/>
          <w:bCs w:val="0"/>
          <w:color w:val="000000" w:themeColor="text1"/>
          <w:lang w:eastAsia="zh-CN"/>
          <w14:textFill>
            <w14:solidFill>
              <w14:schemeClr w14:val="tx1"/>
            </w14:solidFill>
          </w14:textFill>
        </w:rPr>
        <w:t>标志性</w:t>
      </w:r>
      <w:r>
        <w:rPr>
          <w:rFonts w:hint="eastAsia"/>
          <w:b w:val="0"/>
          <w:bCs w:val="0"/>
          <w:color w:val="000000" w:themeColor="text1"/>
          <w14:textFill>
            <w14:solidFill>
              <w14:schemeClr w14:val="tx1"/>
            </w14:solidFill>
          </w14:textFill>
        </w:rPr>
        <w:t>工程项目，不仅是推动生态环境质量全面改善的必然要求，更是推动美丽</w:t>
      </w:r>
      <w:r>
        <w:rPr>
          <w:rFonts w:hint="eastAsia"/>
          <w:b w:val="0"/>
          <w:bCs w:val="0"/>
          <w:color w:val="000000" w:themeColor="text1"/>
          <w:lang w:eastAsia="zh-CN"/>
          <w14:textFill>
            <w14:solidFill>
              <w14:schemeClr w14:val="tx1"/>
            </w14:solidFill>
          </w14:textFill>
        </w:rPr>
        <w:t>屯昌</w:t>
      </w:r>
      <w:r>
        <w:rPr>
          <w:rFonts w:hint="eastAsia"/>
          <w:b w:val="0"/>
          <w:bCs w:val="0"/>
          <w:color w:val="000000" w:themeColor="text1"/>
          <w14:textFill>
            <w14:solidFill>
              <w14:schemeClr w14:val="tx1"/>
            </w14:solidFill>
          </w14:textFill>
        </w:rPr>
        <w:t>建设、促进经济社会发展全面绿色转型的关键举措。</w:t>
      </w:r>
    </w:p>
    <w:p w14:paraId="63EB5BCD">
      <w:pPr>
        <w:pStyle w:val="3"/>
        <w:rPr>
          <w:rFonts w:hint="eastAsia"/>
          <w:color w:val="000000" w:themeColor="text1"/>
          <w14:textFill>
            <w14:solidFill>
              <w14:schemeClr w14:val="tx1"/>
            </w14:solidFill>
          </w14:textFill>
        </w:rPr>
      </w:pPr>
      <w:r>
        <w:rPr>
          <w:rFonts w:hint="eastAsia"/>
          <w:b/>
          <w:bCs/>
          <w:color w:val="000000" w:themeColor="text1"/>
          <w14:textFill>
            <w14:solidFill>
              <w14:schemeClr w14:val="tx1"/>
            </w14:solidFill>
          </w14:textFill>
        </w:rPr>
        <w:t>封关</w:t>
      </w:r>
      <w:r>
        <w:rPr>
          <w:rFonts w:hint="eastAsia"/>
          <w:b/>
          <w:bCs/>
          <w:color w:val="000000" w:themeColor="text1"/>
          <w:lang w:val="en-US" w:eastAsia="zh-CN"/>
          <w14:textFill>
            <w14:solidFill>
              <w14:schemeClr w14:val="tx1"/>
            </w14:solidFill>
          </w14:textFill>
        </w:rPr>
        <w:t>背景下屯昌县生态文明建设肩负新使命</w:t>
      </w:r>
      <w:r>
        <w:rPr>
          <w:rFonts w:hint="eastAsia"/>
          <w:color w:val="000000" w:themeColor="text1"/>
          <w14:textFill>
            <w14:solidFill>
              <w14:schemeClr w14:val="tx1"/>
            </w14:solidFill>
          </w14:textFill>
        </w:rPr>
        <w:t>。</w:t>
      </w:r>
      <w:r>
        <w:rPr>
          <w:rFonts w:hint="eastAsia"/>
          <w:color w:val="000000" w:themeColor="text1"/>
          <w:lang w:eastAsia="zh-CN"/>
          <w14:textFill>
            <w14:solidFill>
              <w14:schemeClr w14:val="tx1"/>
            </w14:solidFill>
          </w14:textFill>
        </w:rPr>
        <w:t>在</w:t>
      </w:r>
      <w:r>
        <w:rPr>
          <w:rFonts w:hint="eastAsia"/>
          <w:color w:val="000000" w:themeColor="text1"/>
          <w:lang w:val="en-US" w:eastAsia="zh-CN"/>
          <w14:textFill>
            <w14:solidFill>
              <w14:schemeClr w14:val="tx1"/>
            </w14:solidFill>
          </w14:textFill>
        </w:rPr>
        <w:t>海南自由贸易港封关运作背景下，屯昌县依托中部枢纽的区位优势和丰富的产业资源，主动对接海南自由贸易港政策，赋能区域产业升级。随着经济总量、产业规模持续扩张，发展需求与资源环境约束矛盾将更加凸显，生态安全风险防控形势更趋复杂，外来物种入侵、新型污染物转移、突发环境事件等生态环境风险增加。借助自贸港开放优势，需加快引进先进环保技术、高端生态人才与绿色低碳产业，着力推动生态农业、生态文旅、循环经济等绿色产业融合发展。屯昌县需把握机遇，</w:t>
      </w:r>
      <w:r>
        <w:rPr>
          <w:rFonts w:hint="eastAsia"/>
          <w:color w:val="000000" w:themeColor="text1"/>
          <w14:textFill>
            <w14:solidFill>
              <w14:schemeClr w14:val="tx1"/>
            </w14:solidFill>
          </w14:textFill>
        </w:rPr>
        <w:t>完善环境管理体系，构建现代化</w:t>
      </w:r>
      <w:r>
        <w:rPr>
          <w:rFonts w:hint="eastAsia"/>
          <w:color w:val="000000" w:themeColor="text1"/>
          <w:lang w:val="en-US" w:eastAsia="zh-CN"/>
          <w14:textFill>
            <w14:solidFill>
              <w14:schemeClr w14:val="tx1"/>
            </w14:solidFill>
          </w14:textFill>
        </w:rPr>
        <w:t>生态环境</w:t>
      </w:r>
      <w:r>
        <w:rPr>
          <w:rFonts w:hint="eastAsia"/>
          <w:color w:val="000000" w:themeColor="text1"/>
          <w14:textFill>
            <w14:solidFill>
              <w14:schemeClr w14:val="tx1"/>
            </w14:solidFill>
          </w14:textFill>
        </w:rPr>
        <w:t>治理体系</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争当</w:t>
      </w:r>
      <w:r>
        <w:rPr>
          <w:rFonts w:hint="eastAsia"/>
          <w:color w:val="000000" w:themeColor="text1"/>
          <w14:textFill>
            <w14:solidFill>
              <w14:schemeClr w14:val="tx1"/>
            </w14:solidFill>
          </w14:textFill>
        </w:rPr>
        <w:t>自由贸易港</w:t>
      </w:r>
      <w:r>
        <w:rPr>
          <w:rFonts w:hint="eastAsia"/>
          <w:color w:val="000000" w:themeColor="text1"/>
          <w:lang w:val="en-US" w:eastAsia="zh-CN"/>
          <w14:textFill>
            <w14:solidFill>
              <w14:schemeClr w14:val="tx1"/>
            </w14:solidFill>
          </w14:textFill>
        </w:rPr>
        <w:t>生态文明</w:t>
      </w:r>
      <w:r>
        <w:rPr>
          <w:rFonts w:hint="eastAsia"/>
          <w:color w:val="000000" w:themeColor="text1"/>
          <w14:textFill>
            <w14:solidFill>
              <w14:schemeClr w14:val="tx1"/>
            </w14:solidFill>
          </w14:textFill>
        </w:rPr>
        <w:t>建设的岛内腹地典范。</w:t>
      </w:r>
    </w:p>
    <w:p w14:paraId="2E445264">
      <w:pPr>
        <w:pStyle w:val="3"/>
        <w:bidi w:val="0"/>
        <w:rPr>
          <w:rFonts w:hint="eastAsia"/>
          <w:b w:val="0"/>
          <w:bCs w:val="0"/>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“双碳”背景下持续焕发绿色低碳高质量发展新动能</w:t>
      </w:r>
      <w:r>
        <w:rPr>
          <w:rFonts w:hint="eastAsia"/>
          <w:b w:val="0"/>
          <w:bCs w:val="0"/>
          <w:color w:val="000000" w:themeColor="text1"/>
          <w14:textFill>
            <w14:solidFill>
              <w14:schemeClr w14:val="tx1"/>
            </w14:solidFill>
          </w14:textFill>
        </w:rPr>
        <w:t>。党的二十大提出</w:t>
      </w:r>
      <w:r>
        <w:rPr>
          <w:rFonts w:hint="eastAsia"/>
          <w:b w:val="0"/>
          <w:bCs w:val="0"/>
          <w:color w:val="000000" w:themeColor="text1"/>
          <w:lang w:eastAsia="zh-CN"/>
          <w14:textFill>
            <w14:solidFill>
              <w14:schemeClr w14:val="tx1"/>
            </w14:solidFill>
          </w14:textFill>
        </w:rPr>
        <w:t>，</w:t>
      </w:r>
      <w:r>
        <w:rPr>
          <w:rFonts w:hint="eastAsia"/>
          <w:b w:val="0"/>
          <w:bCs w:val="0"/>
          <w:color w:val="000000" w:themeColor="text1"/>
          <w14:textFill>
            <w14:solidFill>
              <w14:schemeClr w14:val="tx1"/>
            </w14:solidFill>
          </w14:textFill>
        </w:rPr>
        <w:t>到二〇三五年广泛形成绿色生产生活方式，碳排放达峰后稳中有降，生态环境根本好转，美丽中国目标基本实现。</w:t>
      </w:r>
      <w:r>
        <w:rPr>
          <w:rFonts w:hint="eastAsia"/>
          <w:b w:val="0"/>
          <w:bCs w:val="0"/>
          <w:color w:val="000000" w:themeColor="text1"/>
          <w:lang w:val="en-US" w:eastAsia="zh-CN"/>
          <w14:textFill>
            <w14:solidFill>
              <w14:schemeClr w14:val="tx1"/>
            </w14:solidFill>
          </w14:textFill>
        </w:rPr>
        <w:t>目前</w:t>
      </w:r>
      <w:r>
        <w:rPr>
          <w:rFonts w:hint="eastAsia"/>
          <w:b w:val="0"/>
          <w:bCs w:val="0"/>
          <w:color w:val="000000" w:themeColor="text1"/>
          <w:lang w:eastAsia="zh-CN"/>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海南清洁能源岛</w:t>
      </w:r>
      <w:r>
        <w:rPr>
          <w:rFonts w:hint="eastAsia"/>
          <w:b w:val="0"/>
          <w:bCs w:val="0"/>
          <w:color w:val="000000" w:themeColor="text1"/>
          <w:lang w:eastAsia="zh-CN"/>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建设取得积极成效，“海南低碳岛”建设已拉开序幕</w:t>
      </w:r>
      <w:r>
        <w:rPr>
          <w:rFonts w:hint="eastAsia"/>
          <w:b w:val="0"/>
          <w:bCs w:val="0"/>
          <w:color w:val="000000" w:themeColor="text1"/>
          <w14:textFill>
            <w14:solidFill>
              <w14:schemeClr w14:val="tx1"/>
            </w14:solidFill>
          </w14:textFill>
        </w:rPr>
        <w:t>，屯昌县迫切需要在“十五五”时期抓住</w:t>
      </w:r>
      <w:r>
        <w:rPr>
          <w:rFonts w:hint="eastAsia"/>
          <w:b w:val="0"/>
          <w:bCs w:val="0"/>
          <w:color w:val="000000" w:themeColor="text1"/>
          <w:lang w:val="en-US" w:eastAsia="zh-CN"/>
          <w14:textFill>
            <w14:solidFill>
              <w14:schemeClr w14:val="tx1"/>
            </w14:solidFill>
          </w14:textFill>
        </w:rPr>
        <w:t>绿色转型</w:t>
      </w:r>
      <w:r>
        <w:rPr>
          <w:rFonts w:hint="eastAsia"/>
          <w:b w:val="0"/>
          <w:bCs w:val="0"/>
          <w:color w:val="000000" w:themeColor="text1"/>
          <w14:textFill>
            <w14:solidFill>
              <w14:schemeClr w14:val="tx1"/>
            </w14:solidFill>
          </w14:textFill>
        </w:rPr>
        <w:t>的形势机遇，着力打造“一园三区两中心”发展格局，以降碳为总抓手，推动低碳（智能）制造重点产业，建设绿色低碳循环经济产业区</w:t>
      </w:r>
      <w:r>
        <w:rPr>
          <w:rFonts w:hint="eastAsia"/>
          <w:b w:val="0"/>
          <w:bCs w:val="0"/>
          <w:color w:val="000000" w:themeColor="text1"/>
          <w:lang w:eastAsia="zh-CN"/>
          <w14:textFill>
            <w14:solidFill>
              <w14:schemeClr w14:val="tx1"/>
            </w14:solidFill>
          </w14:textFill>
        </w:rPr>
        <w:t>，</w:t>
      </w:r>
      <w:r>
        <w:rPr>
          <w:rFonts w:hint="eastAsia"/>
          <w:b w:val="0"/>
          <w:bCs w:val="0"/>
          <w:color w:val="000000" w:themeColor="text1"/>
          <w14:textFill>
            <w14:solidFill>
              <w14:schemeClr w14:val="tx1"/>
            </w14:solidFill>
          </w14:textFill>
        </w:rPr>
        <w:t>提出全县碳峰值目标以及实现碳峰值的对策路径，加强碳减排与污染协同治理，探索适合屯昌县的低碳可持续经济发展模式，持续推动经济社会绿色低碳转型。</w:t>
      </w:r>
    </w:p>
    <w:p w14:paraId="68FEEF25">
      <w:pPr>
        <w:pStyle w:val="3"/>
        <w:bidi w:val="0"/>
        <w:rPr>
          <w:rFonts w:hint="default" w:eastAsia="宋体"/>
          <w:b w:val="0"/>
          <w:bCs w:val="0"/>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美丽海南先行示范迈入新征程</w:t>
      </w:r>
      <w:r>
        <w:rPr>
          <w:rFonts w:hint="eastAsia"/>
          <w:b w:val="0"/>
          <w:bCs w:val="0"/>
          <w:color w:val="000000" w:themeColor="text1"/>
          <w:lang w:val="en-US" w:eastAsia="zh-CN"/>
          <w14:textFill>
            <w14:solidFill>
              <w14:schemeClr w14:val="tx1"/>
            </w14:solidFill>
          </w14:textFill>
        </w:rPr>
        <w:t>。</w:t>
      </w:r>
      <w:r>
        <w:rPr>
          <w:rFonts w:hint="eastAsia"/>
          <w:b w:val="0"/>
          <w:bCs w:val="0"/>
          <w:color w:val="000000" w:themeColor="text1"/>
          <w14:textFill>
            <w14:solidFill>
              <w14:schemeClr w14:val="tx1"/>
            </w14:solidFill>
          </w14:textFill>
        </w:rPr>
        <w:t>国家“十五五”规划和2035年远景目标纲要对美丽中国建设作出系统部署，海南被赋予了“向世界展示中国生态文明实践成果的重要窗口”使命</w:t>
      </w:r>
      <w:r>
        <w:rPr>
          <w:rFonts w:hint="eastAsia"/>
          <w:b w:val="0"/>
          <w:bCs w:val="0"/>
          <w:color w:val="000000" w:themeColor="text1"/>
          <w:lang w:eastAsia="zh-CN"/>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屯昌县位于海南省中部生态保育区北部，应积极打造海南中部保育区生态屏障，以海南热带雨林国家公园“北大门”建设为核心，统筹生态保护、绿色发展与民生改善，构建“全域覆盖、系统治理、特色鲜明”的生态文明体系，协同推进“生态外在美”“发展内在美”“制度人文美”，为美丽海南先行示范注入屯昌力量。</w:t>
      </w:r>
    </w:p>
    <w:p w14:paraId="47BCEC65">
      <w:pPr>
        <w:pStyle w:val="4"/>
        <w:bidi w:val="0"/>
        <w:rPr>
          <w:rFonts w:hint="eastAsia"/>
          <w:color w:val="000000" w:themeColor="text1"/>
          <w14:textFill>
            <w14:solidFill>
              <w14:schemeClr w14:val="tx1"/>
            </w14:solidFill>
          </w14:textFill>
        </w:rPr>
      </w:pPr>
      <w:bookmarkStart w:id="4" w:name="_Toc8346"/>
      <w:r>
        <w:rPr>
          <w:rFonts w:hint="eastAsia"/>
          <w:color w:val="000000" w:themeColor="text1"/>
          <w14:textFill>
            <w14:solidFill>
              <w14:schemeClr w14:val="tx1"/>
            </w14:solidFill>
          </w14:textFill>
        </w:rPr>
        <w:t>当前存在的主要生态环境问题</w:t>
      </w:r>
      <w:bookmarkEnd w:id="4"/>
    </w:p>
    <w:p w14:paraId="2C3E0A06">
      <w:pPr>
        <w:pStyle w:val="3"/>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“十四五”期间，屯昌县始终坚守生态底线，扎实推进生态文明建设与生态环境保护各项工作，生态环境质量持续向好，生态文明建设取得了阶段性的显著成效。同时，当下对照人民群众对高质量发展</w:t>
      </w:r>
      <w:r>
        <w:rPr>
          <w:rFonts w:hint="eastAsia"/>
          <w:color w:val="000000" w:themeColor="text1"/>
          <w:lang w:eastAsia="zh-CN"/>
          <w14:textFill>
            <w14:solidFill>
              <w14:schemeClr w14:val="tx1"/>
            </w14:solidFill>
          </w14:textFill>
        </w:rPr>
        <w:t>和</w:t>
      </w:r>
      <w:r>
        <w:rPr>
          <w:rFonts w:hint="eastAsia"/>
          <w:color w:val="000000" w:themeColor="text1"/>
          <w14:textFill>
            <w14:solidFill>
              <w14:schemeClr w14:val="tx1"/>
            </w14:solidFill>
          </w14:textFill>
        </w:rPr>
        <w:t>生态环境的新期待、新需求，全县生态环境质量的稳定性和持续性仍需进一步巩固提升。在争创国家生态文明示范县的进程中，生态与城乡融合、农业创新的协同发展水平还有提升空间。</w:t>
      </w:r>
    </w:p>
    <w:p w14:paraId="59D092BC">
      <w:pPr>
        <w:pStyle w:val="3"/>
        <w:bidi w:val="0"/>
        <w:rPr>
          <w:rFonts w:hint="eastAsia"/>
          <w:color w:val="000000" w:themeColor="text1"/>
          <w14:textFill>
            <w14:solidFill>
              <w14:schemeClr w14:val="tx1"/>
            </w14:solidFill>
          </w14:textFill>
        </w:rPr>
      </w:pPr>
      <w:r>
        <w:rPr>
          <w:rFonts w:hint="eastAsia"/>
          <w:b/>
          <w:bCs/>
          <w:color w:val="000000" w:themeColor="text1"/>
          <w14:textFill>
            <w14:solidFill>
              <w14:schemeClr w14:val="tx1"/>
            </w14:solidFill>
          </w14:textFill>
        </w:rPr>
        <w:t>适应气候变化领域与产业低碳转型存有短板</w:t>
      </w:r>
      <w:r>
        <w:rPr>
          <w:rFonts w:hint="eastAsia"/>
          <w:color w:val="000000" w:themeColor="text1"/>
          <w14:textFill>
            <w14:solidFill>
              <w14:schemeClr w14:val="tx1"/>
            </w14:solidFill>
          </w14:textFill>
        </w:rPr>
        <w:t>。新能源基础设施布局不均衡</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县域新能源充电桩仅集中于县城及部分重点区域，农村地区充电网络覆盖不足，城乡一体化充电设施建设滞后，无法满足农村新能源汽车推广和电动农机、冷链物流用能需求。产业低碳化基础薄弱</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大同产业园低碳制造、工业绿色微电网等项目缺乏技术支撑，本地低碳技术服务企业培育不足，光伏、退役电池梯次利用等产业链尚未形成规模，制造业绿色化改造能力欠缺。农村新型能源体系建设滞后</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农村电网承载能力不足，农业生产加工领域电气化改造进度慢，分布式新能源、储能与农村用能融合度低，农村能源清洁化、智能化水平低。生物质资源利用效率低</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秸秆、畜禽粪污、餐厨垃圾等有机废弃物资源化利用方式单一，缺乏规模化、高值化处理设施，病死畜禽无害化处理配套不足，资源浪费且存在环境隐患。</w:t>
      </w:r>
    </w:p>
    <w:p w14:paraId="37E3F6F1">
      <w:pPr>
        <w:pStyle w:val="3"/>
        <w:bidi w:val="0"/>
        <w:rPr>
          <w:rFonts w:hint="eastAsia"/>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大气污染防治仍有短板，协同管控能力不足。</w:t>
      </w:r>
      <w:r>
        <w:rPr>
          <w:rFonts w:hint="eastAsia"/>
          <w:color w:val="000000" w:themeColor="text1"/>
          <w:lang w:eastAsia="zh-CN"/>
          <w14:textFill>
            <w14:solidFill>
              <w14:schemeClr w14:val="tx1"/>
            </w14:solidFill>
          </w14:textFill>
        </w:rPr>
        <w:t>重点污染物管控未达目标，年PM</w:t>
      </w:r>
      <w:r>
        <w:rPr>
          <w:rFonts w:hint="eastAsia"/>
          <w:color w:val="000000" w:themeColor="text1"/>
          <w:sz w:val="32"/>
          <w:vertAlign w:val="subscript"/>
          <w:lang w:eastAsia="zh-CN"/>
          <w14:textFill>
            <w14:solidFill>
              <w14:schemeClr w14:val="tx1"/>
            </w14:solidFill>
          </w14:textFill>
        </w:rPr>
        <w:t>2.5</w:t>
      </w:r>
      <w:r>
        <w:rPr>
          <w:rFonts w:hint="eastAsia"/>
          <w:color w:val="000000" w:themeColor="text1"/>
          <w:lang w:eastAsia="zh-CN"/>
          <w14:textFill>
            <w14:solidFill>
              <w14:schemeClr w14:val="tx1"/>
            </w14:solidFill>
          </w14:textFill>
        </w:rPr>
        <w:t>年均浓度未达到省下达的11微克/立方米要求。臭氧污染问题较突出，年均浓度持续超过省定标准，且呈逐年上升趋势，已成为制约空气质量优良天数比例进一步提升的关键因素。扬尘、面源污染管控存在漏洞，施工工地、道路扬尘管控仍有薄弱环节，渣土运输抛洒遗漏现象偶有发生。秸秆露天焚烧、烟花爆竹燃放、餐饮油烟乱排等问题尚未得到根本性解决，精细化管控水平有待提升。传统产业转型滞后，槟榔加工等传统产业污染治理仍需加强，“散乱污”企业反弹风险依然存在。</w:t>
      </w:r>
    </w:p>
    <w:p w14:paraId="4547078A">
      <w:pPr>
        <w:pStyle w:val="3"/>
        <w:bidi w:val="0"/>
        <w:rPr>
          <w:rFonts w:hint="eastAsia"/>
          <w:color w:val="000000" w:themeColor="text1"/>
          <w14:textFill>
            <w14:solidFill>
              <w14:schemeClr w14:val="tx1"/>
            </w14:solidFill>
          </w14:textFill>
        </w:rPr>
      </w:pPr>
      <w:r>
        <w:rPr>
          <w:rFonts w:hint="eastAsia"/>
          <w:b/>
          <w:bCs/>
          <w:color w:val="000000" w:themeColor="text1"/>
          <w:lang w:eastAsia="zh-CN"/>
          <w14:textFill>
            <w14:solidFill>
              <w14:schemeClr w14:val="tx1"/>
            </w14:solidFill>
          </w14:textFill>
        </w:rPr>
        <w:t>重点</w:t>
      </w:r>
      <w:r>
        <w:rPr>
          <w:rFonts w:hint="eastAsia"/>
          <w:b/>
          <w:bCs/>
          <w:color w:val="000000" w:themeColor="text1"/>
          <w14:textFill>
            <w14:solidFill>
              <w14:schemeClr w14:val="tx1"/>
            </w14:solidFill>
          </w14:textFill>
        </w:rPr>
        <w:t>流域生态修复与水污</w:t>
      </w:r>
      <w:r>
        <w:rPr>
          <w:rFonts w:hint="eastAsia"/>
          <w:b/>
          <w:bCs/>
          <w:color w:val="000000" w:themeColor="text1"/>
          <w:lang w:eastAsia="zh-CN"/>
          <w14:textFill>
            <w14:solidFill>
              <w14:schemeClr w14:val="tx1"/>
            </w14:solidFill>
          </w14:textFill>
        </w:rPr>
        <w:t>染防治基础</w:t>
      </w:r>
      <w:r>
        <w:rPr>
          <w:rFonts w:hint="eastAsia"/>
          <w:b/>
          <w:bCs/>
          <w:color w:val="000000" w:themeColor="text1"/>
          <w14:textFill>
            <w14:solidFill>
              <w14:schemeClr w14:val="tx1"/>
            </w14:solidFill>
          </w14:textFill>
        </w:rPr>
        <w:t>设施有待</w:t>
      </w:r>
      <w:r>
        <w:rPr>
          <w:rFonts w:hint="eastAsia"/>
          <w:b/>
          <w:bCs/>
          <w:color w:val="000000" w:themeColor="text1"/>
          <w:lang w:eastAsia="zh-CN"/>
          <w14:textFill>
            <w14:solidFill>
              <w14:schemeClr w14:val="tx1"/>
            </w14:solidFill>
          </w14:textFill>
        </w:rPr>
        <w:t>完善</w:t>
      </w:r>
      <w:r>
        <w:rPr>
          <w:rFonts w:hint="eastAsia"/>
          <w:color w:val="000000" w:themeColor="text1"/>
          <w14:textFill>
            <w14:solidFill>
              <w14:schemeClr w14:val="tx1"/>
            </w14:solidFill>
          </w14:textFill>
        </w:rPr>
        <w:t>。流域水生态修复任务艰巨</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新吴溪等重点流域存在生活污水、生活垃圾、农业面源污染叠加问题，水生态系统脆弱，生态修复技术和措施缺乏系统性规划。饮用水水源地保护能力不足</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良坡水库等县级及</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万人千吨</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饮用水</w:t>
      </w:r>
      <w:r>
        <w:rPr>
          <w:rFonts w:hint="eastAsia"/>
          <w:color w:val="000000" w:themeColor="text1"/>
          <w:lang w:eastAsia="zh-CN"/>
          <w14:textFill>
            <w14:solidFill>
              <w14:schemeClr w14:val="tx1"/>
            </w14:solidFill>
          </w14:textFill>
        </w:rPr>
        <w:t>水</w:t>
      </w:r>
      <w:r>
        <w:rPr>
          <w:rFonts w:hint="eastAsia"/>
          <w:color w:val="000000" w:themeColor="text1"/>
          <w14:textFill>
            <w14:solidFill>
              <w14:schemeClr w14:val="tx1"/>
            </w14:solidFill>
          </w14:textFill>
        </w:rPr>
        <w:t>源地规范化治理设施不完善，隔离、警示、导流等保护设施存在缺失，水源地安全保障能力薄弱。入河排污口整治不彻底</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新吴溪流域部分入河排污口</w:t>
      </w:r>
      <w:r>
        <w:rPr>
          <w:rFonts w:hint="eastAsia"/>
          <w:color w:val="000000" w:themeColor="text1"/>
          <w:lang w:eastAsia="zh-CN"/>
          <w14:textFill>
            <w14:solidFill>
              <w14:schemeClr w14:val="tx1"/>
            </w14:solidFill>
          </w14:textFill>
        </w:rPr>
        <w:t>还需进一步</w:t>
      </w:r>
      <w:r>
        <w:rPr>
          <w:rFonts w:hint="eastAsia"/>
          <w:color w:val="000000" w:themeColor="text1"/>
          <w14:textFill>
            <w14:solidFill>
              <w14:schemeClr w14:val="tx1"/>
            </w14:solidFill>
          </w14:textFill>
        </w:rPr>
        <w:t>规范整治，排污口监管和治理体系不健全。河道生态治理能力不足</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红花溪城区段等河道存在淤积、生态植被破坏等问题，缺乏系统化的生态治理手段。污水收集处理设施不完善</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乡镇污水</w:t>
      </w:r>
      <w:r>
        <w:rPr>
          <w:rFonts w:hint="eastAsia"/>
          <w:color w:val="000000" w:themeColor="text1"/>
          <w:lang w:eastAsia="zh-CN"/>
          <w14:textFill>
            <w14:solidFill>
              <w14:schemeClr w14:val="tx1"/>
            </w14:solidFill>
          </w14:textFill>
        </w:rPr>
        <w:t>处理</w:t>
      </w:r>
      <w:r>
        <w:rPr>
          <w:rFonts w:hint="eastAsia"/>
          <w:color w:val="000000" w:themeColor="text1"/>
          <w14:textFill>
            <w14:solidFill>
              <w14:schemeClr w14:val="tx1"/>
            </w14:solidFill>
          </w14:textFill>
        </w:rPr>
        <w:t>厂改扩建、提标改造进度慢，主城区雨污管网分流改造滞后，产城融合示范区污水处理厂及配套管网尚未建设，污水收集率和处理率还需进一步提高。</w:t>
      </w:r>
    </w:p>
    <w:p w14:paraId="0EC31866">
      <w:pPr>
        <w:pStyle w:val="3"/>
        <w:bidi w:val="0"/>
        <w:rPr>
          <w:rFonts w:hint="eastAsia"/>
          <w:color w:val="000000" w:themeColor="text1"/>
          <w14:textFill>
            <w14:solidFill>
              <w14:schemeClr w14:val="tx1"/>
            </w14:solidFill>
          </w14:textFill>
        </w:rPr>
      </w:pPr>
      <w:r>
        <w:rPr>
          <w:rFonts w:hint="eastAsia"/>
          <w:b/>
          <w:bCs/>
          <w:color w:val="000000" w:themeColor="text1"/>
          <w14:textFill>
            <w14:solidFill>
              <w14:schemeClr w14:val="tx1"/>
            </w14:solidFill>
          </w14:textFill>
        </w:rPr>
        <w:t>固废处置与循环经济体系不完善</w:t>
      </w:r>
      <w:r>
        <w:rPr>
          <w:rFonts w:hint="eastAsia"/>
          <w:color w:val="000000" w:themeColor="text1"/>
          <w14:textFill>
            <w14:solidFill>
              <w14:schemeClr w14:val="tx1"/>
            </w14:solidFill>
          </w14:textFill>
        </w:rPr>
        <w:t>。污泥处置能力不足</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县域缺乏规模化污泥综合处置设施，污泥无害化、资源化处理率低，存在环境二次污染风险。废弃农膜回收利用体系不健全</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农膜回收网络仅覆盖部分区域，三级回收利用网络未完全建立，可降解地膜推广力度不足，废旧农膜回收利用率偏低。循环经济产业发展仍存在短板，产业支撑体系有待完善</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废旧动力电池、报废汽车、废旧家电等再生资源回收利用产业链缺失，缺乏智能化拆解、梯次利用等关键设施，循环经济技术创新和公共服务平</w:t>
      </w:r>
      <w:r>
        <w:rPr>
          <w:rFonts w:hint="eastAsia"/>
          <w:color w:val="000000" w:themeColor="text1"/>
          <w:lang w:eastAsia="zh-CN"/>
          <w14:textFill>
            <w14:solidFill>
              <w14:schemeClr w14:val="tx1"/>
            </w14:solidFill>
          </w14:textFill>
        </w:rPr>
        <w:t>台尚</w:t>
      </w:r>
      <w:r>
        <w:rPr>
          <w:rFonts w:hint="eastAsia"/>
          <w:color w:val="000000" w:themeColor="text1"/>
          <w14:textFill>
            <w14:solidFill>
              <w14:schemeClr w14:val="tx1"/>
            </w14:solidFill>
          </w14:textFill>
        </w:rPr>
        <w:t>未搭建。农村环卫设施升级滞后</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乡镇垃圾转运站除臭、渗滤液处理设施不完善，垃圾分类亭覆盖不足，农村垃圾分类和无害化处理精细化水平低。厨余垃圾</w:t>
      </w:r>
      <w:r>
        <w:rPr>
          <w:rFonts w:hint="eastAsia"/>
          <w:color w:val="000000" w:themeColor="text1"/>
          <w:lang w:eastAsia="zh-CN"/>
          <w14:textFill>
            <w14:solidFill>
              <w14:schemeClr w14:val="tx1"/>
            </w14:solidFill>
          </w14:textFill>
        </w:rPr>
        <w:t>、污泥</w:t>
      </w:r>
      <w:r>
        <w:rPr>
          <w:rFonts w:hint="eastAsia"/>
          <w:color w:val="000000" w:themeColor="text1"/>
          <w14:textFill>
            <w14:solidFill>
              <w14:schemeClr w14:val="tx1"/>
            </w14:solidFill>
          </w14:textFill>
        </w:rPr>
        <w:t>处理设施空白</w:t>
      </w:r>
      <w:r>
        <w:rPr>
          <w:rFonts w:hint="eastAsia"/>
          <w:color w:val="000000" w:themeColor="text1"/>
          <w:lang w:eastAsia="zh-CN"/>
          <w14:textFill>
            <w14:solidFill>
              <w14:schemeClr w14:val="tx1"/>
            </w14:solidFill>
          </w14:textFill>
        </w:rPr>
        <w:t>，建筑垃圾终端资源化利用能力不足，</w:t>
      </w:r>
      <w:r>
        <w:rPr>
          <w:rFonts w:hint="eastAsia"/>
          <w:color w:val="000000" w:themeColor="text1"/>
          <w14:textFill>
            <w14:solidFill>
              <w14:schemeClr w14:val="tx1"/>
            </w14:solidFill>
          </w14:textFill>
        </w:rPr>
        <w:t>镇墟垃圾分类厢房未实现全覆盖，固废分类处置体系不完整。</w:t>
      </w:r>
    </w:p>
    <w:p w14:paraId="1B5439A0">
      <w:pPr>
        <w:pStyle w:val="3"/>
        <w:bidi w:val="0"/>
        <w:rPr>
          <w:rFonts w:hint="eastAsia"/>
          <w:color w:val="000000" w:themeColor="text1"/>
          <w14:textFill>
            <w14:solidFill>
              <w14:schemeClr w14:val="tx1"/>
            </w14:solidFill>
          </w14:textFill>
        </w:rPr>
      </w:pPr>
      <w:r>
        <w:rPr>
          <w:rFonts w:hint="eastAsia"/>
          <w:b/>
          <w:bCs/>
          <w:color w:val="000000" w:themeColor="text1"/>
          <w14:textFill>
            <w14:solidFill>
              <w14:schemeClr w14:val="tx1"/>
            </w14:solidFill>
          </w14:textFill>
        </w:rPr>
        <w:t>生态建设、治理修复与</w:t>
      </w:r>
      <w:r>
        <w:rPr>
          <w:rFonts w:hint="eastAsia"/>
          <w:b/>
          <w:bCs/>
          <w:color w:val="000000" w:themeColor="text1"/>
          <w:lang w:eastAsia="zh-CN"/>
          <w14:textFill>
            <w14:solidFill>
              <w14:schemeClr w14:val="tx1"/>
            </w14:solidFill>
          </w14:textFill>
        </w:rPr>
        <w:t>生态</w:t>
      </w:r>
      <w:r>
        <w:rPr>
          <w:rFonts w:hint="eastAsia"/>
          <w:b/>
          <w:bCs/>
          <w:color w:val="000000" w:themeColor="text1"/>
          <w14:textFill>
            <w14:solidFill>
              <w14:schemeClr w14:val="tx1"/>
            </w14:solidFill>
          </w14:textFill>
        </w:rPr>
        <w:t>价值转化能力</w:t>
      </w:r>
      <w:r>
        <w:rPr>
          <w:rFonts w:hint="eastAsia"/>
          <w:b/>
          <w:bCs/>
          <w:color w:val="000000" w:themeColor="text1"/>
          <w:lang w:eastAsia="zh-CN"/>
          <w14:textFill>
            <w14:solidFill>
              <w14:schemeClr w14:val="tx1"/>
            </w14:solidFill>
          </w14:textFill>
        </w:rPr>
        <w:t>有待提高</w:t>
      </w:r>
      <w:r>
        <w:rPr>
          <w:rFonts w:hint="eastAsia"/>
          <w:color w:val="000000" w:themeColor="text1"/>
          <w14:textFill>
            <w14:solidFill>
              <w14:schemeClr w14:val="tx1"/>
            </w14:solidFill>
          </w14:textFill>
        </w:rPr>
        <w:t>。河湖生态本底调查不足</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全县河湖水域生态本底数据缺失，缺乏水质、水生生物多样性等系统性调查，河湖生态健康诊断和保护修复方案缺乏技术支撑。外来物种防控体系不完善</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外来入侵物种普查、监测、防控机制不健全，缺乏专项防控方案和生态恢复措施，对本地生态系统造成威胁。水土流失治理任务重</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新吴溪流域水土流失问题突出，坡园地整治、坡面排水、造林植草等治理工程缺乏系统性推进，水土保持措施不到位。生态价值转化产业发展起步较晚</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雨林北大门生态综合体、森林康养基地等项目配套设施不完善，运营规划尚不健全，生态资源与文旅、康养产业的融合水平有待进一步提升。</w:t>
      </w:r>
      <w:r>
        <w:rPr>
          <w:rFonts w:hint="eastAsia"/>
          <w:color w:val="000000" w:themeColor="text1"/>
          <w:lang w:eastAsia="zh-CN"/>
          <w14:textFill>
            <w14:solidFill>
              <w14:schemeClr w14:val="tx1"/>
            </w14:solidFill>
          </w14:textFill>
        </w:rPr>
        <w:t>生态产品价值转化路径，</w:t>
      </w:r>
      <w:r>
        <w:rPr>
          <w:rFonts w:hint="eastAsia" w:ascii="仿宋_GB2312" w:hAnsi="仿宋_GB2312" w:cs="仿宋_GB2312"/>
          <w:color w:val="000000" w:themeColor="text1"/>
          <w:szCs w:val="32"/>
          <w:highlight w:val="none"/>
          <w14:textFill>
            <w14:solidFill>
              <w14:schemeClr w14:val="tx1"/>
            </w14:solidFill>
          </w14:textFill>
        </w:rPr>
        <w:t>“两山”转化模式</w:t>
      </w:r>
      <w:r>
        <w:rPr>
          <w:rFonts w:hint="eastAsia" w:ascii="仿宋_GB2312" w:hAnsi="仿宋_GB2312" w:cs="仿宋_GB2312"/>
          <w:color w:val="000000" w:themeColor="text1"/>
          <w:szCs w:val="32"/>
          <w:highlight w:val="none"/>
          <w:lang w:eastAsia="zh-CN"/>
          <w14:textFill>
            <w14:solidFill>
              <w14:schemeClr w14:val="tx1"/>
            </w14:solidFill>
          </w14:textFill>
        </w:rPr>
        <w:t>探索相对滞后。</w:t>
      </w:r>
    </w:p>
    <w:p w14:paraId="523B1C27">
      <w:pPr>
        <w:pStyle w:val="3"/>
        <w:bidi w:val="0"/>
        <w:rPr>
          <w:color w:val="000000" w:themeColor="text1"/>
          <w14:textFill>
            <w14:solidFill>
              <w14:schemeClr w14:val="tx1"/>
            </w14:solidFill>
          </w14:textFill>
        </w:rPr>
      </w:pPr>
    </w:p>
    <w:p w14:paraId="52B643BB">
      <w:pPr>
        <w:pStyle w:val="3"/>
        <w:bidi w:val="0"/>
        <w:rPr>
          <w:color w:val="000000" w:themeColor="text1"/>
          <w14:textFill>
            <w14:solidFill>
              <w14:schemeClr w14:val="tx1"/>
            </w14:solidFill>
          </w14:textFill>
        </w:rPr>
      </w:pPr>
    </w:p>
    <w:p w14:paraId="4DE65580">
      <w:pPr>
        <w:pStyle w:val="3"/>
        <w:bidi w:val="0"/>
        <w:rPr>
          <w:color w:val="000000" w:themeColor="text1"/>
          <w14:textFill>
            <w14:solidFill>
              <w14:schemeClr w14:val="tx1"/>
            </w14:solidFill>
          </w14:textFill>
        </w:rPr>
        <w:sectPr>
          <w:footerReference r:id="rId12" w:type="default"/>
          <w:pgSz w:w="11906" w:h="16838"/>
          <w:pgMar w:top="1440" w:right="1440" w:bottom="1440" w:left="1440" w:header="851" w:footer="992" w:gutter="0"/>
          <w:pgNumType w:fmt="decimal" w:start="1"/>
          <w:cols w:space="425" w:num="1"/>
          <w:docGrid w:type="lines" w:linePitch="312" w:charSpace="0"/>
        </w:sectPr>
      </w:pPr>
    </w:p>
    <w:p w14:paraId="78CDA076">
      <w:pPr>
        <w:pStyle w:val="2"/>
        <w:bidi w:val="0"/>
        <w:rPr>
          <w:rFonts w:hint="eastAsia"/>
          <w:color w:val="000000" w:themeColor="text1"/>
          <w14:textFill>
            <w14:solidFill>
              <w14:schemeClr w14:val="tx1"/>
            </w14:solidFill>
          </w14:textFill>
        </w:rPr>
      </w:pPr>
      <w:bookmarkStart w:id="5" w:name="_Toc29032"/>
      <w:r>
        <w:rPr>
          <w:rFonts w:hint="eastAsia"/>
          <w:color w:val="000000" w:themeColor="text1"/>
          <w14:textFill>
            <w14:solidFill>
              <w14:schemeClr w14:val="tx1"/>
            </w14:solidFill>
          </w14:textFill>
        </w:rPr>
        <w:t>指导思想、基本原则与主要目标</w:t>
      </w:r>
      <w:bookmarkEnd w:id="5"/>
    </w:p>
    <w:p w14:paraId="44AB292D">
      <w:pPr>
        <w:pStyle w:val="4"/>
        <w:bidi w:val="0"/>
        <w:rPr>
          <w:rFonts w:hint="eastAsia"/>
          <w:color w:val="000000" w:themeColor="text1"/>
          <w14:textFill>
            <w14:solidFill>
              <w14:schemeClr w14:val="tx1"/>
            </w14:solidFill>
          </w14:textFill>
        </w:rPr>
      </w:pPr>
      <w:bookmarkStart w:id="6" w:name="_Toc30509"/>
      <w:r>
        <w:rPr>
          <w:rFonts w:hint="eastAsia"/>
          <w:color w:val="000000" w:themeColor="text1"/>
          <w14:textFill>
            <w14:solidFill>
              <w14:schemeClr w14:val="tx1"/>
            </w14:solidFill>
          </w14:textFill>
        </w:rPr>
        <w:t>指导思想</w:t>
      </w:r>
      <w:bookmarkEnd w:id="6"/>
    </w:p>
    <w:p w14:paraId="798782B9">
      <w:pPr>
        <w:pStyle w:val="3"/>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坚持以习近平新时代中国特色社会主义思想为指导，深入践行习近平生态文明思想，认真贯彻党的二十大和二十届二中、三中、四中全会精神，全面落实习近平总书记关于海南生态环境保护工作的系列重要讲话和指示批示精神，锚定“一本三基四梁八柱”战略框架，积极将屯昌县的发展融入海南自由贸易港和国家生态文明试验区建设，全力以赴保障“一园三区两中心”产业空间布局成型起势</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始终坚持和加强党对生态文明建设的全面领导，牢固树立和践行绿水青山就是金山银山的理念，以碳达峰碳中和为牵引，</w:t>
      </w:r>
      <w:r>
        <w:rPr>
          <w:rFonts w:hint="eastAsia"/>
          <w:color w:val="000000" w:themeColor="text1"/>
          <w14:textFill>
            <w14:solidFill>
              <w14:schemeClr w14:val="tx1"/>
            </w14:solidFill>
          </w14:textFill>
        </w:rPr>
        <w:t>协同推进</w:t>
      </w:r>
      <w:r>
        <w:rPr>
          <w:rFonts w:hint="eastAsia"/>
          <w:color w:val="000000" w:themeColor="text1"/>
          <w:lang w:val="en-US" w:eastAsia="zh-CN"/>
          <w14:textFill>
            <w14:solidFill>
              <w14:schemeClr w14:val="tx1"/>
            </w14:solidFill>
          </w14:textFill>
        </w:rPr>
        <w:t>降碳、减污、扩绿、增长</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筑牢生态安全屏障，增加绿色发展动能</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守护好屯昌县的绿水青山，</w:t>
      </w:r>
      <w:r>
        <w:rPr>
          <w:rFonts w:hint="eastAsia"/>
          <w:color w:val="000000" w:themeColor="text1"/>
          <w14:textFill>
            <w14:solidFill>
              <w14:schemeClr w14:val="tx1"/>
            </w14:solidFill>
          </w14:textFill>
        </w:rPr>
        <w:t>持续深化与巩固屯昌县生态文明建设示范县建设成果，谱写美丽中国绿色海南之屯昌新篇章。</w:t>
      </w:r>
    </w:p>
    <w:p w14:paraId="20C69E33">
      <w:pPr>
        <w:pStyle w:val="4"/>
        <w:bidi w:val="0"/>
        <w:rPr>
          <w:rFonts w:hint="eastAsia"/>
          <w:color w:val="000000" w:themeColor="text1"/>
          <w14:textFill>
            <w14:solidFill>
              <w14:schemeClr w14:val="tx1"/>
            </w14:solidFill>
          </w14:textFill>
        </w:rPr>
      </w:pPr>
      <w:bookmarkStart w:id="7" w:name="_Toc20352"/>
      <w:r>
        <w:rPr>
          <w:rFonts w:hint="eastAsia"/>
          <w:color w:val="000000" w:themeColor="text1"/>
          <w14:textFill>
            <w14:solidFill>
              <w14:schemeClr w14:val="tx1"/>
            </w14:solidFill>
          </w14:textFill>
        </w:rPr>
        <w:t>基本原则</w:t>
      </w:r>
      <w:bookmarkEnd w:id="7"/>
    </w:p>
    <w:p w14:paraId="4A5D58F7">
      <w:pPr>
        <w:pStyle w:val="3"/>
        <w:bidi w:val="0"/>
        <w:rPr>
          <w:rFonts w:hint="eastAsia"/>
          <w:color w:val="000000" w:themeColor="text1"/>
          <w14:textFill>
            <w14:solidFill>
              <w14:schemeClr w14:val="tx1"/>
            </w14:solidFill>
          </w14:textFill>
        </w:rPr>
      </w:pPr>
      <w:r>
        <w:rPr>
          <w:rFonts w:hint="eastAsia"/>
          <w:b/>
          <w:bCs/>
          <w:color w:val="000000" w:themeColor="text1"/>
          <w14:textFill>
            <w14:solidFill>
              <w14:schemeClr w14:val="tx1"/>
            </w14:solidFill>
          </w14:textFill>
        </w:rPr>
        <w:t>生态优先，绿色</w:t>
      </w:r>
      <w:r>
        <w:rPr>
          <w:rFonts w:hint="eastAsia"/>
          <w:b/>
          <w:bCs/>
          <w:color w:val="000000" w:themeColor="text1"/>
          <w:lang w:val="en-US" w:eastAsia="zh-CN"/>
          <w14:textFill>
            <w14:solidFill>
              <w14:schemeClr w14:val="tx1"/>
            </w14:solidFill>
          </w14:textFill>
        </w:rPr>
        <w:t>转型</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加强生态环境分区管控</w:t>
      </w:r>
      <w:r>
        <w:rPr>
          <w:rFonts w:hint="eastAsia"/>
          <w:color w:val="000000" w:themeColor="text1"/>
          <w14:textFill>
            <w14:solidFill>
              <w14:schemeClr w14:val="tx1"/>
            </w14:solidFill>
          </w14:textFill>
        </w:rPr>
        <w:t>，严守生态保护红线</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推进生态环境高水平保护</w:t>
      </w:r>
      <w:r>
        <w:rPr>
          <w:rFonts w:hint="eastAsia"/>
          <w:color w:val="000000" w:themeColor="text1"/>
          <w14:textFill>
            <w14:solidFill>
              <w14:schemeClr w14:val="tx1"/>
            </w14:solidFill>
          </w14:textFill>
        </w:rPr>
        <w:t>。推动经济社会发展全面绿色转型，发展循环经济与生态产业，探索完善生态产品价值实现机制，实现生态环境质量与经济社会发展互利共赢。</w:t>
      </w:r>
    </w:p>
    <w:p w14:paraId="4905EFBC">
      <w:pPr>
        <w:pStyle w:val="3"/>
        <w:bidi w:val="0"/>
        <w:rPr>
          <w:rFonts w:hint="eastAsia"/>
          <w:color w:val="000000" w:themeColor="text1"/>
          <w14:textFill>
            <w14:solidFill>
              <w14:schemeClr w14:val="tx1"/>
            </w14:solidFill>
          </w14:textFill>
        </w:rPr>
      </w:pPr>
      <w:r>
        <w:rPr>
          <w:rFonts w:hint="eastAsia"/>
          <w:b/>
          <w:bCs/>
          <w:color w:val="000000" w:themeColor="text1"/>
          <w14:textFill>
            <w14:solidFill>
              <w14:schemeClr w14:val="tx1"/>
            </w14:solidFill>
          </w14:textFill>
        </w:rPr>
        <w:t>补齐短板，对标</w:t>
      </w:r>
      <w:r>
        <w:rPr>
          <w:rFonts w:hint="eastAsia"/>
          <w:b/>
          <w:bCs/>
          <w:color w:val="000000" w:themeColor="text1"/>
          <w:lang w:eastAsia="zh-CN"/>
          <w14:textFill>
            <w14:solidFill>
              <w14:schemeClr w14:val="tx1"/>
            </w14:solidFill>
          </w14:textFill>
        </w:rPr>
        <w:t>先进</w:t>
      </w:r>
      <w:r>
        <w:rPr>
          <w:rFonts w:hint="eastAsia"/>
          <w:color w:val="000000" w:themeColor="text1"/>
          <w14:textFill>
            <w14:solidFill>
              <w14:schemeClr w14:val="tx1"/>
            </w14:solidFill>
          </w14:textFill>
        </w:rPr>
        <w:t>。坚持问题导向，重点解决当前屯昌县</w:t>
      </w:r>
      <w:r>
        <w:rPr>
          <w:rFonts w:hint="eastAsia"/>
          <w:color w:val="000000" w:themeColor="text1"/>
          <w:lang w:val="en-US" w:eastAsia="zh-CN"/>
          <w14:textFill>
            <w14:solidFill>
              <w14:schemeClr w14:val="tx1"/>
            </w14:solidFill>
          </w14:textFill>
        </w:rPr>
        <w:t>农业面源污染</w:t>
      </w:r>
      <w:r>
        <w:rPr>
          <w:rFonts w:hint="eastAsia"/>
          <w:color w:val="000000" w:themeColor="text1"/>
          <w14:textFill>
            <w14:solidFill>
              <w14:schemeClr w14:val="tx1"/>
            </w14:solidFill>
          </w14:textFill>
        </w:rPr>
        <w:t>等生态环境问题，补齐生活污水治理基础设施建设和生态环境监管能力短板，夯实经济社会发展的生态环境基础。坚持目标导向，对标省内生态环境质量</w:t>
      </w:r>
      <w:r>
        <w:rPr>
          <w:rFonts w:hint="eastAsia"/>
          <w:color w:val="000000" w:themeColor="text1"/>
          <w:lang w:eastAsia="zh-CN"/>
          <w14:textFill>
            <w14:solidFill>
              <w14:schemeClr w14:val="tx1"/>
            </w14:solidFill>
          </w14:textFill>
        </w:rPr>
        <w:t>先进</w:t>
      </w:r>
      <w:r>
        <w:rPr>
          <w:rFonts w:hint="eastAsia"/>
          <w:color w:val="000000" w:themeColor="text1"/>
          <w14:textFill>
            <w14:solidFill>
              <w14:schemeClr w14:val="tx1"/>
            </w14:solidFill>
          </w14:textFill>
        </w:rPr>
        <w:t>地区，向全省前列迈进。</w:t>
      </w:r>
    </w:p>
    <w:p w14:paraId="5F53D333">
      <w:pPr>
        <w:pStyle w:val="3"/>
        <w:bidi w:val="0"/>
        <w:rPr>
          <w:rFonts w:hint="eastAsia"/>
          <w:color w:val="000000" w:themeColor="text1"/>
          <w14:textFill>
            <w14:solidFill>
              <w14:schemeClr w14:val="tx1"/>
            </w14:solidFill>
          </w14:textFill>
        </w:rPr>
      </w:pPr>
      <w:r>
        <w:rPr>
          <w:rFonts w:hint="eastAsia"/>
          <w:b/>
          <w:bCs/>
          <w:color w:val="000000" w:themeColor="text1"/>
          <w14:textFill>
            <w14:solidFill>
              <w14:schemeClr w14:val="tx1"/>
            </w14:solidFill>
          </w14:textFill>
        </w:rPr>
        <w:t>重点治理，精准提升</w:t>
      </w:r>
      <w:r>
        <w:rPr>
          <w:rFonts w:hint="eastAsia"/>
          <w:color w:val="000000" w:themeColor="text1"/>
          <w14:textFill>
            <w14:solidFill>
              <w14:schemeClr w14:val="tx1"/>
            </w14:solidFill>
          </w14:textFill>
        </w:rPr>
        <w:t>。坚持精准治污、科学治污，系统科学解决农业面源污染、饮用水水源地保护、流域修复治理、问题水体等人民群众身边的突出生态环境问题</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深入打好污染防治攻坚战，强化多污染物协同治理，提升精细化管理水平，确保生态环境质量持续改善。</w:t>
      </w:r>
    </w:p>
    <w:p w14:paraId="57EF8269">
      <w:pPr>
        <w:pStyle w:val="3"/>
        <w:bidi w:val="0"/>
        <w:rPr>
          <w:rFonts w:hint="eastAsia"/>
          <w:color w:val="000000" w:themeColor="text1"/>
          <w14:textFill>
            <w14:solidFill>
              <w14:schemeClr w14:val="tx1"/>
            </w14:solidFill>
          </w14:textFill>
        </w:rPr>
      </w:pPr>
      <w:r>
        <w:rPr>
          <w:rFonts w:hint="eastAsia"/>
          <w:b/>
          <w:bCs/>
          <w:color w:val="000000" w:themeColor="text1"/>
          <w14:textFill>
            <w14:solidFill>
              <w14:schemeClr w14:val="tx1"/>
            </w14:solidFill>
          </w14:textFill>
        </w:rPr>
        <w:t>深化改革，鼓励创新</w:t>
      </w:r>
      <w:r>
        <w:rPr>
          <w:rFonts w:hint="eastAsia"/>
          <w:color w:val="000000" w:themeColor="text1"/>
          <w14:textFill>
            <w14:solidFill>
              <w14:schemeClr w14:val="tx1"/>
            </w14:solidFill>
          </w14:textFill>
        </w:rPr>
        <w:t>。坚持改革创新，把握新时代海南全面深化改革开放契机，发挥基层治理创新，先行先试，深化环境保护体制机制改革，创新环境空气精细化管控模式，推进地方生态环境管理创新，探索分级分类监管模式，加强基层群众自治与网格化服务管理有效衔接</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推动农村能源革命试点县建设，以能源结构优化带动经济社会全面绿色低碳转型</w:t>
      </w:r>
      <w:r>
        <w:rPr>
          <w:rFonts w:hint="eastAsia"/>
          <w:color w:val="000000" w:themeColor="text1"/>
          <w14:textFill>
            <w14:solidFill>
              <w14:schemeClr w14:val="tx1"/>
            </w14:solidFill>
          </w14:textFill>
        </w:rPr>
        <w:t>。</w:t>
      </w:r>
    </w:p>
    <w:p w14:paraId="6CE69358">
      <w:pPr>
        <w:pStyle w:val="4"/>
        <w:bidi w:val="0"/>
        <w:rPr>
          <w:rFonts w:hint="eastAsia"/>
          <w:color w:val="000000" w:themeColor="text1"/>
          <w14:textFill>
            <w14:solidFill>
              <w14:schemeClr w14:val="tx1"/>
            </w14:solidFill>
          </w14:textFill>
        </w:rPr>
      </w:pPr>
      <w:bookmarkStart w:id="8" w:name="_Toc21260"/>
      <w:r>
        <w:rPr>
          <w:rFonts w:hint="eastAsia"/>
          <w:color w:val="000000" w:themeColor="text1"/>
          <w14:textFill>
            <w14:solidFill>
              <w14:schemeClr w14:val="tx1"/>
            </w14:solidFill>
          </w14:textFill>
        </w:rPr>
        <w:t>主要目标</w:t>
      </w:r>
      <w:bookmarkEnd w:id="8"/>
    </w:p>
    <w:p w14:paraId="3256242C">
      <w:pPr>
        <w:pStyle w:val="3"/>
        <w:bidi w:val="0"/>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到20</w:t>
      </w:r>
      <w:r>
        <w:rPr>
          <w:rFonts w:hint="eastAsia"/>
          <w:color w:val="000000" w:themeColor="text1"/>
          <w:lang w:val="en-US" w:eastAsia="zh-CN"/>
          <w14:textFill>
            <w14:solidFill>
              <w14:schemeClr w14:val="tx1"/>
            </w14:solidFill>
          </w14:textFill>
        </w:rPr>
        <w:t>30</w:t>
      </w:r>
      <w:r>
        <w:rPr>
          <w:rFonts w:hint="eastAsia"/>
          <w:color w:val="000000" w:themeColor="text1"/>
          <w14:textFill>
            <w14:solidFill>
              <w14:schemeClr w14:val="tx1"/>
            </w14:solidFill>
          </w14:textFill>
        </w:rPr>
        <w:t>年</w:t>
      </w:r>
      <w:r>
        <w:rPr>
          <w:rFonts w:hint="eastAsia"/>
          <w:color w:val="000000" w:themeColor="text1"/>
          <w:lang w:eastAsia="zh-CN"/>
          <w14:textFill>
            <w14:solidFill>
              <w14:schemeClr w14:val="tx1"/>
            </w14:solidFill>
          </w14:textFill>
        </w:rPr>
        <w:t>——</w:t>
      </w:r>
    </w:p>
    <w:p w14:paraId="26697DB2">
      <w:pPr>
        <w:pStyle w:val="3"/>
        <w:bidi w:val="0"/>
        <w:rPr>
          <w:rFonts w:hint="default" w:eastAsia="宋体"/>
          <w:color w:val="000000" w:themeColor="text1"/>
          <w:lang w:val="en-US" w:eastAsia="zh-CN"/>
          <w14:textFill>
            <w14:solidFill>
              <w14:schemeClr w14:val="tx1"/>
            </w14:solidFill>
          </w14:textFill>
        </w:rPr>
      </w:pPr>
      <w:r>
        <w:rPr>
          <w:rFonts w:hint="eastAsia"/>
          <w:b/>
          <w:bCs/>
          <w:color w:val="000000" w:themeColor="text1"/>
          <w14:textFill>
            <w14:solidFill>
              <w14:schemeClr w14:val="tx1"/>
            </w14:solidFill>
          </w14:textFill>
        </w:rPr>
        <w:t>生态环境</w:t>
      </w:r>
      <w:r>
        <w:rPr>
          <w:rFonts w:hint="eastAsia"/>
          <w:b/>
          <w:bCs/>
          <w:color w:val="000000" w:themeColor="text1"/>
          <w:lang w:val="en-US" w:eastAsia="zh-CN"/>
          <w14:textFill>
            <w14:solidFill>
              <w14:schemeClr w14:val="tx1"/>
            </w14:solidFill>
          </w14:textFill>
        </w:rPr>
        <w:t>质量达到全省优良水平</w:t>
      </w:r>
      <w:r>
        <w:rPr>
          <w:rFonts w:hint="eastAsia"/>
          <w:color w:val="000000" w:themeColor="text1"/>
          <w14:textFill>
            <w14:solidFill>
              <w14:schemeClr w14:val="tx1"/>
            </w14:solidFill>
          </w14:textFill>
        </w:rPr>
        <w:t>。污染防治水平持续提升，主要污染物排放总量稳步减少。环境空气质量不断优化，优良天数比例保持较高水平，细颗粒物年均浓度稳定控制在优良区间。水环境质量持续改善，省控地表水水质优良比例保持全优，城镇集中式饮用水水源稳定达标</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城镇生活污水集中收集率稳步提升，农村生活污水治理水平显著提高。</w:t>
      </w:r>
    </w:p>
    <w:p w14:paraId="29B00824">
      <w:pPr>
        <w:pStyle w:val="3"/>
        <w:bidi w:val="0"/>
        <w:rPr>
          <w:rFonts w:hint="eastAsia" w:eastAsia="宋体"/>
          <w:color w:val="000000" w:themeColor="text1"/>
          <w:lang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经济社会发展绿色转型全面提速</w:t>
      </w:r>
      <w:r>
        <w:rPr>
          <w:rFonts w:hint="eastAsia"/>
          <w:color w:val="000000" w:themeColor="text1"/>
          <w14:textFill>
            <w14:solidFill>
              <w14:schemeClr w14:val="tx1"/>
            </w14:solidFill>
          </w14:textFill>
        </w:rPr>
        <w:t>。国土空间开发保护格局、产业结构布局持续优化，绿色发展内生动力进一步增强</w:t>
      </w:r>
      <w:r>
        <w:rPr>
          <w:rFonts w:hint="eastAsia"/>
          <w:color w:val="000000" w:themeColor="text1"/>
          <w:lang w:eastAsia="zh-CN"/>
          <w14:textFill>
            <w14:solidFill>
              <w14:schemeClr w14:val="tx1"/>
            </w14:solidFill>
          </w14:textFill>
        </w:rPr>
        <w:t>。</w:t>
      </w:r>
      <w:r>
        <w:rPr>
          <w:rFonts w:hint="eastAsia"/>
          <w:strike w:val="0"/>
          <w:dstrike w:val="0"/>
          <w:color w:val="000000" w:themeColor="text1"/>
          <w14:textFill>
            <w14:solidFill>
              <w14:schemeClr w14:val="tx1"/>
            </w14:solidFill>
          </w14:textFill>
        </w:rPr>
        <w:t>能源供给更加清洁，能源资源配置更加合理、利用效率大幅提高</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新能源汽车进一步推广，新能源充电桩数量进一步增多</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绿色低碳园区/零碳园区逐步建成</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简约适度、绿色低碳的生活方式加快形成</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碳排放量进一步降低。加大农业面源污染防治力度，推进化肥农药减量化，提升废弃农膜回收率、秸秆综合利用率、畜禽粪污综合利用率。</w:t>
      </w:r>
    </w:p>
    <w:p w14:paraId="0595EE1E">
      <w:pPr>
        <w:pStyle w:val="3"/>
        <w:bidi w:val="0"/>
        <w:rPr>
          <w:rFonts w:hint="eastAsia"/>
          <w:color w:val="000000" w:themeColor="text1"/>
          <w14:textFill>
            <w14:solidFill>
              <w14:schemeClr w14:val="tx1"/>
            </w14:solidFill>
          </w14:textFill>
        </w:rPr>
      </w:pPr>
      <w:r>
        <w:rPr>
          <w:rFonts w:hint="eastAsia"/>
          <w:b/>
          <w:bCs/>
          <w:color w:val="000000" w:themeColor="text1"/>
          <w14:textFill>
            <w14:solidFill>
              <w14:schemeClr w14:val="tx1"/>
            </w14:solidFill>
          </w14:textFill>
        </w:rPr>
        <w:t>生态系统</w:t>
      </w:r>
      <w:r>
        <w:rPr>
          <w:rFonts w:hint="eastAsia"/>
          <w:b/>
          <w:bCs/>
          <w:color w:val="000000" w:themeColor="text1"/>
          <w:lang w:val="en-US" w:eastAsia="zh-CN"/>
          <w14:textFill>
            <w14:solidFill>
              <w14:schemeClr w14:val="tx1"/>
            </w14:solidFill>
          </w14:textFill>
        </w:rPr>
        <w:t>多样性、稳定性、持续性逐步提升</w:t>
      </w:r>
      <w:r>
        <w:rPr>
          <w:rFonts w:hint="eastAsia"/>
          <w:color w:val="000000" w:themeColor="text1"/>
          <w14:textFill>
            <w14:solidFill>
              <w14:schemeClr w14:val="tx1"/>
            </w14:solidFill>
          </w14:textFill>
        </w:rPr>
        <w:t>。实施生态系统保护与修复工程，森林、河湖、湿地生态系统质量明显提升，自然生态系统实现良性循环</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特有野生动植物及其栖息地得到全面保护，生物安全与生态风险防范水平显著提升，生物多样性保护成效更加巩固</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以木色湖流域为突破口，积极推动生态产品价值实现机制，生态产品总值（GEP）持续增长</w:t>
      </w:r>
      <w:r>
        <w:rPr>
          <w:rFonts w:hint="eastAsia"/>
          <w:color w:val="000000" w:themeColor="text1"/>
          <w14:textFill>
            <w14:solidFill>
              <w14:schemeClr w14:val="tx1"/>
            </w14:solidFill>
          </w14:textFill>
        </w:rPr>
        <w:t>。</w:t>
      </w:r>
    </w:p>
    <w:p w14:paraId="24AAF77F">
      <w:pPr>
        <w:pStyle w:val="3"/>
        <w:bidi w:val="0"/>
        <w:rPr>
          <w:rFonts w:hint="default" w:eastAsia="宋体"/>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生态文明制度建设和实践纵深推进</w:t>
      </w:r>
      <w:r>
        <w:rPr>
          <w:rFonts w:hint="eastAsia"/>
          <w:color w:val="000000" w:themeColor="text1"/>
          <w:lang w:val="en-US" w:eastAsia="zh-CN"/>
          <w14:textFill>
            <w14:solidFill>
              <w14:schemeClr w14:val="tx1"/>
            </w14:solidFill>
          </w14:textFill>
        </w:rPr>
        <w:t>。“两山”转化能力进一步增强，生态产品价值实现路径有效打通，生态环境治理体系和治理能力现代化水平显著提高，绿色低碳生产生活方式广泛形成，为美丽海南建设贡献可推广的“屯昌经验”。</w:t>
      </w:r>
    </w:p>
    <w:p w14:paraId="6B851181">
      <w:pPr>
        <w:pStyle w:val="3"/>
        <w:bidi w:val="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到</w:t>
      </w:r>
      <w:r>
        <w:rPr>
          <w:rFonts w:hint="eastAsia"/>
          <w:color w:val="000000" w:themeColor="text1"/>
          <w14:textFill>
            <w14:solidFill>
              <w14:schemeClr w14:val="tx1"/>
            </w14:solidFill>
          </w14:textFill>
        </w:rPr>
        <w:t>2035年，</w:t>
      </w:r>
      <w:r>
        <w:rPr>
          <w:rFonts w:hint="eastAsia"/>
          <w:color w:val="000000" w:themeColor="text1"/>
          <w:lang w:val="en-US" w:eastAsia="zh-CN"/>
          <w14:textFill>
            <w14:solidFill>
              <w14:schemeClr w14:val="tx1"/>
            </w14:solidFill>
          </w14:textFill>
        </w:rPr>
        <w:t>生态文明理念深入全县社会经济各个环节，绿色低碳、崇尚节约的生产生活方式广泛形成，绿色低碳循环发展经济体系建立健全，生态环境质量和资源利用效率显著提升，生态环境质量和资源利用效率趋近全省先进水平，生态环境治理体系和治理能力基本实现现代化</w:t>
      </w:r>
      <w:r>
        <w:rPr>
          <w:rFonts w:hint="eastAsia"/>
          <w:color w:val="000000" w:themeColor="text1"/>
          <w14:textFill>
            <w14:solidFill>
              <w14:schemeClr w14:val="tx1"/>
            </w14:solidFill>
          </w14:textFill>
        </w:rPr>
        <w:t>。</w:t>
      </w:r>
      <w:r>
        <w:rPr>
          <w:color w:val="000000" w:themeColor="text1"/>
          <w14:textFill>
            <w14:solidFill>
              <w14:schemeClr w14:val="tx1"/>
            </w14:solidFill>
          </w14:textFill>
        </w:rPr>
        <w:br w:type="page"/>
      </w:r>
    </w:p>
    <w:p w14:paraId="311D2580">
      <w:pPr>
        <w:pStyle w:val="8"/>
        <w:bidi w:val="0"/>
        <w:rPr>
          <w:rFonts w:hint="eastAsia"/>
          <w:color w:val="000000" w:themeColor="text1"/>
          <w:lang w:val="en-US" w:eastAsia="zh-CN"/>
          <w14:textFill>
            <w14:solidFill>
              <w14:schemeClr w14:val="tx1"/>
            </w14:solidFill>
          </w14:textFill>
        </w:rPr>
      </w:pPr>
      <w:r>
        <w:rPr>
          <w:color w:val="000000" w:themeColor="text1"/>
          <w14:textFill>
            <w14:solidFill>
              <w14:schemeClr w14:val="tx1"/>
            </w14:solidFill>
          </w14:textFill>
        </w:rPr>
        <w:t>表</w:t>
      </w:r>
      <w:r>
        <w:rPr>
          <w:rFonts w:hint="eastAsia"/>
          <w:color w:val="000000" w:themeColor="text1"/>
          <w:lang w:val="en-US" w:eastAsia="zh-CN"/>
          <w14:textFill>
            <w14:solidFill>
              <w14:schemeClr w14:val="tx1"/>
            </w14:solidFill>
          </w14:textFill>
        </w:rPr>
        <w:t>1 屯昌县“十五五”生态环境保护规划主要指标</w:t>
      </w:r>
    </w:p>
    <w:tbl>
      <w:tblPr>
        <w:tblStyle w:val="20"/>
        <w:tblW w:w="561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0"/>
        <w:gridCol w:w="730"/>
        <w:gridCol w:w="4348"/>
        <w:gridCol w:w="1690"/>
        <w:gridCol w:w="1925"/>
        <w:gridCol w:w="953"/>
      </w:tblGrid>
      <w:tr w14:paraId="7DC4B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blHeader/>
          <w:jc w:val="center"/>
        </w:trPr>
        <w:tc>
          <w:tcPr>
            <w:tcW w:w="3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752564">
            <w:pPr>
              <w:pStyle w:val="16"/>
              <w:bidi w:val="0"/>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序号</w:t>
            </w:r>
          </w:p>
        </w:tc>
        <w:tc>
          <w:tcPr>
            <w:tcW w:w="351"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907D1CB">
            <w:pPr>
              <w:pStyle w:val="16"/>
              <w:bidi w:val="0"/>
              <w:rPr>
                <w:rFonts w:hint="eastAsia"/>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类别</w:t>
            </w:r>
          </w:p>
        </w:tc>
        <w:tc>
          <w:tcPr>
            <w:tcW w:w="20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B4E67">
            <w:pPr>
              <w:pStyle w:val="16"/>
              <w:bidi w:val="0"/>
              <w:rPr>
                <w:rFonts w:hint="eastAsia"/>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指标名称</w:t>
            </w:r>
          </w:p>
        </w:tc>
        <w:tc>
          <w:tcPr>
            <w:tcW w:w="8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3753C">
            <w:pPr>
              <w:pStyle w:val="16"/>
              <w:bidi w:val="0"/>
              <w:rPr>
                <w:rFonts w:hint="eastAsia"/>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2025年现状</w:t>
            </w:r>
          </w:p>
        </w:tc>
        <w:tc>
          <w:tcPr>
            <w:tcW w:w="9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CDB28">
            <w:pPr>
              <w:pStyle w:val="16"/>
              <w:bidi w:val="0"/>
              <w:rPr>
                <w:rFonts w:hint="default"/>
                <w:b/>
                <w:bCs/>
                <w:color w:val="000000" w:themeColor="text1"/>
                <w:lang w:val="en-US"/>
                <w14:textFill>
                  <w14:solidFill>
                    <w14:schemeClr w14:val="tx1"/>
                  </w14:solidFill>
                </w14:textFill>
              </w:rPr>
            </w:pPr>
            <w:r>
              <w:rPr>
                <w:rFonts w:hint="eastAsia"/>
                <w:b/>
                <w:bCs/>
                <w:color w:val="000000" w:themeColor="text1"/>
                <w:lang w:val="en-US" w:eastAsia="zh-CN"/>
                <w14:textFill>
                  <w14:solidFill>
                    <w14:schemeClr w14:val="tx1"/>
                  </w14:solidFill>
                </w14:textFill>
              </w:rPr>
              <w:t>2030目标值</w:t>
            </w:r>
          </w:p>
        </w:tc>
        <w:tc>
          <w:tcPr>
            <w:tcW w:w="4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9478B">
            <w:pPr>
              <w:pStyle w:val="16"/>
              <w:bidi w:val="0"/>
              <w:ind w:left="0" w:leftChars="0" w:firstLine="0" w:firstLineChars="0"/>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指标</w:t>
            </w:r>
          </w:p>
          <w:p w14:paraId="209C9B52">
            <w:pPr>
              <w:pStyle w:val="16"/>
              <w:bidi w:val="0"/>
              <w:ind w:left="0" w:leftChars="0" w:firstLine="0" w:firstLineChars="0"/>
              <w:rPr>
                <w:rFonts w:hint="eastAsia" w:ascii="Times New Roman" w:hAnsi="Times New Roman" w:eastAsia="仿宋_GB2312" w:cstheme="minorBidi"/>
                <w:b/>
                <w:bCs/>
                <w:color w:val="000000" w:themeColor="text1"/>
                <w:kern w:val="2"/>
                <w:sz w:val="24"/>
                <w:szCs w:val="22"/>
                <w:lang w:val="en-US" w:eastAsia="zh-CN" w:bidi="ar-SA"/>
                <w14:textFill>
                  <w14:solidFill>
                    <w14:schemeClr w14:val="tx1"/>
                  </w14:solidFill>
                </w14:textFill>
              </w:rPr>
            </w:pPr>
            <w:r>
              <w:rPr>
                <w:rFonts w:hint="eastAsia"/>
                <w:b/>
                <w:bCs/>
                <w:color w:val="000000" w:themeColor="text1"/>
                <w:lang w:val="en-US" w:eastAsia="zh-CN"/>
                <w14:textFill>
                  <w14:solidFill>
                    <w14:schemeClr w14:val="tx1"/>
                  </w14:solidFill>
                </w14:textFill>
              </w:rPr>
              <w:t>性质</w:t>
            </w:r>
          </w:p>
        </w:tc>
      </w:tr>
      <w:tr w14:paraId="1306B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3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B57503">
            <w:pPr>
              <w:pStyle w:val="16"/>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c>
          <w:tcPr>
            <w:tcW w:w="351" w:type="pct"/>
            <w:vMerge w:val="restart"/>
            <w:tcBorders>
              <w:top w:val="single" w:color="000000" w:sz="4" w:space="0"/>
              <w:left w:val="single" w:color="auto" w:sz="4" w:space="0"/>
              <w:right w:val="single" w:color="000000" w:sz="4" w:space="0"/>
            </w:tcBorders>
            <w:shd w:val="clear" w:color="auto" w:fill="auto"/>
            <w:noWrap/>
            <w:vAlign w:val="center"/>
          </w:tcPr>
          <w:p w14:paraId="6B403574">
            <w:pPr>
              <w:pStyle w:val="16"/>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良好生态系统</w:t>
            </w:r>
          </w:p>
        </w:tc>
        <w:tc>
          <w:tcPr>
            <w:tcW w:w="2095" w:type="pct"/>
            <w:tcBorders>
              <w:top w:val="single" w:color="000000" w:sz="4" w:space="0"/>
              <w:left w:val="single" w:color="000000" w:sz="4" w:space="0"/>
              <w:right w:val="single" w:color="000000" w:sz="4" w:space="0"/>
            </w:tcBorders>
            <w:shd w:val="clear" w:color="auto" w:fill="auto"/>
            <w:vAlign w:val="center"/>
          </w:tcPr>
          <w:p w14:paraId="25F6219E">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生态质量指数（EQI）</w:t>
            </w:r>
            <w:r>
              <w:rPr>
                <w:rStyle w:val="24"/>
                <w:rFonts w:hint="eastAsia" w:ascii="Times New Roman" w:hAnsi="Times New Roman" w:eastAsia="宋体" w:cs="Times New Roman"/>
                <w:color w:val="000000" w:themeColor="text1"/>
                <w:kern w:val="2"/>
                <w:sz w:val="32"/>
                <w:szCs w:val="22"/>
                <w:lang w:val="en-US" w:eastAsia="zh-CN" w:bidi="ar-SA"/>
                <w14:textFill>
                  <w14:solidFill>
                    <w14:schemeClr w14:val="tx1"/>
                  </w14:solidFill>
                </w14:textFill>
              </w:rPr>
              <w:t>#</w:t>
            </w:r>
          </w:p>
        </w:tc>
        <w:tc>
          <w:tcPr>
            <w:tcW w:w="814" w:type="pct"/>
            <w:tcBorders>
              <w:top w:val="single" w:color="000000" w:sz="4" w:space="0"/>
              <w:left w:val="single" w:color="000000" w:sz="4" w:space="0"/>
              <w:right w:val="single" w:color="000000" w:sz="4" w:space="0"/>
            </w:tcBorders>
            <w:shd w:val="clear" w:color="auto" w:fill="auto"/>
            <w:noWrap/>
            <w:vAlign w:val="center"/>
          </w:tcPr>
          <w:p w14:paraId="4BBAD77D">
            <w:pPr>
              <w:pStyle w:val="16"/>
              <w:bidi w:val="0"/>
              <w:ind w:left="0" w:leftChars="0" w:firstLine="0" w:firstLineChars="0"/>
              <w:rPr>
                <w:rFonts w:hint="default"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14:textFill>
                  <w14:solidFill>
                    <w14:schemeClr w14:val="tx1"/>
                  </w14:solidFill>
                </w14:textFill>
              </w:rPr>
              <w:t>—</w:t>
            </w:r>
          </w:p>
        </w:tc>
        <w:tc>
          <w:tcPr>
            <w:tcW w:w="9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EE369">
            <w:pPr>
              <w:pStyle w:val="16"/>
              <w:bidi w:val="0"/>
              <w:ind w:left="0" w:leftChars="0" w:firstLine="0" w:firstLineChars="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△EQI&gt;-1</w:t>
            </w:r>
          </w:p>
        </w:tc>
        <w:tc>
          <w:tcPr>
            <w:tcW w:w="4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7F246">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预期性</w:t>
            </w:r>
          </w:p>
        </w:tc>
      </w:tr>
      <w:tr w14:paraId="7E49B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jc w:val="center"/>
        </w:trPr>
        <w:tc>
          <w:tcPr>
            <w:tcW w:w="3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322DD4">
            <w:pPr>
              <w:pStyle w:val="16"/>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w:t>
            </w:r>
          </w:p>
          <w:p w14:paraId="5F5A5DC8">
            <w:pPr>
              <w:pStyle w:val="16"/>
              <w:bidi w:val="0"/>
              <w:rPr>
                <w:rFonts w:hint="eastAsia" w:eastAsia="仿宋_GB2312"/>
                <w:color w:val="000000" w:themeColor="text1"/>
                <w:lang w:val="en-US" w:eastAsia="zh-CN"/>
                <w14:textFill>
                  <w14:solidFill>
                    <w14:schemeClr w14:val="tx1"/>
                  </w14:solidFill>
                </w14:textFill>
              </w:rPr>
            </w:pPr>
          </w:p>
        </w:tc>
        <w:tc>
          <w:tcPr>
            <w:tcW w:w="351" w:type="pct"/>
            <w:vMerge w:val="continue"/>
            <w:tcBorders>
              <w:left w:val="single" w:color="auto" w:sz="4" w:space="0"/>
              <w:right w:val="single" w:color="000000" w:sz="4" w:space="0"/>
            </w:tcBorders>
            <w:shd w:val="clear" w:color="auto" w:fill="auto"/>
            <w:noWrap/>
            <w:vAlign w:val="center"/>
          </w:tcPr>
          <w:p w14:paraId="7CF6D12F">
            <w:pPr>
              <w:pStyle w:val="16"/>
              <w:bidi w:val="0"/>
              <w:rPr>
                <w:rFonts w:hint="eastAsia"/>
                <w:color w:val="000000" w:themeColor="text1"/>
                <w14:textFill>
                  <w14:solidFill>
                    <w14:schemeClr w14:val="tx1"/>
                  </w14:solidFill>
                </w14:textFill>
              </w:rPr>
            </w:pPr>
          </w:p>
        </w:tc>
        <w:tc>
          <w:tcPr>
            <w:tcW w:w="2095" w:type="pct"/>
            <w:tcBorders>
              <w:top w:val="single" w:color="000000" w:sz="4" w:space="0"/>
              <w:left w:val="single" w:color="000000" w:sz="4" w:space="0"/>
              <w:right w:val="single" w:color="000000" w:sz="4" w:space="0"/>
            </w:tcBorders>
            <w:shd w:val="clear" w:color="auto" w:fill="auto"/>
            <w:vAlign w:val="center"/>
          </w:tcPr>
          <w:p w14:paraId="337B0429">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森林覆盖率（%）</w:t>
            </w:r>
          </w:p>
        </w:tc>
        <w:tc>
          <w:tcPr>
            <w:tcW w:w="814" w:type="pct"/>
            <w:tcBorders>
              <w:top w:val="single" w:color="000000" w:sz="4" w:space="0"/>
              <w:left w:val="single" w:color="000000" w:sz="4" w:space="0"/>
              <w:right w:val="single" w:color="000000" w:sz="4" w:space="0"/>
            </w:tcBorders>
            <w:shd w:val="clear" w:color="auto" w:fill="auto"/>
            <w:noWrap/>
            <w:vAlign w:val="center"/>
          </w:tcPr>
          <w:p w14:paraId="3AC13E29">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73.11</w:t>
            </w:r>
          </w:p>
        </w:tc>
        <w:tc>
          <w:tcPr>
            <w:tcW w:w="927" w:type="pct"/>
            <w:tcBorders>
              <w:top w:val="single" w:color="000000" w:sz="4" w:space="0"/>
              <w:left w:val="single" w:color="000000" w:sz="4" w:space="0"/>
              <w:right w:val="single" w:color="000000" w:sz="4" w:space="0"/>
            </w:tcBorders>
            <w:shd w:val="clear" w:color="auto" w:fill="auto"/>
            <w:vAlign w:val="center"/>
          </w:tcPr>
          <w:p w14:paraId="5089441A">
            <w:pPr>
              <w:pStyle w:val="16"/>
              <w:bidi w:val="0"/>
              <w:ind w:left="0" w:leftChars="0" w:firstLine="0" w:firstLineChars="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不低于现状</w:t>
            </w:r>
          </w:p>
        </w:tc>
        <w:tc>
          <w:tcPr>
            <w:tcW w:w="459" w:type="pct"/>
            <w:tcBorders>
              <w:top w:val="single" w:color="000000" w:sz="4" w:space="0"/>
              <w:left w:val="single" w:color="000000" w:sz="4" w:space="0"/>
              <w:right w:val="single" w:color="000000" w:sz="4" w:space="0"/>
            </w:tcBorders>
            <w:shd w:val="clear" w:color="auto" w:fill="auto"/>
            <w:vAlign w:val="center"/>
          </w:tcPr>
          <w:p w14:paraId="5C52A948">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约束性</w:t>
            </w:r>
          </w:p>
        </w:tc>
      </w:tr>
      <w:tr w14:paraId="178BC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76FC4A">
            <w:pPr>
              <w:pStyle w:val="16"/>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p>
        </w:tc>
        <w:tc>
          <w:tcPr>
            <w:tcW w:w="351" w:type="pct"/>
            <w:vMerge w:val="restart"/>
            <w:tcBorders>
              <w:top w:val="single" w:color="000000" w:sz="4" w:space="0"/>
              <w:left w:val="single" w:color="auto" w:sz="4" w:space="0"/>
              <w:right w:val="single" w:color="000000" w:sz="4" w:space="0"/>
            </w:tcBorders>
            <w:shd w:val="clear" w:color="auto" w:fill="auto"/>
            <w:noWrap/>
            <w:vAlign w:val="center"/>
          </w:tcPr>
          <w:p w14:paraId="3B08C0C2">
            <w:pPr>
              <w:pStyle w:val="16"/>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一流生态环境</w:t>
            </w:r>
          </w:p>
        </w:tc>
        <w:tc>
          <w:tcPr>
            <w:tcW w:w="20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1E413">
            <w:pPr>
              <w:pStyle w:val="16"/>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市县环境空气质量优良天数比例（%）</w:t>
            </w:r>
          </w:p>
        </w:tc>
        <w:tc>
          <w:tcPr>
            <w:tcW w:w="8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81B82">
            <w:pPr>
              <w:pStyle w:val="16"/>
              <w:bidi w:val="0"/>
              <w:rPr>
                <w:rFonts w:hint="default" w:ascii="Times New Roman" w:hAnsi="Times New Roman"/>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98.3</w:t>
            </w:r>
          </w:p>
        </w:tc>
        <w:tc>
          <w:tcPr>
            <w:tcW w:w="9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CB138">
            <w:pPr>
              <w:pStyle w:val="16"/>
              <w:bidi w:val="0"/>
              <w:ind w:left="0" w:leftChars="0" w:firstLine="0" w:firstLineChars="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完成省下达目标</w:t>
            </w:r>
          </w:p>
        </w:tc>
        <w:tc>
          <w:tcPr>
            <w:tcW w:w="4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0BFB1">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预期性</w:t>
            </w:r>
          </w:p>
        </w:tc>
      </w:tr>
      <w:tr w14:paraId="7C089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4D0DF7">
            <w:pPr>
              <w:pStyle w:val="16"/>
              <w:bidi w:val="0"/>
              <w:rPr>
                <w:rFonts w:hint="default" w:eastAsia="仿宋_GB2312"/>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w:t>
            </w:r>
          </w:p>
        </w:tc>
        <w:tc>
          <w:tcPr>
            <w:tcW w:w="351" w:type="pct"/>
            <w:vMerge w:val="continue"/>
            <w:tcBorders>
              <w:left w:val="single" w:color="auto" w:sz="4" w:space="0"/>
              <w:right w:val="single" w:color="000000" w:sz="4" w:space="0"/>
            </w:tcBorders>
            <w:shd w:val="clear" w:color="auto" w:fill="auto"/>
            <w:noWrap/>
            <w:vAlign w:val="center"/>
          </w:tcPr>
          <w:p w14:paraId="5AF45819">
            <w:pPr>
              <w:pStyle w:val="16"/>
              <w:bidi w:val="0"/>
              <w:rPr>
                <w:rFonts w:hint="eastAsia"/>
                <w:color w:val="000000" w:themeColor="text1"/>
                <w14:textFill>
                  <w14:solidFill>
                    <w14:schemeClr w14:val="tx1"/>
                  </w14:solidFill>
                </w14:textFill>
              </w:rPr>
            </w:pPr>
          </w:p>
        </w:tc>
        <w:tc>
          <w:tcPr>
            <w:tcW w:w="20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12035">
            <w:pPr>
              <w:pStyle w:val="16"/>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市县细颗粒物（PM</w:t>
            </w:r>
            <w:r>
              <w:rPr>
                <w:rFonts w:hint="eastAsia" w:ascii="Times New Roman" w:hAnsi="Times New Roman" w:eastAsia="仿宋_GB2312" w:cstheme="minorBidi"/>
                <w:color w:val="000000" w:themeColor="text1"/>
                <w:kern w:val="2"/>
                <w:sz w:val="32"/>
                <w:szCs w:val="22"/>
                <w:vertAlign w:val="subscript"/>
                <w:lang w:val="en-US" w:eastAsia="zh-CN" w:bidi="ar-SA"/>
                <w14:textFill>
                  <w14:solidFill>
                    <w14:schemeClr w14:val="tx1"/>
                  </w14:solidFill>
                </w14:textFill>
              </w:rPr>
              <w:t>2.5</w:t>
            </w:r>
            <w:r>
              <w:rPr>
                <w:rFonts w:hint="eastAsia"/>
                <w:color w:val="000000" w:themeColor="text1"/>
                <w:lang w:val="en-US" w:eastAsia="zh-CN"/>
                <w14:textFill>
                  <w14:solidFill>
                    <w14:schemeClr w14:val="tx1"/>
                  </w14:solidFill>
                </w14:textFill>
              </w:rPr>
              <w:t>）年均浓度</w:t>
            </w:r>
          </w:p>
          <w:p w14:paraId="2A72E4DF">
            <w:pPr>
              <w:pStyle w:val="16"/>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（μg/m³）</w:t>
            </w:r>
          </w:p>
        </w:tc>
        <w:tc>
          <w:tcPr>
            <w:tcW w:w="8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16710">
            <w:pPr>
              <w:pStyle w:val="16"/>
              <w:bidi w:val="0"/>
              <w:rPr>
                <w:rFonts w:hint="default" w:ascii="Times New Roman" w:hAnsi="Times New Roman"/>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12.</w:t>
            </w:r>
            <w:r>
              <w:rPr>
                <w:rFonts w:hint="eastAsia"/>
                <w:color w:val="000000" w:themeColor="text1"/>
                <w:lang w:val="en-US" w:eastAsia="zh-CN"/>
                <w14:textFill>
                  <w14:solidFill>
                    <w14:schemeClr w14:val="tx1"/>
                  </w14:solidFill>
                </w14:textFill>
              </w:rPr>
              <w:t>6</w:t>
            </w:r>
          </w:p>
        </w:tc>
        <w:tc>
          <w:tcPr>
            <w:tcW w:w="9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4ACCF">
            <w:pPr>
              <w:pStyle w:val="16"/>
              <w:bidi w:val="0"/>
              <w:ind w:left="0" w:leftChars="0" w:firstLine="0" w:firstLineChars="0"/>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保持稳定或持续下降</w:t>
            </w:r>
          </w:p>
        </w:tc>
        <w:tc>
          <w:tcPr>
            <w:tcW w:w="4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A1974">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约束性</w:t>
            </w:r>
          </w:p>
        </w:tc>
      </w:tr>
      <w:tr w14:paraId="0EA36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06C879">
            <w:pPr>
              <w:pStyle w:val="16"/>
              <w:bidi w:val="0"/>
              <w:rPr>
                <w:rFonts w:hint="default" w:eastAsia="仿宋_GB2312"/>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5</w:t>
            </w:r>
          </w:p>
        </w:tc>
        <w:tc>
          <w:tcPr>
            <w:tcW w:w="351" w:type="pct"/>
            <w:vMerge w:val="continue"/>
            <w:tcBorders>
              <w:left w:val="single" w:color="auto" w:sz="4" w:space="0"/>
              <w:right w:val="single" w:color="000000" w:sz="4" w:space="0"/>
            </w:tcBorders>
            <w:shd w:val="clear" w:color="auto" w:fill="auto"/>
            <w:noWrap/>
            <w:vAlign w:val="center"/>
          </w:tcPr>
          <w:p w14:paraId="2201A80E">
            <w:pPr>
              <w:pStyle w:val="16"/>
              <w:bidi w:val="0"/>
              <w:rPr>
                <w:rFonts w:hint="eastAsia"/>
                <w:color w:val="000000" w:themeColor="text1"/>
                <w14:textFill>
                  <w14:solidFill>
                    <w14:schemeClr w14:val="tx1"/>
                  </w14:solidFill>
                </w14:textFill>
              </w:rPr>
            </w:pPr>
          </w:p>
        </w:tc>
        <w:tc>
          <w:tcPr>
            <w:tcW w:w="20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01085">
            <w:pPr>
              <w:pStyle w:val="16"/>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优良水体比例（%）</w:t>
            </w:r>
            <w:r>
              <w:rPr>
                <w:rStyle w:val="24"/>
                <w:rFonts w:hint="eastAsia" w:ascii="Times New Roman" w:hAnsi="Times New Roman" w:eastAsia="宋体" w:cs="Times New Roman"/>
                <w:color w:val="000000" w:themeColor="text1"/>
                <w:kern w:val="2"/>
                <w:sz w:val="32"/>
                <w:szCs w:val="22"/>
                <w:lang w:val="en-US" w:eastAsia="zh-CN" w:bidi="ar-SA"/>
                <w14:textFill>
                  <w14:solidFill>
                    <w14:schemeClr w14:val="tx1"/>
                  </w14:solidFill>
                </w14:textFill>
              </w:rPr>
              <w:t>#</w:t>
            </w:r>
          </w:p>
        </w:tc>
        <w:tc>
          <w:tcPr>
            <w:tcW w:w="8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A3A57">
            <w:pPr>
              <w:pStyle w:val="16"/>
              <w:bidi w:val="0"/>
              <w:rPr>
                <w:rFonts w:hint="default" w:ascii="Times New Roman" w:hAnsi="Times New Roman" w:eastAsia="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14:textFill>
                  <w14:solidFill>
                    <w14:schemeClr w14:val="tx1"/>
                  </w14:solidFill>
                </w14:textFill>
              </w:rPr>
              <w:t>—</w:t>
            </w:r>
          </w:p>
        </w:tc>
        <w:tc>
          <w:tcPr>
            <w:tcW w:w="9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DCDEB">
            <w:pPr>
              <w:pStyle w:val="16"/>
              <w:bidi w:val="0"/>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完成省下达目标</w:t>
            </w:r>
          </w:p>
        </w:tc>
        <w:tc>
          <w:tcPr>
            <w:tcW w:w="4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C6BD8">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约束性</w:t>
            </w:r>
          </w:p>
        </w:tc>
      </w:tr>
      <w:tr w14:paraId="4A16A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07D75C">
            <w:pPr>
              <w:pStyle w:val="16"/>
              <w:bidi w:val="0"/>
              <w:rPr>
                <w:rFonts w:hint="default" w:eastAsia="仿宋_GB2312"/>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6</w:t>
            </w:r>
          </w:p>
        </w:tc>
        <w:tc>
          <w:tcPr>
            <w:tcW w:w="351" w:type="pct"/>
            <w:vMerge w:val="continue"/>
            <w:tcBorders>
              <w:left w:val="single" w:color="auto" w:sz="4" w:space="0"/>
              <w:right w:val="single" w:color="000000" w:sz="4" w:space="0"/>
            </w:tcBorders>
            <w:shd w:val="clear" w:color="auto" w:fill="auto"/>
            <w:noWrap/>
            <w:vAlign w:val="center"/>
          </w:tcPr>
          <w:p w14:paraId="40D361C3">
            <w:pPr>
              <w:pStyle w:val="16"/>
              <w:bidi w:val="0"/>
              <w:rPr>
                <w:rFonts w:hint="eastAsia"/>
                <w:color w:val="000000" w:themeColor="text1"/>
                <w14:textFill>
                  <w14:solidFill>
                    <w14:schemeClr w14:val="tx1"/>
                  </w14:solidFill>
                </w14:textFill>
              </w:rPr>
            </w:pPr>
          </w:p>
        </w:tc>
        <w:tc>
          <w:tcPr>
            <w:tcW w:w="20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110AF">
            <w:pPr>
              <w:pStyle w:val="16"/>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地表水达到或好于Ⅲ类水体比例（%）</w:t>
            </w:r>
          </w:p>
        </w:tc>
        <w:tc>
          <w:tcPr>
            <w:tcW w:w="8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F0902">
            <w:pPr>
              <w:pStyle w:val="16"/>
              <w:bidi w:val="0"/>
              <w:rPr>
                <w:rFonts w:hint="default" w:ascii="Times New Roman" w:hAnsi="Times New Roman"/>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100</w:t>
            </w:r>
          </w:p>
        </w:tc>
        <w:tc>
          <w:tcPr>
            <w:tcW w:w="9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00416">
            <w:pPr>
              <w:pStyle w:val="16"/>
              <w:bidi w:val="0"/>
              <w:rPr>
                <w:rFonts w:hint="eastAsia" w:eastAsia="仿宋_GB2312"/>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完成省下达任务</w:t>
            </w:r>
          </w:p>
        </w:tc>
        <w:tc>
          <w:tcPr>
            <w:tcW w:w="4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5F502">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预期性</w:t>
            </w:r>
          </w:p>
        </w:tc>
      </w:tr>
      <w:tr w14:paraId="3C59E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06F0AC">
            <w:pPr>
              <w:pStyle w:val="16"/>
              <w:bidi w:val="0"/>
              <w:rPr>
                <w:rFonts w:hint="default" w:eastAsia="仿宋_GB2312"/>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7</w:t>
            </w:r>
          </w:p>
        </w:tc>
        <w:tc>
          <w:tcPr>
            <w:tcW w:w="351" w:type="pct"/>
            <w:vMerge w:val="continue"/>
            <w:tcBorders>
              <w:left w:val="single" w:color="auto" w:sz="4" w:space="0"/>
              <w:right w:val="single" w:color="000000" w:sz="4" w:space="0"/>
            </w:tcBorders>
            <w:shd w:val="clear" w:color="auto" w:fill="auto"/>
            <w:noWrap/>
            <w:vAlign w:val="center"/>
          </w:tcPr>
          <w:p w14:paraId="72EF8C4D">
            <w:pPr>
              <w:pStyle w:val="16"/>
              <w:bidi w:val="0"/>
              <w:rPr>
                <w:rFonts w:hint="eastAsia"/>
                <w:color w:val="000000" w:themeColor="text1"/>
                <w14:textFill>
                  <w14:solidFill>
                    <w14:schemeClr w14:val="tx1"/>
                  </w14:solidFill>
                </w14:textFill>
              </w:rPr>
            </w:pPr>
          </w:p>
        </w:tc>
        <w:tc>
          <w:tcPr>
            <w:tcW w:w="20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2DED8">
            <w:pPr>
              <w:pStyle w:val="16"/>
              <w:bidi w:val="0"/>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地下水优良水质比例（%）</w:t>
            </w:r>
            <w:r>
              <w:rPr>
                <w:rStyle w:val="24"/>
                <w:rFonts w:hint="eastAsia" w:ascii="Times New Roman" w:hAnsi="Times New Roman" w:eastAsia="宋体" w:cs="Times New Roman"/>
                <w:color w:val="000000" w:themeColor="text1"/>
                <w:kern w:val="2"/>
                <w:sz w:val="32"/>
                <w:szCs w:val="22"/>
                <w:lang w:val="en-US" w:eastAsia="zh-CN" w:bidi="ar-SA"/>
                <w14:textFill>
                  <w14:solidFill>
                    <w14:schemeClr w14:val="tx1"/>
                  </w14:solidFill>
                </w14:textFill>
              </w:rPr>
              <w:t>#</w:t>
            </w:r>
          </w:p>
        </w:tc>
        <w:tc>
          <w:tcPr>
            <w:tcW w:w="8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E8479">
            <w:pPr>
              <w:pStyle w:val="16"/>
              <w:bidi w:val="0"/>
              <w:rPr>
                <w:rFonts w:hint="eastAsia" w:ascii="Times New Roman" w:hAnsi="Times New Roman"/>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14:textFill>
                  <w14:solidFill>
                    <w14:schemeClr w14:val="tx1"/>
                  </w14:solidFill>
                </w14:textFill>
              </w:rPr>
              <w:t>—</w:t>
            </w:r>
          </w:p>
        </w:tc>
        <w:tc>
          <w:tcPr>
            <w:tcW w:w="9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CE055">
            <w:pPr>
              <w:pStyle w:val="16"/>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完成省下达目标</w:t>
            </w:r>
          </w:p>
        </w:tc>
        <w:tc>
          <w:tcPr>
            <w:tcW w:w="4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9B01C">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预期性</w:t>
            </w:r>
          </w:p>
        </w:tc>
      </w:tr>
      <w:tr w14:paraId="1F957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DAAC7E">
            <w:pPr>
              <w:pStyle w:val="16"/>
              <w:bidi w:val="0"/>
              <w:rPr>
                <w:rFonts w:hint="default" w:eastAsia="仿宋_GB2312"/>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8</w:t>
            </w:r>
          </w:p>
        </w:tc>
        <w:tc>
          <w:tcPr>
            <w:tcW w:w="351" w:type="pct"/>
            <w:vMerge w:val="continue"/>
            <w:tcBorders>
              <w:left w:val="single" w:color="auto" w:sz="4" w:space="0"/>
              <w:bottom w:val="single" w:color="000000" w:sz="4" w:space="0"/>
              <w:right w:val="single" w:color="000000" w:sz="4" w:space="0"/>
            </w:tcBorders>
            <w:shd w:val="clear" w:color="auto" w:fill="auto"/>
            <w:noWrap/>
            <w:vAlign w:val="center"/>
          </w:tcPr>
          <w:p w14:paraId="540AEE86">
            <w:pPr>
              <w:pStyle w:val="16"/>
              <w:bidi w:val="0"/>
              <w:rPr>
                <w:rFonts w:hint="eastAsia"/>
                <w:color w:val="000000" w:themeColor="text1"/>
                <w14:textFill>
                  <w14:solidFill>
                    <w14:schemeClr w14:val="tx1"/>
                  </w14:solidFill>
                </w14:textFill>
              </w:rPr>
            </w:pPr>
          </w:p>
        </w:tc>
        <w:tc>
          <w:tcPr>
            <w:tcW w:w="20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36043">
            <w:pPr>
              <w:pStyle w:val="16"/>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氮氧化物、挥发性有机物、化学需氧量、总磷四项主要污染物重点工程减排量（万吨）</w:t>
            </w:r>
          </w:p>
        </w:tc>
        <w:tc>
          <w:tcPr>
            <w:tcW w:w="8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21BC7">
            <w:pPr>
              <w:pStyle w:val="16"/>
              <w:bidi w:val="0"/>
              <w:rPr>
                <w:rFonts w:hint="default" w:eastAsia="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14:textFill>
                  <w14:solidFill>
                    <w14:schemeClr w14:val="tx1"/>
                  </w14:solidFill>
                </w14:textFill>
              </w:rPr>
              <w:t>—</w:t>
            </w:r>
          </w:p>
        </w:tc>
        <w:tc>
          <w:tcPr>
            <w:tcW w:w="9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509AF">
            <w:pPr>
              <w:pStyle w:val="16"/>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完成省下达目标</w:t>
            </w:r>
          </w:p>
        </w:tc>
        <w:tc>
          <w:tcPr>
            <w:tcW w:w="4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35768">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约束性</w:t>
            </w:r>
          </w:p>
        </w:tc>
      </w:tr>
      <w:tr w14:paraId="49E45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B667FF">
            <w:pPr>
              <w:pStyle w:val="16"/>
              <w:bidi w:val="0"/>
              <w:ind w:left="0" w:leftChars="0" w:firstLine="0" w:firstLineChars="0"/>
              <w:rPr>
                <w:rFonts w:hint="default"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stheme="minorBidi"/>
                <w:color w:val="000000" w:themeColor="text1"/>
                <w:kern w:val="2"/>
                <w:sz w:val="24"/>
                <w:szCs w:val="22"/>
                <w:lang w:val="en-US" w:eastAsia="zh-CN" w:bidi="ar-SA"/>
                <w14:textFill>
                  <w14:solidFill>
                    <w14:schemeClr w14:val="tx1"/>
                  </w14:solidFill>
                </w14:textFill>
              </w:rPr>
              <w:t>9</w:t>
            </w:r>
          </w:p>
        </w:tc>
        <w:tc>
          <w:tcPr>
            <w:tcW w:w="351" w:type="pct"/>
            <w:vMerge w:val="restart"/>
            <w:tcBorders>
              <w:top w:val="single" w:color="000000" w:sz="4" w:space="0"/>
              <w:left w:val="single" w:color="auto" w:sz="4" w:space="0"/>
              <w:right w:val="single" w:color="000000" w:sz="4" w:space="0"/>
            </w:tcBorders>
            <w:shd w:val="clear" w:color="auto" w:fill="auto"/>
            <w:noWrap/>
            <w:vAlign w:val="center"/>
          </w:tcPr>
          <w:p w14:paraId="47F17972">
            <w:pPr>
              <w:pStyle w:val="16"/>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绿色低碳发展</w:t>
            </w:r>
          </w:p>
        </w:tc>
        <w:tc>
          <w:tcPr>
            <w:tcW w:w="20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BB9B0">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单位地区生产总值二氧化碳排放降低（%）</w:t>
            </w:r>
          </w:p>
        </w:tc>
        <w:tc>
          <w:tcPr>
            <w:tcW w:w="8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6AF48">
            <w:pPr>
              <w:pStyle w:val="16"/>
              <w:bidi w:val="0"/>
              <w:ind w:left="0" w:leftChars="0" w:firstLine="0" w:firstLineChars="0"/>
              <w:rPr>
                <w:rFonts w:hint="default"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21.61*</w:t>
            </w:r>
          </w:p>
        </w:tc>
        <w:tc>
          <w:tcPr>
            <w:tcW w:w="9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640AE">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完成省下达目标</w:t>
            </w:r>
          </w:p>
        </w:tc>
        <w:tc>
          <w:tcPr>
            <w:tcW w:w="4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2D61A">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约束性</w:t>
            </w:r>
          </w:p>
        </w:tc>
      </w:tr>
      <w:tr w14:paraId="20B7D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EAFFE3">
            <w:pPr>
              <w:pStyle w:val="16"/>
              <w:bidi w:val="0"/>
              <w:ind w:left="0" w:leftChars="0" w:firstLine="0" w:firstLineChars="0"/>
              <w:rPr>
                <w:rFonts w:hint="default"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10</w:t>
            </w:r>
          </w:p>
        </w:tc>
        <w:tc>
          <w:tcPr>
            <w:tcW w:w="351" w:type="pct"/>
            <w:vMerge w:val="continue"/>
            <w:tcBorders>
              <w:left w:val="single" w:color="auto" w:sz="4" w:space="0"/>
              <w:right w:val="single" w:color="000000" w:sz="4" w:space="0"/>
            </w:tcBorders>
            <w:shd w:val="clear" w:color="auto" w:fill="auto"/>
            <w:noWrap/>
            <w:vAlign w:val="center"/>
          </w:tcPr>
          <w:p w14:paraId="3648EB59">
            <w:pPr>
              <w:pStyle w:val="16"/>
              <w:bidi w:val="0"/>
              <w:rPr>
                <w:rFonts w:hint="eastAsia"/>
                <w:color w:val="000000" w:themeColor="text1"/>
                <w14:textFill>
                  <w14:solidFill>
                    <w14:schemeClr w14:val="tx1"/>
                  </w14:solidFill>
                </w14:textFill>
              </w:rPr>
            </w:pPr>
          </w:p>
        </w:tc>
        <w:tc>
          <w:tcPr>
            <w:tcW w:w="20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2DBCE">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非化石能源占能源消费总量比重（%）</w:t>
            </w:r>
            <w:r>
              <w:rPr>
                <w:rStyle w:val="24"/>
                <w:rFonts w:hint="eastAsia" w:ascii="Times New Roman" w:hAnsi="Times New Roman" w:eastAsia="宋体" w:cs="Times New Roman"/>
                <w:color w:val="000000" w:themeColor="text1"/>
                <w:kern w:val="2"/>
                <w:sz w:val="32"/>
                <w:szCs w:val="22"/>
                <w:lang w:val="en-US" w:eastAsia="zh-CN" w:bidi="ar-SA"/>
                <w14:textFill>
                  <w14:solidFill>
                    <w14:schemeClr w14:val="tx1"/>
                  </w14:solidFill>
                </w14:textFill>
              </w:rPr>
              <w:t>#</w:t>
            </w:r>
          </w:p>
        </w:tc>
        <w:tc>
          <w:tcPr>
            <w:tcW w:w="8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6E202">
            <w:pPr>
              <w:pStyle w:val="16"/>
              <w:bidi w:val="0"/>
              <w:ind w:left="0" w:leftChars="0" w:firstLine="0" w:firstLineChars="0"/>
              <w:rPr>
                <w:rFonts w:hint="default"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14:textFill>
                  <w14:solidFill>
                    <w14:schemeClr w14:val="tx1"/>
                  </w14:solidFill>
                </w14:textFill>
              </w:rPr>
              <w:t>—</w:t>
            </w:r>
          </w:p>
        </w:tc>
        <w:tc>
          <w:tcPr>
            <w:tcW w:w="9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09184">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完成省下达目标</w:t>
            </w:r>
          </w:p>
        </w:tc>
        <w:tc>
          <w:tcPr>
            <w:tcW w:w="4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43711">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约束性</w:t>
            </w:r>
          </w:p>
        </w:tc>
      </w:tr>
      <w:tr w14:paraId="4512B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E74E36">
            <w:pPr>
              <w:pStyle w:val="16"/>
              <w:bidi w:val="0"/>
              <w:ind w:left="0" w:leftChars="0" w:firstLine="0" w:firstLineChars="0"/>
              <w:rPr>
                <w:rFonts w:hint="default"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11</w:t>
            </w:r>
          </w:p>
        </w:tc>
        <w:tc>
          <w:tcPr>
            <w:tcW w:w="351" w:type="pct"/>
            <w:vMerge w:val="continue"/>
            <w:tcBorders>
              <w:left w:val="single" w:color="auto" w:sz="4" w:space="0"/>
              <w:right w:val="single" w:color="000000" w:sz="4" w:space="0"/>
            </w:tcBorders>
            <w:shd w:val="clear" w:color="auto" w:fill="auto"/>
            <w:noWrap/>
            <w:vAlign w:val="center"/>
          </w:tcPr>
          <w:p w14:paraId="7CCC60FA">
            <w:pPr>
              <w:pStyle w:val="16"/>
              <w:bidi w:val="0"/>
              <w:rPr>
                <w:rFonts w:hint="eastAsia"/>
                <w:color w:val="000000" w:themeColor="text1"/>
                <w14:textFill>
                  <w14:solidFill>
                    <w14:schemeClr w14:val="tx1"/>
                  </w14:solidFill>
                </w14:textFill>
              </w:rPr>
            </w:pPr>
          </w:p>
        </w:tc>
        <w:tc>
          <w:tcPr>
            <w:tcW w:w="2095" w:type="pct"/>
            <w:tcBorders>
              <w:top w:val="single" w:color="000000" w:sz="4" w:space="0"/>
              <w:left w:val="single" w:color="000000" w:sz="4" w:space="0"/>
              <w:bottom w:val="single" w:color="auto" w:sz="4" w:space="0"/>
              <w:right w:val="single" w:color="000000" w:sz="4" w:space="0"/>
            </w:tcBorders>
            <w:shd w:val="clear" w:color="auto" w:fill="auto"/>
            <w:vAlign w:val="center"/>
          </w:tcPr>
          <w:p w14:paraId="5D48B4E5">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星级绿色建筑占新建建筑比例（%）</w:t>
            </w:r>
            <w:r>
              <w:rPr>
                <w:rStyle w:val="24"/>
                <w:rFonts w:hint="eastAsia" w:ascii="Times New Roman" w:hAnsi="Times New Roman" w:eastAsia="宋体" w:cs="Times New Roman"/>
                <w:color w:val="000000" w:themeColor="text1"/>
                <w:kern w:val="2"/>
                <w:sz w:val="32"/>
                <w:szCs w:val="22"/>
                <w:lang w:val="en-US" w:eastAsia="zh-CN" w:bidi="ar-SA"/>
                <w14:textFill>
                  <w14:solidFill>
                    <w14:schemeClr w14:val="tx1"/>
                  </w14:solidFill>
                </w14:textFill>
              </w:rPr>
              <w:t>#</w:t>
            </w:r>
          </w:p>
        </w:tc>
        <w:tc>
          <w:tcPr>
            <w:tcW w:w="814"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153574A7">
            <w:pPr>
              <w:pStyle w:val="16"/>
              <w:bidi w:val="0"/>
              <w:ind w:left="0" w:leftChars="0" w:firstLine="0" w:firstLineChars="0"/>
              <w:rPr>
                <w:rFonts w:hint="default"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14:textFill>
                  <w14:solidFill>
                    <w14:schemeClr w14:val="tx1"/>
                  </w14:solidFill>
                </w14:textFill>
              </w:rPr>
              <w:t>—</w:t>
            </w:r>
          </w:p>
        </w:tc>
        <w:tc>
          <w:tcPr>
            <w:tcW w:w="927" w:type="pct"/>
            <w:tcBorders>
              <w:top w:val="single" w:color="000000" w:sz="4" w:space="0"/>
              <w:left w:val="single" w:color="000000" w:sz="4" w:space="0"/>
              <w:bottom w:val="single" w:color="auto" w:sz="4" w:space="0"/>
              <w:right w:val="single" w:color="000000" w:sz="4" w:space="0"/>
            </w:tcBorders>
            <w:shd w:val="clear" w:color="auto" w:fill="auto"/>
            <w:vAlign w:val="center"/>
          </w:tcPr>
          <w:p w14:paraId="4B310E28">
            <w:pPr>
              <w:pStyle w:val="16"/>
              <w:bidi w:val="0"/>
              <w:ind w:left="0" w:leftChars="0" w:firstLine="0" w:firstLineChars="0"/>
              <w:rPr>
                <w:rFonts w:hint="default"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完成省下达目标</w:t>
            </w:r>
          </w:p>
        </w:tc>
        <w:tc>
          <w:tcPr>
            <w:tcW w:w="459" w:type="pct"/>
            <w:tcBorders>
              <w:top w:val="single" w:color="000000" w:sz="4" w:space="0"/>
              <w:left w:val="single" w:color="000000" w:sz="4" w:space="0"/>
              <w:bottom w:val="single" w:color="auto" w:sz="4" w:space="0"/>
              <w:right w:val="single" w:color="000000" w:sz="4" w:space="0"/>
            </w:tcBorders>
            <w:shd w:val="clear" w:color="auto" w:fill="auto"/>
            <w:vAlign w:val="center"/>
          </w:tcPr>
          <w:p w14:paraId="3CCFE916">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预期性</w:t>
            </w:r>
          </w:p>
        </w:tc>
      </w:tr>
      <w:tr w14:paraId="310B3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F41BD2">
            <w:pPr>
              <w:pStyle w:val="16"/>
              <w:bidi w:val="0"/>
              <w:ind w:left="0" w:leftChars="0" w:firstLine="0" w:firstLineChars="0"/>
              <w:rPr>
                <w:rFonts w:hint="default"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12</w:t>
            </w:r>
          </w:p>
        </w:tc>
        <w:tc>
          <w:tcPr>
            <w:tcW w:w="351" w:type="pct"/>
            <w:vMerge w:val="continue"/>
            <w:tcBorders>
              <w:left w:val="single" w:color="auto" w:sz="4" w:space="0"/>
              <w:bottom w:val="single" w:color="auto" w:sz="4" w:space="0"/>
              <w:right w:val="single" w:color="000000" w:sz="4" w:space="0"/>
            </w:tcBorders>
            <w:shd w:val="clear" w:color="auto" w:fill="auto"/>
            <w:noWrap/>
            <w:vAlign w:val="center"/>
          </w:tcPr>
          <w:p w14:paraId="3AEB123D">
            <w:pPr>
              <w:pStyle w:val="16"/>
              <w:bidi w:val="0"/>
              <w:rPr>
                <w:rFonts w:hint="eastAsia"/>
                <w:color w:val="000000" w:themeColor="text1"/>
                <w14:textFill>
                  <w14:solidFill>
                    <w14:schemeClr w14:val="tx1"/>
                  </w14:solidFill>
                </w14:textFill>
              </w:rPr>
            </w:pPr>
          </w:p>
        </w:tc>
        <w:tc>
          <w:tcPr>
            <w:tcW w:w="2095" w:type="pct"/>
            <w:tcBorders>
              <w:top w:val="single" w:color="000000" w:sz="4" w:space="0"/>
              <w:left w:val="single" w:color="000000" w:sz="4" w:space="0"/>
              <w:bottom w:val="single" w:color="auto" w:sz="4" w:space="0"/>
              <w:right w:val="single" w:color="000000" w:sz="4" w:space="0"/>
            </w:tcBorders>
            <w:shd w:val="clear" w:color="auto" w:fill="auto"/>
            <w:vAlign w:val="center"/>
          </w:tcPr>
          <w:p w14:paraId="503F9E31">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 xml:space="preserve"> 新能源汽车保有量占比（%）</w:t>
            </w:r>
          </w:p>
        </w:tc>
        <w:tc>
          <w:tcPr>
            <w:tcW w:w="814"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49B2B790">
            <w:pPr>
              <w:pStyle w:val="16"/>
              <w:bidi w:val="0"/>
              <w:ind w:left="0" w:leftChars="0" w:firstLine="0" w:firstLineChars="0"/>
              <w:rPr>
                <w:rFonts w:hint="default"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14:textFill>
                  <w14:solidFill>
                    <w14:schemeClr w14:val="tx1"/>
                  </w14:solidFill>
                </w14:textFill>
              </w:rPr>
              <w:t>—</w:t>
            </w:r>
          </w:p>
        </w:tc>
        <w:tc>
          <w:tcPr>
            <w:tcW w:w="927" w:type="pct"/>
            <w:tcBorders>
              <w:top w:val="single" w:color="000000" w:sz="4" w:space="0"/>
              <w:left w:val="single" w:color="000000" w:sz="4" w:space="0"/>
              <w:bottom w:val="single" w:color="auto" w:sz="4" w:space="0"/>
              <w:right w:val="single" w:color="000000" w:sz="4" w:space="0"/>
            </w:tcBorders>
            <w:shd w:val="clear" w:color="auto" w:fill="auto"/>
            <w:vAlign w:val="center"/>
          </w:tcPr>
          <w:p w14:paraId="745F7E9B">
            <w:pPr>
              <w:pStyle w:val="16"/>
              <w:bidi w:val="0"/>
              <w:ind w:left="0" w:leftChars="0" w:firstLine="0" w:firstLineChars="0"/>
              <w:rPr>
                <w:rFonts w:hint="default"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完成省下达目标</w:t>
            </w:r>
          </w:p>
        </w:tc>
        <w:tc>
          <w:tcPr>
            <w:tcW w:w="459" w:type="pct"/>
            <w:tcBorders>
              <w:top w:val="single" w:color="000000" w:sz="4" w:space="0"/>
              <w:left w:val="single" w:color="000000" w:sz="4" w:space="0"/>
              <w:bottom w:val="single" w:color="auto" w:sz="4" w:space="0"/>
              <w:right w:val="single" w:color="000000" w:sz="4" w:space="0"/>
            </w:tcBorders>
            <w:shd w:val="clear" w:color="auto" w:fill="auto"/>
            <w:vAlign w:val="center"/>
          </w:tcPr>
          <w:p w14:paraId="108FD4EF">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预期性</w:t>
            </w:r>
          </w:p>
        </w:tc>
      </w:tr>
      <w:tr w14:paraId="1457C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3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CF82C1">
            <w:pPr>
              <w:pStyle w:val="16"/>
              <w:bidi w:val="0"/>
              <w:ind w:left="0" w:leftChars="0" w:firstLine="0" w:firstLineChars="0"/>
              <w:rPr>
                <w:rFonts w:hint="default"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13</w:t>
            </w:r>
          </w:p>
        </w:tc>
        <w:tc>
          <w:tcPr>
            <w:tcW w:w="351"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72C97C7">
            <w:pPr>
              <w:pStyle w:val="16"/>
              <w:bidi w:val="0"/>
              <w:rPr>
                <w:rFonts w:hint="eastAsia" w:eastAsia="仿宋_GB2312"/>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资源高效利用</w:t>
            </w:r>
          </w:p>
        </w:tc>
        <w:tc>
          <w:tcPr>
            <w:tcW w:w="2095" w:type="pct"/>
            <w:tcBorders>
              <w:top w:val="single" w:color="auto" w:sz="4" w:space="0"/>
              <w:left w:val="single" w:color="auto" w:sz="4" w:space="0"/>
              <w:bottom w:val="single" w:color="auto" w:sz="4" w:space="0"/>
              <w:right w:val="single" w:color="auto" w:sz="4" w:space="0"/>
            </w:tcBorders>
            <w:shd w:val="clear" w:color="auto" w:fill="auto"/>
            <w:vAlign w:val="center"/>
          </w:tcPr>
          <w:p w14:paraId="5CDDF5B8">
            <w:pPr>
              <w:pStyle w:val="16"/>
              <w:bidi w:val="0"/>
              <w:ind w:left="0" w:leftChars="0" w:firstLine="0" w:firstLineChars="0"/>
              <w:rPr>
                <w:rFonts w:hint="default"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单位地区生产总值建设用地使用面积降低（%）</w:t>
            </w:r>
          </w:p>
        </w:tc>
        <w:tc>
          <w:tcPr>
            <w:tcW w:w="81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00E018">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19.4</w:t>
            </w:r>
          </w:p>
        </w:tc>
        <w:tc>
          <w:tcPr>
            <w:tcW w:w="927" w:type="pct"/>
            <w:tcBorders>
              <w:top w:val="single" w:color="auto" w:sz="4" w:space="0"/>
              <w:left w:val="single" w:color="auto" w:sz="4" w:space="0"/>
              <w:bottom w:val="single" w:color="auto" w:sz="4" w:space="0"/>
              <w:right w:val="single" w:color="auto" w:sz="4" w:space="0"/>
            </w:tcBorders>
            <w:shd w:val="clear" w:color="auto" w:fill="auto"/>
            <w:vAlign w:val="center"/>
          </w:tcPr>
          <w:p w14:paraId="21F63E29">
            <w:pPr>
              <w:pStyle w:val="16"/>
              <w:bidi w:val="0"/>
              <w:ind w:left="0" w:leftChars="0" w:firstLine="0" w:firstLineChars="0"/>
              <w:rPr>
                <w:rFonts w:hint="default"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完成省下达目标</w:t>
            </w:r>
          </w:p>
        </w:tc>
        <w:tc>
          <w:tcPr>
            <w:tcW w:w="459" w:type="pct"/>
            <w:tcBorders>
              <w:top w:val="single" w:color="auto" w:sz="4" w:space="0"/>
              <w:left w:val="single" w:color="auto" w:sz="4" w:space="0"/>
              <w:bottom w:val="single" w:color="auto" w:sz="4" w:space="0"/>
              <w:right w:val="single" w:color="auto" w:sz="4" w:space="0"/>
            </w:tcBorders>
            <w:shd w:val="clear" w:color="auto" w:fill="auto"/>
            <w:vAlign w:val="center"/>
          </w:tcPr>
          <w:p w14:paraId="3B358ED6">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约束性</w:t>
            </w:r>
          </w:p>
        </w:tc>
      </w:tr>
      <w:tr w14:paraId="36C3E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jc w:val="center"/>
        </w:trPr>
        <w:tc>
          <w:tcPr>
            <w:tcW w:w="3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F1F1B1">
            <w:pPr>
              <w:pStyle w:val="16"/>
              <w:bidi w:val="0"/>
              <w:ind w:left="0" w:leftChars="0" w:firstLine="0" w:firstLineChars="0"/>
              <w:rPr>
                <w:rFonts w:hint="default"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14</w:t>
            </w:r>
          </w:p>
        </w:tc>
        <w:tc>
          <w:tcPr>
            <w:tcW w:w="35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708E029">
            <w:pPr>
              <w:pStyle w:val="16"/>
              <w:bidi w:val="0"/>
              <w:rPr>
                <w:rFonts w:hint="eastAsia"/>
                <w:color w:val="000000" w:themeColor="text1"/>
                <w14:textFill>
                  <w14:solidFill>
                    <w14:schemeClr w14:val="tx1"/>
                  </w14:solidFill>
                </w14:textFill>
              </w:rPr>
            </w:pPr>
          </w:p>
        </w:tc>
        <w:tc>
          <w:tcPr>
            <w:tcW w:w="2095" w:type="pct"/>
            <w:vMerge w:val="restart"/>
            <w:tcBorders>
              <w:top w:val="single" w:color="auto" w:sz="4" w:space="0"/>
              <w:left w:val="single" w:color="auto" w:sz="4" w:space="0"/>
              <w:right w:val="single" w:color="auto" w:sz="4" w:space="0"/>
            </w:tcBorders>
            <w:shd w:val="clear" w:color="auto" w:fill="auto"/>
            <w:vAlign w:val="center"/>
          </w:tcPr>
          <w:p w14:paraId="01A3BA92">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单位地区生产总值用水量降低（%）</w:t>
            </w:r>
          </w:p>
        </w:tc>
        <w:tc>
          <w:tcPr>
            <w:tcW w:w="814" w:type="pct"/>
            <w:vMerge w:val="restart"/>
            <w:tcBorders>
              <w:top w:val="single" w:color="auto" w:sz="4" w:space="0"/>
              <w:left w:val="single" w:color="auto" w:sz="4" w:space="0"/>
              <w:right w:val="single" w:color="auto" w:sz="4" w:space="0"/>
            </w:tcBorders>
            <w:shd w:val="clear" w:color="auto" w:fill="auto"/>
            <w:noWrap/>
            <w:vAlign w:val="center"/>
          </w:tcPr>
          <w:p w14:paraId="7DF201EC">
            <w:pPr>
              <w:pStyle w:val="16"/>
              <w:bidi w:val="0"/>
              <w:ind w:left="0" w:leftChars="0" w:firstLine="0" w:firstLineChars="0"/>
              <w:rPr>
                <w:rFonts w:hint="default"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21.92</w:t>
            </w:r>
          </w:p>
        </w:tc>
        <w:tc>
          <w:tcPr>
            <w:tcW w:w="927" w:type="pct"/>
            <w:vMerge w:val="restart"/>
            <w:tcBorders>
              <w:top w:val="single" w:color="auto" w:sz="4" w:space="0"/>
              <w:left w:val="single" w:color="auto" w:sz="4" w:space="0"/>
              <w:right w:val="single" w:color="auto" w:sz="4" w:space="0"/>
            </w:tcBorders>
            <w:shd w:val="clear" w:color="auto" w:fill="auto"/>
            <w:vAlign w:val="center"/>
          </w:tcPr>
          <w:p w14:paraId="77D1996B">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完成省下达目标</w:t>
            </w:r>
          </w:p>
        </w:tc>
        <w:tc>
          <w:tcPr>
            <w:tcW w:w="459" w:type="pct"/>
            <w:vMerge w:val="restart"/>
            <w:tcBorders>
              <w:top w:val="single" w:color="auto" w:sz="4" w:space="0"/>
              <w:left w:val="single" w:color="auto" w:sz="4" w:space="0"/>
              <w:right w:val="single" w:color="auto" w:sz="4" w:space="0"/>
            </w:tcBorders>
            <w:shd w:val="clear" w:color="auto" w:fill="auto"/>
            <w:vAlign w:val="center"/>
          </w:tcPr>
          <w:p w14:paraId="7360F8D5">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约束性</w:t>
            </w:r>
          </w:p>
        </w:tc>
      </w:tr>
      <w:tr w14:paraId="66AC9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3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61E1D9">
            <w:pPr>
              <w:pStyle w:val="16"/>
              <w:bidi w:val="0"/>
              <w:ind w:left="0" w:leftChars="0" w:firstLine="0" w:firstLineChars="0"/>
              <w:rPr>
                <w:rFonts w:hint="default"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15</w:t>
            </w:r>
          </w:p>
        </w:tc>
        <w:tc>
          <w:tcPr>
            <w:tcW w:w="35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79284BF">
            <w:pPr>
              <w:pStyle w:val="16"/>
              <w:bidi w:val="0"/>
              <w:rPr>
                <w:rFonts w:hint="eastAsia"/>
                <w:color w:val="000000" w:themeColor="text1"/>
                <w14:textFill>
                  <w14:solidFill>
                    <w14:schemeClr w14:val="tx1"/>
                  </w14:solidFill>
                </w14:textFill>
              </w:rPr>
            </w:pPr>
          </w:p>
        </w:tc>
        <w:tc>
          <w:tcPr>
            <w:tcW w:w="2095" w:type="pct"/>
            <w:vMerge w:val="continue"/>
            <w:tcBorders>
              <w:left w:val="single" w:color="auto" w:sz="4" w:space="0"/>
              <w:bottom w:val="single" w:color="auto" w:sz="4" w:space="0"/>
              <w:right w:val="single" w:color="auto" w:sz="4" w:space="0"/>
            </w:tcBorders>
            <w:shd w:val="clear" w:color="auto" w:fill="auto"/>
            <w:vAlign w:val="center"/>
          </w:tcPr>
          <w:p w14:paraId="7B15B980">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p>
        </w:tc>
        <w:tc>
          <w:tcPr>
            <w:tcW w:w="814" w:type="pct"/>
            <w:vMerge w:val="continue"/>
            <w:tcBorders>
              <w:left w:val="single" w:color="auto" w:sz="4" w:space="0"/>
              <w:bottom w:val="single" w:color="auto" w:sz="4" w:space="0"/>
              <w:right w:val="single" w:color="auto" w:sz="4" w:space="0"/>
            </w:tcBorders>
            <w:shd w:val="clear" w:color="auto" w:fill="auto"/>
            <w:noWrap/>
            <w:vAlign w:val="center"/>
          </w:tcPr>
          <w:p w14:paraId="0A30F1F2">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p>
        </w:tc>
        <w:tc>
          <w:tcPr>
            <w:tcW w:w="927" w:type="pct"/>
            <w:vMerge w:val="continue"/>
            <w:tcBorders>
              <w:left w:val="single" w:color="auto" w:sz="4" w:space="0"/>
              <w:bottom w:val="single" w:color="auto" w:sz="4" w:space="0"/>
              <w:right w:val="single" w:color="auto" w:sz="4" w:space="0"/>
            </w:tcBorders>
            <w:shd w:val="clear" w:color="auto" w:fill="auto"/>
            <w:vAlign w:val="center"/>
          </w:tcPr>
          <w:p w14:paraId="0FA98DE1">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p>
        </w:tc>
        <w:tc>
          <w:tcPr>
            <w:tcW w:w="459" w:type="pct"/>
            <w:vMerge w:val="continue"/>
            <w:tcBorders>
              <w:left w:val="single" w:color="auto" w:sz="4" w:space="0"/>
              <w:bottom w:val="single" w:color="auto" w:sz="4" w:space="0"/>
              <w:right w:val="single" w:color="auto" w:sz="4" w:space="0"/>
            </w:tcBorders>
            <w:shd w:val="clear" w:color="auto" w:fill="auto"/>
            <w:vAlign w:val="center"/>
          </w:tcPr>
          <w:p w14:paraId="611E09AC">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p>
        </w:tc>
      </w:tr>
      <w:tr w14:paraId="3676E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3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4F0BD9">
            <w:pPr>
              <w:pStyle w:val="16"/>
              <w:bidi w:val="0"/>
              <w:ind w:left="0" w:leftChars="0" w:firstLine="0" w:firstLineChars="0"/>
              <w:rPr>
                <w:rFonts w:hint="default"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16</w:t>
            </w:r>
          </w:p>
        </w:tc>
        <w:tc>
          <w:tcPr>
            <w:tcW w:w="351" w:type="pct"/>
            <w:vMerge w:val="restart"/>
            <w:tcBorders>
              <w:top w:val="single" w:color="auto" w:sz="4" w:space="0"/>
              <w:left w:val="single" w:color="auto" w:sz="4" w:space="0"/>
              <w:right w:val="single" w:color="auto" w:sz="4" w:space="0"/>
            </w:tcBorders>
            <w:shd w:val="clear" w:color="auto" w:fill="auto"/>
            <w:noWrap/>
            <w:vAlign w:val="center"/>
          </w:tcPr>
          <w:p w14:paraId="7A4F22C4">
            <w:pPr>
              <w:pStyle w:val="16"/>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环境安全保障</w:t>
            </w:r>
          </w:p>
        </w:tc>
        <w:tc>
          <w:tcPr>
            <w:tcW w:w="2095" w:type="pct"/>
            <w:tcBorders>
              <w:top w:val="single" w:color="auto" w:sz="4" w:space="0"/>
              <w:left w:val="single" w:color="auto" w:sz="4" w:space="0"/>
              <w:bottom w:val="single" w:color="auto" w:sz="4" w:space="0"/>
              <w:right w:val="single" w:color="auto" w:sz="4" w:space="0"/>
            </w:tcBorders>
            <w:shd w:val="clear" w:color="auto" w:fill="auto"/>
            <w:vAlign w:val="center"/>
          </w:tcPr>
          <w:p w14:paraId="592B4A0E">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建设用地安全利用率</w:t>
            </w:r>
          </w:p>
        </w:tc>
        <w:tc>
          <w:tcPr>
            <w:tcW w:w="81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5822D7">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有效保障</w:t>
            </w:r>
          </w:p>
        </w:tc>
        <w:tc>
          <w:tcPr>
            <w:tcW w:w="927" w:type="pct"/>
            <w:tcBorders>
              <w:top w:val="single" w:color="auto" w:sz="4" w:space="0"/>
              <w:left w:val="single" w:color="auto" w:sz="4" w:space="0"/>
              <w:bottom w:val="single" w:color="auto" w:sz="4" w:space="0"/>
              <w:right w:val="single" w:color="auto" w:sz="4" w:space="0"/>
            </w:tcBorders>
            <w:shd w:val="clear" w:color="auto" w:fill="auto"/>
            <w:vAlign w:val="center"/>
          </w:tcPr>
          <w:p w14:paraId="7E7FFABF">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全面保障</w:t>
            </w:r>
          </w:p>
        </w:tc>
        <w:tc>
          <w:tcPr>
            <w:tcW w:w="459" w:type="pct"/>
            <w:tcBorders>
              <w:top w:val="single" w:color="auto" w:sz="4" w:space="0"/>
              <w:left w:val="single" w:color="auto" w:sz="4" w:space="0"/>
              <w:bottom w:val="single" w:color="auto" w:sz="4" w:space="0"/>
              <w:right w:val="single" w:color="auto" w:sz="4" w:space="0"/>
            </w:tcBorders>
            <w:shd w:val="clear" w:color="auto" w:fill="auto"/>
            <w:vAlign w:val="center"/>
          </w:tcPr>
          <w:p w14:paraId="57C14232">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预期性</w:t>
            </w:r>
          </w:p>
        </w:tc>
      </w:tr>
      <w:tr w14:paraId="01623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3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BEF53D">
            <w:pPr>
              <w:pStyle w:val="16"/>
              <w:bidi w:val="0"/>
              <w:ind w:left="0" w:leftChars="0" w:firstLine="0" w:firstLineChars="0"/>
              <w:rPr>
                <w:rFonts w:hint="default"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17</w:t>
            </w:r>
          </w:p>
        </w:tc>
        <w:tc>
          <w:tcPr>
            <w:tcW w:w="351" w:type="pct"/>
            <w:vMerge w:val="continue"/>
            <w:tcBorders>
              <w:left w:val="single" w:color="auto" w:sz="4" w:space="0"/>
              <w:right w:val="single" w:color="auto" w:sz="4" w:space="0"/>
            </w:tcBorders>
            <w:shd w:val="clear" w:color="auto" w:fill="auto"/>
            <w:noWrap/>
            <w:vAlign w:val="center"/>
          </w:tcPr>
          <w:p w14:paraId="606ACE1B">
            <w:pPr>
              <w:pStyle w:val="16"/>
              <w:bidi w:val="0"/>
              <w:rPr>
                <w:rFonts w:hint="eastAsia"/>
                <w:color w:val="000000" w:themeColor="text1"/>
                <w:lang w:val="en-US" w:eastAsia="zh-CN"/>
                <w14:textFill>
                  <w14:solidFill>
                    <w14:schemeClr w14:val="tx1"/>
                  </w14:solidFill>
                </w14:textFill>
              </w:rPr>
            </w:pPr>
          </w:p>
        </w:tc>
        <w:tc>
          <w:tcPr>
            <w:tcW w:w="2095" w:type="pct"/>
            <w:tcBorders>
              <w:top w:val="single" w:color="auto" w:sz="4" w:space="0"/>
              <w:left w:val="single" w:color="auto" w:sz="4" w:space="0"/>
              <w:bottom w:val="single" w:color="auto" w:sz="4" w:space="0"/>
              <w:right w:val="single" w:color="auto" w:sz="4" w:space="0"/>
            </w:tcBorders>
            <w:shd w:val="clear" w:color="auto" w:fill="auto"/>
            <w:vAlign w:val="center"/>
          </w:tcPr>
          <w:p w14:paraId="5357FA5C">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固体废物非法倾倒处置率</w:t>
            </w:r>
            <w:r>
              <w:rPr>
                <w:rStyle w:val="24"/>
                <w:rFonts w:hint="eastAsia" w:ascii="Times New Roman" w:hAnsi="Times New Roman" w:eastAsia="宋体" w:cs="Times New Roman"/>
                <w:color w:val="000000" w:themeColor="text1"/>
                <w:kern w:val="2"/>
                <w:sz w:val="32"/>
                <w:szCs w:val="22"/>
                <w:lang w:val="en-US" w:eastAsia="zh-CN" w:bidi="ar-SA"/>
                <w14:textFill>
                  <w14:solidFill>
                    <w14:schemeClr w14:val="tx1"/>
                  </w14:solidFill>
                </w14:textFill>
              </w:rPr>
              <w:t>#</w:t>
            </w:r>
          </w:p>
        </w:tc>
        <w:tc>
          <w:tcPr>
            <w:tcW w:w="81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937052">
            <w:pPr>
              <w:pStyle w:val="16"/>
              <w:bidi w:val="0"/>
              <w:ind w:left="0" w:leftChars="0" w:firstLine="0" w:firstLineChars="0"/>
              <w:rPr>
                <w:rFonts w:hint="default"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14:textFill>
                  <w14:solidFill>
                    <w14:schemeClr w14:val="tx1"/>
                  </w14:solidFill>
                </w14:textFill>
              </w:rPr>
              <w:t>—</w:t>
            </w:r>
          </w:p>
        </w:tc>
        <w:tc>
          <w:tcPr>
            <w:tcW w:w="927" w:type="pct"/>
            <w:tcBorders>
              <w:top w:val="single" w:color="auto" w:sz="4" w:space="0"/>
              <w:left w:val="single" w:color="auto" w:sz="4" w:space="0"/>
              <w:bottom w:val="single" w:color="auto" w:sz="4" w:space="0"/>
              <w:right w:val="single" w:color="auto" w:sz="4" w:space="0"/>
            </w:tcBorders>
            <w:shd w:val="clear" w:color="auto" w:fill="auto"/>
            <w:vAlign w:val="center"/>
          </w:tcPr>
          <w:p w14:paraId="5E6A9BF4">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大幅减少</w:t>
            </w:r>
          </w:p>
        </w:tc>
        <w:tc>
          <w:tcPr>
            <w:tcW w:w="459" w:type="pct"/>
            <w:tcBorders>
              <w:top w:val="single" w:color="auto" w:sz="4" w:space="0"/>
              <w:left w:val="single" w:color="auto" w:sz="4" w:space="0"/>
              <w:bottom w:val="single" w:color="auto" w:sz="4" w:space="0"/>
              <w:right w:val="single" w:color="auto" w:sz="4" w:space="0"/>
            </w:tcBorders>
            <w:shd w:val="clear" w:color="auto" w:fill="auto"/>
            <w:vAlign w:val="center"/>
          </w:tcPr>
          <w:p w14:paraId="000B59DE">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预期性</w:t>
            </w:r>
          </w:p>
        </w:tc>
      </w:tr>
      <w:tr w14:paraId="749A0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3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4D126C">
            <w:pPr>
              <w:pStyle w:val="16"/>
              <w:bidi w:val="0"/>
              <w:ind w:left="0" w:leftChars="0" w:firstLine="0" w:firstLineChars="0"/>
              <w:rPr>
                <w:rFonts w:hint="default"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18</w:t>
            </w:r>
          </w:p>
        </w:tc>
        <w:tc>
          <w:tcPr>
            <w:tcW w:w="351" w:type="pct"/>
            <w:vMerge w:val="continue"/>
            <w:tcBorders>
              <w:left w:val="single" w:color="auto" w:sz="4" w:space="0"/>
              <w:bottom w:val="single" w:color="auto" w:sz="4" w:space="0"/>
              <w:right w:val="single" w:color="auto" w:sz="4" w:space="0"/>
            </w:tcBorders>
            <w:shd w:val="clear" w:color="auto" w:fill="auto"/>
            <w:noWrap/>
            <w:vAlign w:val="center"/>
          </w:tcPr>
          <w:p w14:paraId="724BF1DC">
            <w:pPr>
              <w:pStyle w:val="16"/>
              <w:bidi w:val="0"/>
              <w:rPr>
                <w:rFonts w:hint="eastAsia"/>
                <w:color w:val="000000" w:themeColor="text1"/>
                <w:lang w:val="en-US" w:eastAsia="zh-CN"/>
                <w14:textFill>
                  <w14:solidFill>
                    <w14:schemeClr w14:val="tx1"/>
                  </w14:solidFill>
                </w14:textFill>
              </w:rPr>
            </w:pPr>
          </w:p>
        </w:tc>
        <w:tc>
          <w:tcPr>
            <w:tcW w:w="2095" w:type="pct"/>
            <w:tcBorders>
              <w:top w:val="single" w:color="auto" w:sz="4" w:space="0"/>
              <w:left w:val="single" w:color="auto" w:sz="4" w:space="0"/>
              <w:bottom w:val="single" w:color="auto" w:sz="4" w:space="0"/>
              <w:right w:val="single" w:color="auto" w:sz="4" w:space="0"/>
            </w:tcBorders>
            <w:shd w:val="clear" w:color="auto" w:fill="auto"/>
            <w:vAlign w:val="center"/>
          </w:tcPr>
          <w:p w14:paraId="3F42DC20">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城镇生活污水集中收集率（%）</w:t>
            </w:r>
          </w:p>
        </w:tc>
        <w:tc>
          <w:tcPr>
            <w:tcW w:w="81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C7A98D">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55.1</w:t>
            </w:r>
          </w:p>
        </w:tc>
        <w:tc>
          <w:tcPr>
            <w:tcW w:w="927" w:type="pct"/>
            <w:tcBorders>
              <w:top w:val="single" w:color="auto" w:sz="4" w:space="0"/>
              <w:left w:val="single" w:color="auto" w:sz="4" w:space="0"/>
              <w:bottom w:val="single" w:color="auto" w:sz="4" w:space="0"/>
              <w:right w:val="single" w:color="auto" w:sz="4" w:space="0"/>
            </w:tcBorders>
            <w:shd w:val="clear" w:color="auto" w:fill="auto"/>
            <w:vAlign w:val="center"/>
          </w:tcPr>
          <w:p w14:paraId="66C17A03">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完成省下达目标</w:t>
            </w:r>
          </w:p>
        </w:tc>
        <w:tc>
          <w:tcPr>
            <w:tcW w:w="459" w:type="pct"/>
            <w:tcBorders>
              <w:top w:val="single" w:color="auto" w:sz="4" w:space="0"/>
              <w:left w:val="single" w:color="auto" w:sz="4" w:space="0"/>
              <w:bottom w:val="single" w:color="auto" w:sz="4" w:space="0"/>
              <w:right w:val="single" w:color="auto" w:sz="4" w:space="0"/>
            </w:tcBorders>
            <w:shd w:val="clear" w:color="auto" w:fill="auto"/>
            <w:vAlign w:val="center"/>
          </w:tcPr>
          <w:p w14:paraId="5466B750">
            <w:pPr>
              <w:pStyle w:val="16"/>
              <w:bidi w:val="0"/>
              <w:ind w:left="0" w:leftChars="0" w:firstLine="0" w:firstLineChars="0"/>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预期性</w:t>
            </w:r>
          </w:p>
        </w:tc>
      </w:tr>
    </w:tbl>
    <w:p w14:paraId="784FE079">
      <w:pPr>
        <w:pStyle w:val="3"/>
        <w:keepNext w:val="0"/>
        <w:keepLines w:val="0"/>
        <w:pageBreakBefore w:val="0"/>
        <w:widowControl w:val="0"/>
        <w:kinsoku/>
        <w:wordWrap/>
        <w:overflowPunct/>
        <w:topLinePunct w:val="0"/>
        <w:autoSpaceDE/>
        <w:autoSpaceDN/>
        <w:bidi w:val="0"/>
        <w:adjustRightInd w:val="0"/>
        <w:snapToGrid w:val="0"/>
        <w:ind w:left="0" w:leftChars="0" w:firstLine="0" w:firstLineChars="0"/>
        <w:textAlignment w:val="auto"/>
        <w:rPr>
          <w:rFonts w:hint="eastAsia"/>
          <w:color w:val="000000" w:themeColor="text1"/>
          <w14:textFill>
            <w14:solidFill>
              <w14:schemeClr w14:val="tx1"/>
            </w14:solidFill>
          </w14:textFill>
        </w:rPr>
        <w:sectPr>
          <w:pgSz w:w="11906" w:h="16838"/>
          <w:pgMar w:top="1440" w:right="1440" w:bottom="1440" w:left="1440" w:header="851" w:footer="992" w:gutter="0"/>
          <w:pgNumType w:fmt="decimal"/>
          <w:cols w:space="425" w:num="1"/>
          <w:docGrid w:type="lines" w:linePitch="312" w:charSpace="0"/>
        </w:sectPr>
      </w:pPr>
      <w:r>
        <w:rPr>
          <w:rFonts w:hint="eastAsia"/>
          <w:b/>
          <w:bCs/>
          <w:color w:val="000000" w:themeColor="text1"/>
          <w:sz w:val="21"/>
          <w:szCs w:val="21"/>
          <w14:textFill>
            <w14:solidFill>
              <w14:schemeClr w14:val="tx1"/>
            </w14:solidFill>
          </w14:textFill>
        </w:rPr>
        <w:t>注：</w:t>
      </w:r>
      <w:r>
        <w:rPr>
          <w:rFonts w:hint="eastAsia"/>
          <w:color w:val="000000" w:themeColor="text1"/>
          <w:sz w:val="21"/>
          <w:szCs w:val="21"/>
          <w14:textFill>
            <w14:solidFill>
              <w14:schemeClr w14:val="tx1"/>
            </w14:solidFill>
          </w14:textFill>
        </w:rPr>
        <w:t>①带*的为2024年数据。②带#的为衔接“十五五”国家</w:t>
      </w:r>
      <w:r>
        <w:rPr>
          <w:rFonts w:hint="eastAsia"/>
          <w:color w:val="000000" w:themeColor="text1"/>
          <w:sz w:val="21"/>
          <w:szCs w:val="21"/>
          <w:lang w:eastAsia="zh-CN"/>
          <w14:textFill>
            <w14:solidFill>
              <w14:schemeClr w14:val="tx1"/>
            </w14:solidFill>
          </w14:textFill>
        </w:rPr>
        <w:t>、省</w:t>
      </w:r>
      <w:r>
        <w:rPr>
          <w:rFonts w:hint="eastAsia"/>
          <w:color w:val="000000" w:themeColor="text1"/>
          <w:sz w:val="21"/>
          <w:szCs w:val="21"/>
          <w14:textFill>
            <w14:solidFill>
              <w14:schemeClr w14:val="tx1"/>
            </w14:solidFill>
          </w14:textFill>
        </w:rPr>
        <w:t>要求新设或采用新评价方法的指标，无2025年基数值。③“十四五”期间四项主要污染物中的氨氮在“十五五”期间变更为总磷。</w:t>
      </w:r>
    </w:p>
    <w:p w14:paraId="4E807F19">
      <w:pPr>
        <w:pStyle w:val="2"/>
        <w:bidi w:val="0"/>
        <w:rPr>
          <w:rFonts w:hint="eastAsia" w:ascii="Times New Roman" w:hAnsi="Times New Roman"/>
          <w:color w:val="000000" w:themeColor="text1"/>
          <w14:textFill>
            <w14:solidFill>
              <w14:schemeClr w14:val="tx1"/>
            </w14:solidFill>
          </w14:textFill>
        </w:rPr>
      </w:pPr>
      <w:bookmarkStart w:id="9" w:name="_Toc1674"/>
      <w:r>
        <w:rPr>
          <w:rFonts w:hint="eastAsia" w:ascii="Times New Roman" w:hAnsi="Times New Roman"/>
          <w:color w:val="000000" w:themeColor="text1"/>
          <w14:textFill>
            <w14:solidFill>
              <w14:schemeClr w14:val="tx1"/>
            </w14:solidFill>
          </w14:textFill>
        </w:rPr>
        <w:t>把握屯昌</w:t>
      </w:r>
      <w:r>
        <w:rPr>
          <w:rFonts w:hint="eastAsia" w:ascii="Times New Roman" w:hAnsi="Times New Roman"/>
          <w:color w:val="000000" w:themeColor="text1"/>
          <w:lang w:val="en-US" w:eastAsia="zh-CN"/>
          <w14:textFill>
            <w14:solidFill>
              <w14:schemeClr w14:val="tx1"/>
            </w14:solidFill>
          </w14:textFill>
        </w:rPr>
        <w:t>特色</w:t>
      </w:r>
      <w:r>
        <w:rPr>
          <w:rFonts w:hint="eastAsia" w:ascii="Times New Roman" w:hAnsi="Times New Roman"/>
          <w:color w:val="000000" w:themeColor="text1"/>
          <w14:textFill>
            <w14:solidFill>
              <w14:schemeClr w14:val="tx1"/>
            </w14:solidFill>
          </w14:textFill>
        </w:rPr>
        <w:t>，</w:t>
      </w:r>
      <w:r>
        <w:rPr>
          <w:rFonts w:hint="eastAsia" w:ascii="Times New Roman" w:hAnsi="Times New Roman"/>
          <w:color w:val="000000" w:themeColor="text1"/>
          <w:lang w:eastAsia="zh-CN"/>
          <w14:textFill>
            <w14:solidFill>
              <w14:schemeClr w14:val="tx1"/>
            </w14:solidFill>
          </w14:textFill>
        </w:rPr>
        <w:t>推进生态文明示范区建设</w:t>
      </w:r>
      <w:bookmarkEnd w:id="9"/>
    </w:p>
    <w:p w14:paraId="0F497E88">
      <w:pPr>
        <w:pStyle w:val="4"/>
        <w:bidi w:val="0"/>
        <w:rPr>
          <w:rFonts w:hint="eastAsia"/>
          <w:color w:val="000000" w:themeColor="text1"/>
          <w14:textFill>
            <w14:solidFill>
              <w14:schemeClr w14:val="tx1"/>
            </w14:solidFill>
          </w14:textFill>
        </w:rPr>
      </w:pPr>
      <w:bookmarkStart w:id="10" w:name="_Toc18080"/>
      <w:r>
        <w:rPr>
          <w:rFonts w:hint="eastAsia"/>
          <w:color w:val="000000" w:themeColor="text1"/>
          <w:lang w:val="en-US" w:eastAsia="zh-CN"/>
          <w14:textFill>
            <w14:solidFill>
              <w14:schemeClr w14:val="tx1"/>
            </w14:solidFill>
          </w14:textFill>
        </w:rPr>
        <w:t>发挥“一园三区两中心”</w:t>
      </w:r>
      <w:r>
        <w:rPr>
          <w:rStyle w:val="24"/>
          <w:rFonts w:hint="eastAsia"/>
          <w:color w:val="000000" w:themeColor="text1"/>
          <w:lang w:val="en-US" w:eastAsia="zh-CN"/>
          <w14:textFill>
            <w14:solidFill>
              <w14:schemeClr w14:val="tx1"/>
            </w14:solidFill>
          </w14:textFill>
        </w:rPr>
        <w:footnoteReference w:id="0"/>
      </w:r>
      <w:r>
        <w:rPr>
          <w:rFonts w:hint="eastAsia"/>
          <w:color w:val="000000" w:themeColor="text1"/>
          <w:lang w:val="en-US" w:eastAsia="zh-CN"/>
          <w14:textFill>
            <w14:solidFill>
              <w14:schemeClr w14:val="tx1"/>
            </w14:solidFill>
          </w14:textFill>
        </w:rPr>
        <w:t>引领作用</w:t>
      </w:r>
      <w:bookmarkEnd w:id="10"/>
    </w:p>
    <w:p w14:paraId="5E4472FC">
      <w:pPr>
        <w:pStyle w:val="3"/>
        <w:bidi w:val="0"/>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大力发展绿色低碳产业</w:t>
      </w:r>
      <w:r>
        <w:rPr>
          <w:rFonts w:hint="eastAsia"/>
          <w:color w:val="000000" w:themeColor="text1"/>
          <w:lang w:val="en-US" w:eastAsia="zh-CN"/>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做强大同产业园低碳制造（含金属制品）产业集群</w:t>
      </w:r>
      <w:r>
        <w:rPr>
          <w:rFonts w:hint="eastAsia"/>
          <w:color w:val="000000" w:themeColor="text1"/>
          <w:lang w:val="en-US" w:eastAsia="zh-CN"/>
          <w14:textFill>
            <w14:solidFill>
              <w14:schemeClr w14:val="tx1"/>
            </w14:solidFill>
          </w14:textFill>
        </w:rPr>
        <w:t>，聚焦绿色建材、环保装备、储能配套等核心领域，打造全省具有影响力的绿色低碳制造生产基地。</w:t>
      </w:r>
      <w:r>
        <w:rPr>
          <w:rFonts w:hint="eastAsia"/>
          <w:b w:val="0"/>
          <w:bCs w:val="0"/>
          <w:color w:val="000000" w:themeColor="text1"/>
          <w:lang w:val="en-US" w:eastAsia="zh-CN"/>
          <w14:textFill>
            <w14:solidFill>
              <w14:schemeClr w14:val="tx1"/>
            </w14:solidFill>
          </w14:textFill>
        </w:rPr>
        <w:t>绿色低碳循环经济产业</w:t>
      </w:r>
      <w:r>
        <w:rPr>
          <w:rFonts w:hint="default"/>
          <w:color w:val="000000" w:themeColor="text1"/>
          <w:lang w:val="en-US" w:eastAsia="zh-CN"/>
          <w14:textFill>
            <w14:solidFill>
              <w14:schemeClr w14:val="tx1"/>
            </w14:solidFill>
          </w14:textFill>
        </w:rPr>
        <w:t>立足全岛</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陆海统筹、山海联动</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产业大格局，加快推进绿色分拣中心、海洋塑料改性造粒、农林废弃物处理、家电与汽车智能拆解、动力电池综合利用及材料回收等重点项目，同步搭建</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两网融合</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回收网络、产学研用创新平台、碳足迹管理体系，打造服务全岛、辐射海外的再生资源回收交易利用枢纽中心和循环经济产业制造基地。依托本地林业资源布局林木精深加工</w:t>
      </w:r>
      <w:r>
        <w:rPr>
          <w:rFonts w:hint="eastAsia"/>
          <w:color w:val="000000" w:themeColor="text1"/>
          <w:lang w:val="en-US" w:eastAsia="zh-CN"/>
          <w14:textFill>
            <w14:solidFill>
              <w14:schemeClr w14:val="tx1"/>
            </w14:solidFill>
          </w14:textFill>
        </w:rPr>
        <w:t>产业园</w:t>
      </w:r>
      <w:r>
        <w:rPr>
          <w:rFonts w:hint="default"/>
          <w:color w:val="000000" w:themeColor="text1"/>
          <w:lang w:val="en-US" w:eastAsia="zh-CN"/>
          <w14:textFill>
            <w14:solidFill>
              <w14:schemeClr w14:val="tx1"/>
            </w14:solidFill>
          </w14:textFill>
        </w:rPr>
        <w:t>，推进木材低碳加工、林业边角料资源化利用，延伸绿色林产链条。</w:t>
      </w:r>
      <w:r>
        <w:rPr>
          <w:rFonts w:hint="default"/>
          <w:b w:val="0"/>
          <w:bCs w:val="0"/>
          <w:color w:val="000000" w:themeColor="text1"/>
          <w:lang w:val="en-US" w:eastAsia="zh-CN"/>
          <w14:textFill>
            <w14:solidFill>
              <w14:schemeClr w14:val="tx1"/>
            </w14:solidFill>
          </w14:textFill>
        </w:rPr>
        <w:t>新型石材建材产业区</w:t>
      </w:r>
      <w:r>
        <w:rPr>
          <w:rFonts w:hint="default"/>
          <w:color w:val="000000" w:themeColor="text1"/>
          <w:lang w:val="en-US" w:eastAsia="zh-CN"/>
          <w14:textFill>
            <w14:solidFill>
              <w14:schemeClr w14:val="tx1"/>
            </w14:solidFill>
          </w14:textFill>
        </w:rPr>
        <w:t>重点推进固废资源化利用项目，对石材废料、边角料进行综合利用，生产人造石、透水砖、机制砂等产品，实现废渣综合利用率95%以上。</w:t>
      </w:r>
      <w:r>
        <w:rPr>
          <w:rFonts w:hint="eastAsia"/>
          <w:color w:val="000000" w:themeColor="text1"/>
          <w:lang w:val="en-US" w:eastAsia="zh-CN"/>
          <w14:textFill>
            <w14:solidFill>
              <w14:schemeClr w14:val="tx1"/>
            </w14:solidFill>
          </w14:textFill>
        </w:rPr>
        <w:t>推动建立“屯昌制造”低碳产品数据库，衔接海南自由贸易港碳足迹追溯平台，积极参与碳汇交易，提升产品绿色竞争力。</w:t>
      </w:r>
    </w:p>
    <w:p w14:paraId="64ABE0B5">
      <w:pPr>
        <w:pStyle w:val="3"/>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建设绿色低碳园区、零碳园区</w:t>
      </w:r>
      <w:r>
        <w:rPr>
          <w:rFonts w:hint="eastAsia"/>
          <w:color w:val="000000" w:themeColor="text1"/>
          <w:lang w:val="en-US" w:eastAsia="zh-CN"/>
          <w14:textFill>
            <w14:solidFill>
              <w14:schemeClr w14:val="tx1"/>
            </w14:solidFill>
          </w14:textFill>
        </w:rPr>
        <w:t>。着力推广绿色低碳工艺技术装备，引导重点行业、企业开展节能降碳改造。加强木材、石材等行业污染物超低排放改造，对标绿色低碳园区的要求打造“一园三区”，培育打造一批绿色工厂、低碳工厂。因地制宜发展太阳能、风能、生物质能为主的新能源产业，建立健全多轮驱动、安全可持续的可再生能源多元供能体系。建设工业绿色微电网，提速企业转型进程。鼓励园区入园企业实施以清洁生产、节能降耗为重点的绿色技术，拓展绿色电力证书应用范围。加快零碳园区建设，制定实施专项规划，系统推动园区能源、产业、设施低碳化转型。</w:t>
      </w:r>
    </w:p>
    <w:p w14:paraId="0AB2F5DD">
      <w:pPr>
        <w:pStyle w:val="3"/>
        <w:bidi w:val="0"/>
        <w:rPr>
          <w:rFonts w:hint="default"/>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构建“生态+产业”融合发展体系</w:t>
      </w:r>
      <w:r>
        <w:rPr>
          <w:rFonts w:hint="eastAsia"/>
          <w:color w:val="000000" w:themeColor="text1"/>
          <w:lang w:val="en-US" w:eastAsia="zh-CN"/>
          <w14:textFill>
            <w14:solidFill>
              <w14:schemeClr w14:val="tx1"/>
            </w14:solidFill>
          </w14:textFill>
        </w:rPr>
        <w:t>。立足海南岛特有的区位条件</w:t>
      </w:r>
      <w:r>
        <w:rPr>
          <w:rFonts w:hint="default"/>
          <w:color w:val="000000" w:themeColor="text1"/>
          <w:lang w:val="en-US" w:eastAsia="zh-CN"/>
          <w14:textFill>
            <w14:solidFill>
              <w14:schemeClr w14:val="tx1"/>
            </w14:solidFill>
          </w14:textFill>
        </w:rPr>
        <w:t>、深度优势及热带特色</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三度一色</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资源禀赋，突破传统旅游</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游山玩水</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的模式，构建</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生态+产业</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融合发展体系</w:t>
      </w:r>
      <w:r>
        <w:rPr>
          <w:rFonts w:hint="eastAsia"/>
          <w:color w:val="000000" w:themeColor="text1"/>
          <w:lang w:val="en-US" w:eastAsia="zh-CN"/>
          <w14:textFill>
            <w14:solidFill>
              <w14:schemeClr w14:val="tx1"/>
            </w14:solidFill>
          </w14:textFill>
        </w:rPr>
        <w:t>，依托屯昌县特色农产品区域中心和</w:t>
      </w:r>
      <w:r>
        <w:rPr>
          <w:rFonts w:hint="default"/>
          <w:color w:val="000000" w:themeColor="text1"/>
          <w:lang w:val="en-US" w:eastAsia="zh-CN"/>
          <w14:textFill>
            <w14:solidFill>
              <w14:schemeClr w14:val="tx1"/>
            </w14:solidFill>
          </w14:textFill>
        </w:rPr>
        <w:t>中医养生和旅游康养中心</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形成服务屯昌、辐射全省的产业功能节点。在乌坡、坡心、南吕、新兴、枫木等乡镇建设一批高标准生态养殖示范基地，构建</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种源保育-生态养殖</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一体化绿色生产体系。开展农产品气候评价，打造气候标识农产品品牌</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推动热带特色水果产业向高端化、绿色化转型，重点提升屯昌柠檬、金椰、蜜柚、百香果等品种品质</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推动</w:t>
      </w:r>
      <w:r>
        <w:rPr>
          <w:rFonts w:hint="eastAsia"/>
          <w:color w:val="000000" w:themeColor="text1"/>
          <w:lang w:val="en-US" w:eastAsia="zh-CN"/>
          <w14:textFill>
            <w14:solidFill>
              <w14:schemeClr w14:val="tx1"/>
            </w14:solidFill>
          </w14:textFill>
        </w:rPr>
        <w:t>“屯昌</w:t>
      </w:r>
      <w:r>
        <w:rPr>
          <w:rFonts w:hint="default"/>
          <w:color w:val="000000" w:themeColor="text1"/>
          <w:lang w:val="en-US" w:eastAsia="zh-CN"/>
          <w14:textFill>
            <w14:solidFill>
              <w14:schemeClr w14:val="tx1"/>
            </w14:solidFill>
          </w14:textFill>
        </w:rPr>
        <w:t>苦瓜</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精品化发展，强化品种改良与绿色生产技术推广应用，在枫木、坡心、南吕等优势产区，建设规模化、设施化高标准绿色生产示范区。借助热带雨林国家公园</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北大门</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及卧龙山森林资源建设森林康养示范区，发展气候疗法、森林疗愈、自然教育等业态，培育低碳文旅、绿色康养等新型消费场景，提升生态旅游附加值。</w:t>
      </w:r>
    </w:p>
    <w:p w14:paraId="5C6F7F16">
      <w:pPr>
        <w:pStyle w:val="4"/>
        <w:bidi w:val="0"/>
        <w:rPr>
          <w:rFonts w:hint="eastAsia"/>
          <w:color w:val="000000" w:themeColor="text1"/>
          <w14:textFill>
            <w14:solidFill>
              <w14:schemeClr w14:val="tx1"/>
            </w14:solidFill>
          </w14:textFill>
        </w:rPr>
      </w:pPr>
      <w:bookmarkStart w:id="11" w:name="_Toc30689"/>
      <w:r>
        <w:rPr>
          <w:rFonts w:hint="eastAsia"/>
          <w:color w:val="000000" w:themeColor="text1"/>
          <w:lang w:val="en-US" w:eastAsia="zh-CN"/>
          <w14:textFill>
            <w14:solidFill>
              <w14:schemeClr w14:val="tx1"/>
            </w14:solidFill>
          </w14:textFill>
        </w:rPr>
        <w:t>优化屯昌资源要素配置</w:t>
      </w:r>
      <w:bookmarkEnd w:id="11"/>
    </w:p>
    <w:p w14:paraId="583A6F15">
      <w:pPr>
        <w:pStyle w:val="3"/>
        <w:bidi w:val="0"/>
        <w:rPr>
          <w:rFonts w:hint="eastAsia"/>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优化国土空间治理</w:t>
      </w:r>
      <w:r>
        <w:rPr>
          <w:rFonts w:hint="eastAsia"/>
          <w:color w:val="000000" w:themeColor="text1"/>
          <w:lang w:val="en-US" w:eastAsia="zh-CN"/>
          <w14:textFill>
            <w14:solidFill>
              <w14:schemeClr w14:val="tx1"/>
            </w14:solidFill>
          </w14:textFill>
        </w:rPr>
        <w:t>。建立健全屯昌县生态保护红线监管制度，确保生态保护红线面积不减少，功能不降低。开展生态保护红线基础调查和人类活动遥感监测，及时发现、移交、查处各类生态破坏问题并监督保护修复情况。健全生态环境分区管控体系，将屯昌县内重要水源地、水土保持，水源涵养、生物多样性维护等生态功能区统一划入生态环境分区管控中的优先保护单元，实行最严格管控。</w:t>
      </w:r>
      <w:r>
        <w:rPr>
          <w:rFonts w:hint="eastAsia"/>
          <w:color w:val="000000" w:themeColor="text1"/>
          <w14:textFill>
            <w14:solidFill>
              <w14:schemeClr w14:val="tx1"/>
            </w14:solidFill>
          </w14:textFill>
        </w:rPr>
        <w:t>推动生态环境分区管控成果在大气、水、土壤、生态、声等环境要素中的落地应用，形成现状分析、问题溯源、分区施策的闭环管理。发挥生态环境分区管控在源头预防体系中的基础性作用，实现全域覆盖、跨部门协同、多要素综合的精细化管理，形成协同加强生态环境分区管控的合力。优化屯昌县养殖水域滩涂规划和水产养殖空间布局，科学划定禁养区、限养区和养殖区，按照禁养区清理退出、限养区严格管控、养殖区集中布局、</w:t>
      </w:r>
      <w:r>
        <w:rPr>
          <w:rFonts w:hint="eastAsia"/>
          <w:color w:val="000000" w:themeColor="text1"/>
          <w:lang w:eastAsia="zh-CN"/>
          <w14:textFill>
            <w14:solidFill>
              <w14:schemeClr w14:val="tx1"/>
            </w14:solidFill>
          </w14:textFill>
        </w:rPr>
        <w:t>全面落实水域滩涂养殖发证登记，</w:t>
      </w:r>
      <w:r>
        <w:rPr>
          <w:rFonts w:hint="eastAsia"/>
          <w:color w:val="000000" w:themeColor="text1"/>
          <w14:textFill>
            <w14:solidFill>
              <w14:schemeClr w14:val="tx1"/>
            </w14:solidFill>
          </w14:textFill>
        </w:rPr>
        <w:t>全行业逐步规范的要求，构建水产养殖发展新格局。</w:t>
      </w:r>
    </w:p>
    <w:p w14:paraId="7456F972">
      <w:pPr>
        <w:pStyle w:val="3"/>
        <w:rPr>
          <w:rFonts w:hint="eastAsia"/>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加强土地资源节约集约利用</w:t>
      </w:r>
      <w:r>
        <w:rPr>
          <w:rFonts w:hint="eastAsia"/>
          <w:color w:val="000000" w:themeColor="text1"/>
          <w14:textFill>
            <w14:solidFill>
              <w14:schemeClr w14:val="tx1"/>
            </w14:solidFill>
          </w14:textFill>
        </w:rPr>
        <w:t>。实施建设用地总量和强度双控行动，科学控制城镇建设用地总量，强化新增建设用地管理。加大城镇存量建设用地挖潜力度，清理处置批而未供和闲置土地。提高建设用地的投资强度和产出效益，持续降低单位GDP建设用地使用面积。鼓励开发地上地下空间，推动土地立体复合利用，探索分层设立国有建设用地使用权。全面推进全域土地综合整治修复，</w:t>
      </w:r>
      <w:r>
        <w:rPr>
          <w:rFonts w:hint="eastAsia"/>
          <w:color w:val="000000" w:themeColor="text1"/>
          <w:lang w:eastAsia="zh-CN"/>
          <w14:textFill>
            <w14:solidFill>
              <w14:schemeClr w14:val="tx1"/>
            </w14:solidFill>
          </w14:textFill>
        </w:rPr>
        <w:t>统筹</w:t>
      </w:r>
      <w:r>
        <w:rPr>
          <w:rFonts w:hint="eastAsia"/>
          <w:color w:val="000000" w:themeColor="text1"/>
          <w14:textFill>
            <w14:solidFill>
              <w14:schemeClr w14:val="tx1"/>
            </w14:solidFill>
          </w14:textFill>
        </w:rPr>
        <w:t>推进农用地整理、建设用地整理和生态保护修复，提高土地资源质量。完善节约集约用矿制度，加强矿业权管理与矿山生态修复。加大土地收储和成片开发力度，全面推行“标准地”出让与“承诺制”审批，</w:t>
      </w:r>
      <w:r>
        <w:rPr>
          <w:rFonts w:hint="eastAsia"/>
          <w:color w:val="000000" w:themeColor="text1"/>
          <w:lang w:val="en-US" w:eastAsia="zh-CN"/>
          <w14:textFill>
            <w14:solidFill>
              <w14:schemeClr w14:val="tx1"/>
            </w14:solidFill>
          </w14:textFill>
        </w:rPr>
        <w:t>园区</w:t>
      </w:r>
      <w:r>
        <w:rPr>
          <w:rFonts w:hint="eastAsia"/>
          <w:color w:val="000000" w:themeColor="text1"/>
          <w14:textFill>
            <w14:solidFill>
              <w14:schemeClr w14:val="tx1"/>
            </w14:solidFill>
          </w14:textFill>
        </w:rPr>
        <w:t>立足产业定位推行标准化厂房，探索“工业上楼”等集约化发展模式。统筹优化生产、生活、生态空间布局，推动园区从单一产业功能区向产城融合的现代化综合片区转型。推进绿色低碳循环经济产业区、新型石材建材产业区、林木精深加工产业区三大特色产业区规范化建设和能级提升，实现从分散区块向专业化、集约化园区升级。</w:t>
      </w:r>
    </w:p>
    <w:p w14:paraId="29D78F73">
      <w:pPr>
        <w:pStyle w:val="3"/>
        <w:rPr>
          <w:rFonts w:hint="eastAsia"/>
          <w:color w:val="000000" w:themeColor="text1"/>
          <w14:textFill>
            <w14:solidFill>
              <w14:schemeClr w14:val="tx1"/>
            </w14:solidFill>
          </w14:textFill>
        </w:rPr>
      </w:pPr>
      <w:r>
        <w:rPr>
          <w:rFonts w:hint="eastAsia"/>
          <w:b/>
          <w:bCs/>
          <w:color w:val="000000" w:themeColor="text1"/>
          <w14:textFill>
            <w14:solidFill>
              <w14:schemeClr w14:val="tx1"/>
            </w14:solidFill>
          </w14:textFill>
        </w:rPr>
        <w:t>优化水资源配置格局</w:t>
      </w:r>
      <w:r>
        <w:rPr>
          <w:rFonts w:hint="eastAsia"/>
          <w:color w:val="000000" w:themeColor="text1"/>
          <w14:textFill>
            <w14:solidFill>
              <w14:schemeClr w14:val="tx1"/>
            </w14:solidFill>
          </w14:textFill>
        </w:rPr>
        <w:t>。推进区域原水连通工程建设，完善输水网络布局。全力推进迈湾水库至良坡水厂联通工程、中建水厂、迈湾水厂等重点水源工程，加快农村规模化供水工程建设，实施屯城镇、西昌镇、坡心镇等镇区供水设施改造、屯昌良坡水厂供水系统配水管网工程，推动中建农场水厂管网向南吕农场、晨星农场及广青农场场部覆盖，系统更新改造城乡老旧供水管网。加强与省级水网水资源配置工程的互联互通，推动县城水路改造连通，增强水资源调配能力。至2030年，实现城乡生活用水及农业灌溉用水有效保障，农村规模化供水覆盖率达97%。加强农业水利</w:t>
      </w:r>
      <w:r>
        <w:rPr>
          <w:rFonts w:hint="eastAsia"/>
          <w:color w:val="000000" w:themeColor="text1"/>
          <w:lang w:eastAsia="zh-CN"/>
          <w14:textFill>
            <w14:solidFill>
              <w14:schemeClr w14:val="tx1"/>
            </w14:solidFill>
          </w14:textFill>
        </w:rPr>
        <w:t>基础设施建设</w:t>
      </w:r>
      <w:r>
        <w:rPr>
          <w:rFonts w:hint="eastAsia"/>
          <w:color w:val="000000" w:themeColor="text1"/>
          <w14:textFill>
            <w14:solidFill>
              <w14:schemeClr w14:val="tx1"/>
            </w14:solidFill>
          </w14:textFill>
        </w:rPr>
        <w:t>，重点推进迈湾灌区工程建设，实施良坡中型灌区节水改造及小型农田水利设施建设与管护，为农业生产提供稳定水源。</w:t>
      </w:r>
    </w:p>
    <w:p w14:paraId="131CE317">
      <w:pPr>
        <w:pStyle w:val="3"/>
        <w:bidi w:val="0"/>
        <w:rPr>
          <w:rFonts w:hint="default"/>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加强能源节约高效利用</w:t>
      </w:r>
      <w:r>
        <w:rPr>
          <w:rFonts w:hint="eastAsia"/>
          <w:color w:val="000000" w:themeColor="text1"/>
          <w:lang w:val="en-US" w:eastAsia="zh-CN"/>
          <w14:textFill>
            <w14:solidFill>
              <w14:schemeClr w14:val="tx1"/>
            </w14:solidFill>
          </w14:textFill>
        </w:rPr>
        <w:t>。坚持节约优先，深化重点领域节能工作，工业领域加快技术改造和结构调整，提高工艺技术水平，加强节能管理，降低能源消耗量。贯彻落实节能优先战略，继续实施能源消费强度和总量“双控”制度，建立能源消费总量控制考核和行政问责制度，加强能效监测与预警。</w:t>
      </w:r>
    </w:p>
    <w:p w14:paraId="31481334">
      <w:pPr>
        <w:pStyle w:val="4"/>
        <w:bidi w:val="0"/>
        <w:rPr>
          <w:rFonts w:hint="eastAsia"/>
          <w:color w:val="000000" w:themeColor="text1"/>
          <w:lang w:val="en-US" w:eastAsia="zh-CN"/>
          <w14:textFill>
            <w14:solidFill>
              <w14:schemeClr w14:val="tx1"/>
            </w14:solidFill>
          </w14:textFill>
        </w:rPr>
      </w:pPr>
      <w:bookmarkStart w:id="12" w:name="_Toc19457"/>
      <w:r>
        <w:rPr>
          <w:rFonts w:hint="eastAsia"/>
          <w:color w:val="000000" w:themeColor="text1"/>
          <w:lang w:val="en-US" w:eastAsia="zh-CN"/>
          <w14:textFill>
            <w14:solidFill>
              <w14:schemeClr w14:val="tx1"/>
            </w14:solidFill>
          </w14:textFill>
        </w:rPr>
        <w:t>开展美丽屯昌建设全民行动</w:t>
      </w:r>
      <w:bookmarkEnd w:id="12"/>
    </w:p>
    <w:p w14:paraId="37D236E9">
      <w:pPr>
        <w:pStyle w:val="3"/>
        <w:bidi w:val="0"/>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加强生态文明建设宣传，主动回应社会关切</w:t>
      </w:r>
      <w:r>
        <w:rPr>
          <w:rFonts w:hint="eastAsia"/>
          <w:color w:val="000000" w:themeColor="text1"/>
          <w:lang w:val="en-US" w:eastAsia="zh-CN"/>
          <w14:textFill>
            <w14:solidFill>
              <w14:schemeClr w14:val="tx1"/>
            </w14:solidFill>
          </w14:textFill>
        </w:rPr>
        <w:t>。坚持正面新闻宣传，加大对生态文明建设政策举措、进展成效的信息公开力度，规范优化新闻发布工作，通过召开新闻发布会主动发布生态文明建设相关工作进展和成效。主动曝光负面典型，有效运用媒体监督手段，形成舆论监督合力。加强舆情监测和分析，及时准确把脉公众关切热点，有针对性地做好新闻热点回应。</w:t>
      </w:r>
    </w:p>
    <w:p w14:paraId="62E8E416">
      <w:pPr>
        <w:pStyle w:val="3"/>
        <w:bidi w:val="0"/>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加强生态文明建设社会动员，广泛传播生态价值理念</w:t>
      </w:r>
      <w:r>
        <w:rPr>
          <w:rFonts w:hint="eastAsia"/>
          <w:color w:val="000000" w:themeColor="text1"/>
          <w:lang w:val="en-US" w:eastAsia="zh-CN"/>
          <w14:textFill>
            <w14:solidFill>
              <w14:schemeClr w14:val="tx1"/>
            </w14:solidFill>
          </w14:textFill>
        </w:rPr>
        <w:t>。繁荣生态文化，深入践行“两山”理念，充分发挥生态文化引领风尚、凝聚共识、精神支撑的重要作用。培育生态道德，积极围绕《公民生态环境行为规范十条》开展宣传，广泛调动各类社会主体参与生态环保实践，积极引导全体群众自觉履行生态环境保护责任，推动形成人与自然和谐共生的高质量发展新格局。推动党政机关厉行勤俭节约、反对铺张浪费，引导党政机关干部职工践行简约适度、绿色低碳的工作与生活方式。发挥企业作用，行业主管部门动员和引导企业积极参与生态价值理念和生态文化传播，不断探索创新绿色发展商业模式。发挥人民团体作用，积极发挥青年力量，积极倡导绿色低碳生活方式。</w:t>
      </w:r>
    </w:p>
    <w:p w14:paraId="5D555D90">
      <w:pPr>
        <w:pStyle w:val="3"/>
        <w:bidi w:val="0"/>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加强生态文明教育，夯实美丽屯昌建设基础</w:t>
      </w:r>
      <w:r>
        <w:rPr>
          <w:rFonts w:hint="eastAsia"/>
          <w:color w:val="000000" w:themeColor="text1"/>
          <w:lang w:val="en-US" w:eastAsia="zh-CN"/>
          <w14:textFill>
            <w14:solidFill>
              <w14:schemeClr w14:val="tx1"/>
            </w14:solidFill>
          </w14:textFill>
        </w:rPr>
        <w:t>。推进生态文明学校教育，将生态文明教育纳入国民教育体系，将习近平生态文明思想和生态文明建设纳入学校教育教学活动安排，培养青少年生态文明行为习惯。加强生态文明教育场馆和实践基地建设，充分发挥其社会教育实践作用，引导公众增强环保意识，提高环保素养。</w:t>
      </w:r>
    </w:p>
    <w:p w14:paraId="2FA292F1">
      <w:pPr>
        <w:pStyle w:val="3"/>
        <w:bidi w:val="0"/>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综合运用多种手段，创新生态文明宣传方式方法</w:t>
      </w:r>
      <w:r>
        <w:rPr>
          <w:rFonts w:hint="eastAsia"/>
          <w:color w:val="000000" w:themeColor="text1"/>
          <w:lang w:val="en-US" w:eastAsia="zh-CN"/>
          <w14:textFill>
            <w14:solidFill>
              <w14:schemeClr w14:val="tx1"/>
            </w14:solidFill>
          </w14:textFill>
        </w:rPr>
        <w:t>。改进政务新媒体宣传，加强生态环境政务新媒体矩阵建设，创新线上宣传载体和内容，开发并积极推介生态文化与流行文化有机结合的优秀作品，打造线下宣教新媒介，整合宣传力量，构建生态文明大宣传格局，推进生态文明宣传。</w:t>
      </w:r>
    </w:p>
    <w:p w14:paraId="5E6BCDC6">
      <w:pPr>
        <w:pStyle w:val="4"/>
        <w:bidi w:val="0"/>
        <w:rPr>
          <w:rFonts w:hint="default"/>
          <w:color w:val="000000" w:themeColor="text1"/>
          <w:lang w:val="en-US" w:eastAsia="zh-CN"/>
          <w14:textFill>
            <w14:solidFill>
              <w14:schemeClr w14:val="tx1"/>
            </w14:solidFill>
          </w14:textFill>
        </w:rPr>
      </w:pPr>
      <w:bookmarkStart w:id="13" w:name="_Toc8872"/>
      <w:r>
        <w:rPr>
          <w:rFonts w:hint="eastAsia"/>
          <w:color w:val="000000" w:themeColor="text1"/>
          <w:lang w:val="en-US" w:eastAsia="zh-CN"/>
          <w14:textFill>
            <w14:solidFill>
              <w14:schemeClr w14:val="tx1"/>
            </w14:solidFill>
          </w14:textFill>
        </w:rPr>
        <w:t>深化与巩固屯昌县生态文明建设示范区创建成果</w:t>
      </w:r>
      <w:bookmarkEnd w:id="13"/>
    </w:p>
    <w:p w14:paraId="7F7F41E3">
      <w:pPr>
        <w:pStyle w:val="3"/>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严格落实《海南省屯昌县生态文明建设示范区规划（2025—2030年）》部署要求，持续深化巩固生态文明建设示范区创建成效。立足屯昌生态本底与资源禀赋，放大本地生态特色优势，补齐生态治理短板弱项，打造县域生态文明建设标杆。紧扣国家生态文明建设示范区创建标准，抓实生态环境提质、生态系统修复、环境风险防控各项具体工作，持续改善县域生态环境质量。依托本地产业基础，推动工业产业绿色转型升级，</w:t>
      </w:r>
      <w:r>
        <w:rPr>
          <w:rFonts w:hint="eastAsia"/>
          <w:color w:val="000000" w:themeColor="text1"/>
          <w14:textFill>
            <w14:solidFill>
              <w14:schemeClr w14:val="tx1"/>
            </w14:solidFill>
          </w14:textFill>
        </w:rPr>
        <w:t>提高农业现代化水平，推进农业绿色转型。实施智慧农业工程，对农业生产进行数字化改造，提高农业精准化水平。积极推进高品质农产品认证，探索“农产品认证+数字化溯源”模式，建立标准化认证体系，构建全链条数字化溯源平台，推动规模化种植与技术集成。</w:t>
      </w:r>
    </w:p>
    <w:p w14:paraId="791C84FF">
      <w:pPr>
        <w:pStyle w:val="3"/>
        <w:rPr>
          <w:rFonts w:hint="eastAsia"/>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优化城乡生态人居环境。</w:t>
      </w:r>
      <w:r>
        <w:rPr>
          <w:rFonts w:hint="eastAsia"/>
          <w:color w:val="000000" w:themeColor="text1"/>
          <w14:textFill>
            <w14:solidFill>
              <w14:schemeClr w14:val="tx1"/>
            </w14:solidFill>
          </w14:textFill>
        </w:rPr>
        <w:t>立足屯昌县“山林环绕、水网密布”的自然本底，结合海南热带岛屿气候特点，深度优化城市蓝绿空间布局。依托屯昌境内的河流、水库、林地等生态资源，建设城市生态冷源节点，构建通风廊道系统，提升城市微气候调节能力，探索打造“清凉城市”的屯昌样板</w:t>
      </w:r>
      <w:r>
        <w:rPr>
          <w:rFonts w:hint="eastAsia"/>
          <w:color w:val="000000" w:themeColor="text1"/>
          <w:lang w:eastAsia="zh-CN"/>
          <w14:textFill>
            <w14:solidFill>
              <w14:schemeClr w14:val="tx1"/>
            </w14:solidFill>
          </w14:textFill>
        </w:rPr>
        <w:t>。持续提升农村环境，建设“和美乡村”</w:t>
      </w:r>
      <w:r>
        <w:rPr>
          <w:rFonts w:hint="eastAsia"/>
          <w:color w:val="000000" w:themeColor="text1"/>
          <w14:textFill>
            <w14:solidFill>
              <w14:schemeClr w14:val="tx1"/>
            </w14:solidFill>
          </w14:textFill>
        </w:rPr>
        <w:t>推动行政村生活垃圾分类屋（亭）100%覆盖，加快清洁乡村整治。到2027年，实现农村生活污水治理全覆盖，基本消除农村黑臭水体，基本完成渗漏厕所改造。</w:t>
      </w:r>
    </w:p>
    <w:p w14:paraId="6439B3D7">
      <w:pPr>
        <w:pStyle w:val="4"/>
        <w:bidi w:val="0"/>
        <w:rPr>
          <w:rFonts w:hint="eastAsia"/>
          <w:color w:val="000000" w:themeColor="text1"/>
          <w:lang w:eastAsia="zh-CN"/>
          <w14:textFill>
            <w14:solidFill>
              <w14:schemeClr w14:val="tx1"/>
            </w14:solidFill>
          </w14:textFill>
        </w:rPr>
      </w:pPr>
      <w:bookmarkStart w:id="14" w:name="_Toc17807"/>
      <w:r>
        <w:rPr>
          <w:rFonts w:hint="eastAsia"/>
          <w:color w:val="000000" w:themeColor="text1"/>
          <w:lang w:eastAsia="zh-CN"/>
          <w14:textFill>
            <w14:solidFill>
              <w14:schemeClr w14:val="tx1"/>
            </w14:solidFill>
          </w14:textFill>
        </w:rPr>
        <w:t>创新拓展生态产品价值实现路径</w:t>
      </w:r>
      <w:bookmarkEnd w:id="14"/>
    </w:p>
    <w:p w14:paraId="4A7B18AA">
      <w:pPr>
        <w:keepNext w:val="0"/>
        <w:keepLines w:val="0"/>
        <w:widowControl/>
        <w:suppressLineNumbers w:val="0"/>
        <w:jc w:val="left"/>
        <w:rPr>
          <w:rFonts w:hint="eastAsia"/>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加大对优质种质资源的产业化开发力度。</w:t>
      </w:r>
      <w:r>
        <w:rPr>
          <w:rFonts w:hint="eastAsia"/>
          <w:color w:val="000000" w:themeColor="text1"/>
          <w:lang w:eastAsia="zh-CN"/>
          <w14:textFill>
            <w14:solidFill>
              <w14:schemeClr w14:val="tx1"/>
            </w14:solidFill>
          </w14:textFill>
        </w:rPr>
        <w:t>畜牧方面重点发展屯昌黑猪，依托国家地理标志资源，兼顾屯昌白羊、屯昌香草鸭等本地特色畜禽品种，推广种养结合生态循环养殖模式，规范养殖流程，延伸产业链条，开发高端冷鲜肉、特色腊味等精深加工产品，持续提升品牌竞争力与市场附加值。农作物方面，以</w:t>
      </w:r>
      <w:r>
        <w:rPr>
          <w:rFonts w:ascii="仿宋_GB2312" w:hAnsi="仿宋_GB2312" w:eastAsia="仿宋_GB2312" w:cs="仿宋_GB2312"/>
          <w:color w:val="000000" w:themeColor="text1"/>
          <w:kern w:val="0"/>
          <w:sz w:val="31"/>
          <w:szCs w:val="31"/>
          <w:lang w:val="en-US" w:eastAsia="zh-CN" w:bidi="ar"/>
          <w14:textFill>
            <w14:solidFill>
              <w14:schemeClr w14:val="tx1"/>
            </w14:solidFill>
          </w14:textFill>
        </w:rPr>
        <w:t>南药产业为核心</w:t>
      </w:r>
      <w:r>
        <w:rPr>
          <w:rFonts w:hint="eastAsia" w:ascii="仿宋_GB2312" w:hAnsi="仿宋_GB2312" w:eastAsia="仿宋_GB2312" w:cs="仿宋_GB2312"/>
          <w:color w:val="000000" w:themeColor="text1"/>
          <w:kern w:val="0"/>
          <w:sz w:val="31"/>
          <w:szCs w:val="31"/>
          <w:lang w:val="en-US" w:eastAsia="zh-CN" w:bidi="ar"/>
          <w14:textFill>
            <w14:solidFill>
              <w14:schemeClr w14:val="tx1"/>
            </w14:solidFill>
          </w14:textFill>
        </w:rPr>
        <w:t>，拓展</w:t>
      </w:r>
      <w:r>
        <w:rPr>
          <w:rFonts w:hint="eastAsia"/>
          <w:color w:val="000000" w:themeColor="text1"/>
          <w:lang w:val="en-US" w:eastAsia="zh-CN"/>
          <w14:textFill>
            <w14:solidFill>
              <w14:schemeClr w14:val="tx1"/>
            </w14:solidFill>
          </w14:textFill>
        </w:rPr>
        <w:t>功能型农产品价值空间，</w:t>
      </w:r>
      <w:r>
        <w:rPr>
          <w:rFonts w:ascii="仿宋_GB2312" w:hAnsi="仿宋_GB2312" w:eastAsia="仿宋_GB2312" w:cs="仿宋_GB2312"/>
          <w:color w:val="000000" w:themeColor="text1"/>
          <w:kern w:val="0"/>
          <w:sz w:val="31"/>
          <w:szCs w:val="31"/>
          <w:lang w:val="en-US" w:eastAsia="zh-CN" w:bidi="ar"/>
          <w14:textFill>
            <w14:solidFill>
              <w14:schemeClr w14:val="tx1"/>
            </w14:solidFill>
          </w14:textFill>
        </w:rPr>
        <w:t>引导槟榔、橡胶、油茶、 咖啡等产业向高附加值产品延伸</w:t>
      </w:r>
      <w:r>
        <w:rPr>
          <w:rFonts w:hint="eastAsia" w:ascii="仿宋_GB2312" w:hAnsi="仿宋_GB2312" w:eastAsia="仿宋_GB2312" w:cs="仿宋_GB2312"/>
          <w:color w:val="000000" w:themeColor="text1"/>
          <w:kern w:val="0"/>
          <w:sz w:val="31"/>
          <w:szCs w:val="31"/>
          <w:lang w:val="en-US" w:eastAsia="zh-CN" w:bidi="ar"/>
          <w14:textFill>
            <w14:solidFill>
              <w14:schemeClr w14:val="tx1"/>
            </w14:solidFill>
          </w14:textFill>
        </w:rPr>
        <w:t>。依托屯昌</w:t>
      </w:r>
      <w:r>
        <w:rPr>
          <w:rFonts w:hint="eastAsia"/>
          <w:color w:val="000000" w:themeColor="text1"/>
          <w:lang w:eastAsia="zh-CN"/>
          <w14:textFill>
            <w14:solidFill>
              <w14:schemeClr w14:val="tx1"/>
            </w14:solidFill>
          </w14:textFill>
        </w:rPr>
        <w:t>苦瓜、热带水果等特色农产品开发果蔬精深加工产品。建设果蔬预冷库和分级包装中心，延长三红蜜柚、红莲雾保鲜期。开发黄皮果果脯、果酒等高附加值产品。加快环热带雨林国家公园旅游公路枫木支线配套服务设施建设，依托木色湖、青梯河、卧龙山等生态片区，发展生态旅游、健康养生、自然教育等业态，培育低碳文旅、绿色康养等新型消费场景，提升生态资源价值转化效率。策划实施木色湖流域、新吴溪流域生态治理等EOD项目，促进生态环境治理与资源、产业及城镇开发有效融合。</w:t>
      </w:r>
    </w:p>
    <w:p w14:paraId="2921D8CC">
      <w:pPr>
        <w:pStyle w:val="3"/>
        <w:bidi w:val="0"/>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增强森林碳汇能力。</w:t>
      </w:r>
      <w:r>
        <w:rPr>
          <w:rFonts w:hint="eastAsia"/>
          <w:color w:val="000000" w:themeColor="text1"/>
          <w:lang w:val="en-US" w:eastAsia="zh-CN"/>
          <w14:textFill>
            <w14:solidFill>
              <w14:schemeClr w14:val="tx1"/>
            </w14:solidFill>
          </w14:textFill>
        </w:rPr>
        <w:t>深入推进国土绿化行动，加强重点流域防护林体系建设，提升G9811中线高速、省道等骨干公路沿线绿色通道建设水平，充分挖掘城镇、村庄、社区、庭院等绿化潜力。提升森林生态系统质量，加大生态公益林保护力度，重点加强丘陵区次生林、绿色通道等中幼林抚育，实施低质低效林改造示范。全面深化“林长制”，强化县、镇、村三级林长责任体系落实，加强森林资源规范化管理。结合林草湿调查监测工作，推进森林生态效益动态监测和林业碳汇计量监测，完善全县森林资源管理“一张图”，为林业碳汇项目开发和生态产品价值实现提供基础支撑。</w:t>
      </w:r>
    </w:p>
    <w:p w14:paraId="0E752037">
      <w:pPr>
        <w:pStyle w:val="3"/>
        <w:rPr>
          <w:rFonts w:hint="eastAsia"/>
          <w:color w:val="000000" w:themeColor="text1"/>
          <w14:textFill>
            <w14:solidFill>
              <w14:schemeClr w14:val="tx1"/>
            </w14:solidFill>
          </w14:textFill>
        </w:rPr>
      </w:pPr>
    </w:p>
    <w:p w14:paraId="5F64CB12">
      <w:pPr>
        <w:pStyle w:val="3"/>
        <w:rPr>
          <w:rFonts w:hint="eastAsia"/>
          <w:color w:val="000000" w:themeColor="text1"/>
          <w14:textFill>
            <w14:solidFill>
              <w14:schemeClr w14:val="tx1"/>
            </w14:solidFill>
          </w14:textFill>
        </w:rPr>
      </w:pPr>
    </w:p>
    <w:p w14:paraId="3989A73D">
      <w:pPr>
        <w:pStyle w:val="3"/>
        <w:rPr>
          <w:rFonts w:hint="eastAsia"/>
          <w:color w:val="000000" w:themeColor="text1"/>
          <w14:textFill>
            <w14:solidFill>
              <w14:schemeClr w14:val="tx1"/>
            </w14:solidFill>
          </w14:textFill>
        </w:rPr>
      </w:pPr>
    </w:p>
    <w:p w14:paraId="657BFA15">
      <w:pPr>
        <w:pStyle w:val="2"/>
        <w:bidi w:val="0"/>
        <w:jc w:val="center"/>
        <w:rPr>
          <w:rFonts w:hint="eastAsia"/>
          <w:color w:val="000000" w:themeColor="text1"/>
          <w14:textFill>
            <w14:solidFill>
              <w14:schemeClr w14:val="tx1"/>
            </w14:solidFill>
          </w14:textFill>
        </w:rPr>
      </w:pPr>
      <w:bookmarkStart w:id="15" w:name="_Toc18555"/>
      <w:r>
        <w:rPr>
          <w:rFonts w:hint="eastAsia"/>
          <w:color w:val="000000" w:themeColor="text1"/>
          <w:lang w:val="en-US" w:eastAsia="zh-CN"/>
          <w14:textFill>
            <w14:solidFill>
              <w14:schemeClr w14:val="tx1"/>
            </w14:solidFill>
          </w14:textFill>
        </w:rPr>
        <w:t>强化绿色低碳</w:t>
      </w:r>
      <w:r>
        <w:rPr>
          <w:rFonts w:hint="eastAsia" w:ascii="Times New Roman" w:hAnsi="Times New Roman"/>
          <w:color w:val="000000" w:themeColor="text1"/>
          <w:lang w:val="en-US" w:eastAsia="zh-CN"/>
          <w14:textFill>
            <w14:solidFill>
              <w14:schemeClr w14:val="tx1"/>
            </w14:solidFill>
          </w14:textFill>
        </w:rPr>
        <w:t>引领，塑造高质量发展新引擎</w:t>
      </w:r>
      <w:bookmarkEnd w:id="15"/>
    </w:p>
    <w:p w14:paraId="24BF63DB">
      <w:pPr>
        <w:pStyle w:val="4"/>
        <w:bidi w:val="0"/>
        <w:rPr>
          <w:rFonts w:hint="default"/>
          <w:color w:val="000000" w:themeColor="text1"/>
          <w:lang w:val="en-US" w:eastAsia="zh-CN"/>
          <w14:textFill>
            <w14:solidFill>
              <w14:schemeClr w14:val="tx1"/>
            </w14:solidFill>
          </w14:textFill>
        </w:rPr>
      </w:pPr>
      <w:bookmarkStart w:id="16" w:name="_Toc7234"/>
      <w:r>
        <w:rPr>
          <w:rFonts w:hint="eastAsia"/>
          <w:color w:val="000000" w:themeColor="text1"/>
          <w:lang w:val="en-US" w:eastAsia="zh-CN"/>
          <w14:textFill>
            <w14:solidFill>
              <w14:schemeClr w14:val="tx1"/>
            </w14:solidFill>
          </w14:textFill>
        </w:rPr>
        <w:t>建立清洁低碳的能源体系</w:t>
      </w:r>
      <w:bookmarkEnd w:id="16"/>
    </w:p>
    <w:p w14:paraId="5D81EBF6">
      <w:pPr>
        <w:pStyle w:val="3"/>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建设覆盖县域的气网</w:t>
      </w:r>
      <w:r>
        <w:rPr>
          <w:rFonts w:hint="eastAsia"/>
          <w:color w:val="000000" w:themeColor="text1"/>
          <w:lang w:val="en-US" w:eastAsia="zh-CN"/>
          <w14:textFill>
            <w14:solidFill>
              <w14:schemeClr w14:val="tx1"/>
            </w14:solidFill>
          </w14:textFill>
        </w:rPr>
        <w:t>。围绕提升全县供气保障能力，推动屯昌县集中供气管网纳入定安（或琼中）干线，增强区域互联与气源保障。加快建设屯昌县大同综合能源站、坡心－乌坡中压管道、南坤镇LNG气化站等关键项目，夯实本地供气基础。实施燃气管网更新，重点推进县城老旧小区、燃气管网空白区的管网建设与改造，逐步延伸建设农村天然气管网。至2030年，县城燃气使用率提升至90%，集中供气覆盖率达到100%，工业用气覆盖率达100%。至2030年，大同产业园集中供热覆盖率达80%以上。</w:t>
      </w:r>
    </w:p>
    <w:p w14:paraId="4726AE59">
      <w:pPr>
        <w:pStyle w:val="3"/>
        <w:rPr>
          <w:rFonts w:hint="eastAsia"/>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建好农村能源革命试点县</w:t>
      </w:r>
      <w:r>
        <w:rPr>
          <w:rFonts w:hint="eastAsia"/>
          <w:color w:val="000000" w:themeColor="text1"/>
          <w:lang w:eastAsia="zh-CN"/>
          <w14:textFill>
            <w14:solidFill>
              <w14:schemeClr w14:val="tx1"/>
            </w14:solidFill>
          </w14:textFill>
        </w:rPr>
        <w:t>。构建以可再生能源为基础的农村清洁能源利用体系，支撑乡村振兴和农业农村现代化。结合村庄规划与产业特点，依托“农村能源革命试点县”，统筹利用农户屋顶、闲置土地、设施农业等资源，发展“源网荷储”</w:t>
      </w:r>
      <w:r>
        <w:rPr>
          <w:rStyle w:val="24"/>
          <w:rFonts w:hint="eastAsia"/>
          <w:color w:val="000000" w:themeColor="text1"/>
          <w:lang w:eastAsia="zh-CN"/>
          <w14:textFill>
            <w14:solidFill>
              <w14:schemeClr w14:val="tx1"/>
            </w14:solidFill>
          </w14:textFill>
        </w:rPr>
        <w:footnoteReference w:id="1"/>
      </w:r>
      <w:r>
        <w:rPr>
          <w:rFonts w:hint="eastAsia"/>
          <w:color w:val="000000" w:themeColor="text1"/>
          <w:lang w:eastAsia="zh-CN"/>
          <w14:textFill>
            <w14:solidFill>
              <w14:schemeClr w14:val="tx1"/>
            </w14:solidFill>
          </w14:textFill>
        </w:rPr>
        <w:t>协同运行的微电网，支持构建以太阳能、生物质能等分布式能源发电为主并实现就地就近消纳的县域新型电力系统。推进农村生物质资源能源化利用，加快构建秸秆、畜禽粪污等有机废弃物“收储运”体系，用于生物质颗粒制作、“气肥联产”</w:t>
      </w:r>
      <w:r>
        <w:rPr>
          <w:rStyle w:val="24"/>
          <w:rFonts w:hint="eastAsia"/>
          <w:color w:val="000000" w:themeColor="text1"/>
          <w:lang w:eastAsia="zh-CN"/>
          <w14:textFill>
            <w14:solidFill>
              <w14:schemeClr w14:val="tx1"/>
            </w14:solidFill>
          </w14:textFill>
        </w:rPr>
        <w:footnoteReference w:id="2"/>
      </w:r>
      <w:r>
        <w:rPr>
          <w:rFonts w:hint="eastAsia"/>
          <w:color w:val="000000" w:themeColor="text1"/>
          <w:lang w:eastAsia="zh-CN"/>
          <w14:textFill>
            <w14:solidFill>
              <w14:schemeClr w14:val="tx1"/>
            </w14:solidFill>
          </w14:textFill>
        </w:rPr>
        <w:t>等非电利用类项目，促进农村废弃物资源化能源化利用。</w:t>
      </w:r>
    </w:p>
    <w:p w14:paraId="503240CA">
      <w:pPr>
        <w:pStyle w:val="4"/>
        <w:bidi w:val="0"/>
        <w:rPr>
          <w:rFonts w:hint="eastAsia"/>
          <w:color w:val="000000" w:themeColor="text1"/>
          <w14:textFill>
            <w14:solidFill>
              <w14:schemeClr w14:val="tx1"/>
            </w14:solidFill>
          </w14:textFill>
        </w:rPr>
      </w:pPr>
      <w:bookmarkStart w:id="17" w:name="_Toc27895"/>
      <w:r>
        <w:rPr>
          <w:rFonts w:hint="eastAsia"/>
          <w:color w:val="000000" w:themeColor="text1"/>
          <w:lang w:val="en-US" w:eastAsia="zh-CN"/>
          <w14:textFill>
            <w14:solidFill>
              <w14:schemeClr w14:val="tx1"/>
            </w14:solidFill>
          </w14:textFill>
        </w:rPr>
        <w:t>推动城镇</w:t>
      </w:r>
      <w:r>
        <w:rPr>
          <w:rFonts w:hint="eastAsia"/>
          <w:color w:val="000000" w:themeColor="text1"/>
          <w14:textFill>
            <w14:solidFill>
              <w14:schemeClr w14:val="tx1"/>
            </w14:solidFill>
          </w14:textFill>
        </w:rPr>
        <w:t>建筑</w:t>
      </w:r>
      <w:r>
        <w:rPr>
          <w:rFonts w:hint="eastAsia"/>
          <w:color w:val="000000" w:themeColor="text1"/>
          <w:lang w:val="en-US" w:eastAsia="zh-CN"/>
          <w14:textFill>
            <w14:solidFill>
              <w14:schemeClr w14:val="tx1"/>
            </w14:solidFill>
          </w14:textFill>
        </w:rPr>
        <w:t>绿色低碳发展</w:t>
      </w:r>
      <w:bookmarkEnd w:id="17"/>
    </w:p>
    <w:p w14:paraId="25A9FCFC">
      <w:pPr>
        <w:pStyle w:val="3"/>
        <w:rPr>
          <w:rFonts w:hint="eastAsia" w:ascii="仿宋_GB2312" w:hAnsi="仿宋_GB2312" w:eastAsia="仿宋_GB2312" w:cs="仿宋_GB2312"/>
          <w:b w:val="0"/>
          <w:bCs w:val="0"/>
          <w:i w:val="0"/>
          <w:iCs w:val="0"/>
          <w:caps w:val="0"/>
          <w:color w:val="000000" w:themeColor="text1"/>
          <w:spacing w:val="0"/>
          <w:sz w:val="32"/>
          <w:szCs w:val="32"/>
          <w:highlight w:val="none"/>
          <w:u w:val="none" w:color="auto"/>
          <w:shd w:val="clear" w:color="auto" w:fill="auto"/>
          <w:lang w:eastAsia="zh-CN" w:bidi="ar"/>
          <w14:textFill>
            <w14:solidFill>
              <w14:schemeClr w14:val="tx1"/>
            </w14:solidFill>
          </w14:textFill>
        </w:rPr>
      </w:pPr>
      <w:r>
        <w:rPr>
          <w:rFonts w:hint="eastAsia"/>
          <w:b/>
          <w:bCs/>
          <w:color w:val="000000" w:themeColor="text1"/>
          <w14:textFill>
            <w14:solidFill>
              <w14:schemeClr w14:val="tx1"/>
            </w14:solidFill>
          </w14:textFill>
        </w:rPr>
        <w:t>推进既有建筑绿色化改造</w:t>
      </w:r>
      <w:r>
        <w:rPr>
          <w:rFonts w:hint="eastAsia"/>
          <w:b w:val="0"/>
          <w:bCs w:val="0"/>
          <w:color w:val="000000" w:themeColor="text1"/>
          <w14:textFill>
            <w14:solidFill>
              <w14:schemeClr w14:val="tx1"/>
            </w14:solidFill>
          </w14:textFill>
        </w:rPr>
        <w:t>。城市更新和城镇老旧小区改造时，因地制宜同步实施既有建筑绿色化改造。既有大型公共建筑和机关办公建筑、政府和国有资本投资的其他公共建筑，超过能耗限额标准的，应当优先纳入绿色化改造计划。鼓励建设单位采用合同能源管理等市场化方式进行建筑绿色化改造。优化建筑</w:t>
      </w:r>
      <w:r>
        <w:rPr>
          <w:rFonts w:hint="eastAsia"/>
          <w:b w:val="0"/>
          <w:bCs w:val="0"/>
          <w:color w:val="000000" w:themeColor="text1"/>
          <w:lang w:eastAsia="zh-CN"/>
          <w14:textFill>
            <w14:solidFill>
              <w14:schemeClr w14:val="tx1"/>
            </w14:solidFill>
          </w14:textFill>
        </w:rPr>
        <w:t>围护</w:t>
      </w:r>
      <w:r>
        <w:rPr>
          <w:rFonts w:hint="eastAsia"/>
          <w:b w:val="0"/>
          <w:bCs w:val="0"/>
          <w:color w:val="000000" w:themeColor="text1"/>
          <w14:textFill>
            <w14:solidFill>
              <w14:schemeClr w14:val="tx1"/>
            </w14:solidFill>
          </w14:textFill>
        </w:rPr>
        <w:t>结构和空调、供水、照明等用能系统，降低建筑运行能耗、水耗等，推广使用太阳能、生物质能等可再生能源。</w:t>
      </w:r>
      <w:r>
        <w:rPr>
          <w:rFonts w:hint="eastAsia" w:ascii="仿宋_GB2312" w:hAnsi="仿宋_GB2312" w:eastAsia="仿宋_GB2312" w:cs="仿宋_GB2312"/>
          <w:b w:val="0"/>
          <w:bCs w:val="0"/>
          <w:i w:val="0"/>
          <w:iCs w:val="0"/>
          <w:caps w:val="0"/>
          <w:color w:val="000000" w:themeColor="text1"/>
          <w:spacing w:val="0"/>
          <w:sz w:val="32"/>
          <w:szCs w:val="32"/>
          <w:highlight w:val="none"/>
          <w:u w:val="none" w:color="auto"/>
          <w:shd w:val="clear" w:color="auto" w:fill="auto"/>
          <w:lang w:bidi="ar"/>
          <w14:textFill>
            <w14:solidFill>
              <w14:schemeClr w14:val="tx1"/>
            </w14:solidFill>
          </w14:textFill>
        </w:rPr>
        <w:t>开展零碳建筑、零碳基础设施等示范工程</w:t>
      </w:r>
      <w:r>
        <w:rPr>
          <w:rFonts w:hint="eastAsia" w:ascii="仿宋_GB2312" w:hAnsi="仿宋_GB2312" w:cs="仿宋_GB2312"/>
          <w:b w:val="0"/>
          <w:bCs w:val="0"/>
          <w:i w:val="0"/>
          <w:iCs w:val="0"/>
          <w:caps w:val="0"/>
          <w:color w:val="000000" w:themeColor="text1"/>
          <w:spacing w:val="0"/>
          <w:sz w:val="32"/>
          <w:szCs w:val="32"/>
          <w:highlight w:val="none"/>
          <w:u w:val="none" w:color="auto"/>
          <w:shd w:val="clear" w:color="auto" w:fill="auto"/>
          <w:lang w:eastAsia="zh-CN" w:bidi="ar"/>
          <w14:textFill>
            <w14:solidFill>
              <w14:schemeClr w14:val="tx1"/>
            </w14:solidFill>
          </w14:textFill>
        </w:rPr>
        <w:t>。</w:t>
      </w:r>
    </w:p>
    <w:p w14:paraId="3180C269">
      <w:pPr>
        <w:pStyle w:val="3"/>
        <w:rPr>
          <w:rFonts w:hint="eastAsia"/>
          <w:b w:val="0"/>
          <w:bCs w:val="0"/>
          <w:color w:val="000000" w:themeColor="text1"/>
          <w:lang w:eastAsia="zh-CN"/>
          <w14:textFill>
            <w14:solidFill>
              <w14:schemeClr w14:val="tx1"/>
            </w14:solidFill>
          </w14:textFill>
        </w:rPr>
      </w:pPr>
      <w:r>
        <w:rPr>
          <w:rFonts w:hint="eastAsia"/>
          <w:b/>
          <w:bCs/>
          <w:color w:val="000000" w:themeColor="text1"/>
          <w14:textFill>
            <w14:solidFill>
              <w14:schemeClr w14:val="tx1"/>
            </w14:solidFill>
          </w14:textFill>
        </w:rPr>
        <w:t>大力推广装配式内装修</w:t>
      </w:r>
      <w:r>
        <w:rPr>
          <w:rFonts w:hint="eastAsia"/>
          <w:color w:val="000000" w:themeColor="text1"/>
          <w14:textFill>
            <w14:solidFill>
              <w14:schemeClr w14:val="tx1"/>
            </w14:solidFill>
          </w14:textFill>
        </w:rPr>
        <w:t>。推进装配式内装修在项目中的应用，引导项目采用干式工法、管线分离等装配式装修成套技术和工艺。推广预制装修部品部件</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率先在政府投资的安居房等保障性住房项目中采用装配式内装修</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市场监管部门要根据装配式预制部品部件的特征，加强质量监管。</w:t>
      </w:r>
      <w:r>
        <w:rPr>
          <w:rFonts w:hint="eastAsia"/>
          <w:b w:val="0"/>
          <w:bCs w:val="0"/>
          <w:color w:val="000000" w:themeColor="text1"/>
          <w14:textFill>
            <w14:solidFill>
              <w14:schemeClr w14:val="tx1"/>
            </w14:solidFill>
          </w14:textFill>
        </w:rPr>
        <w:t>拓宽装配式部品部件市政领域应用场景，推动装配式建造技术由住宅、公共、工业建筑延伸至市政基础设施。对具备条件的政府投资城市道路、桥梁、综合管廊、园林绿化、环卫工程</w:t>
      </w:r>
      <w:r>
        <w:rPr>
          <w:rFonts w:hint="eastAsia"/>
          <w:b w:val="0"/>
          <w:bCs w:val="0"/>
          <w:color w:val="000000" w:themeColor="text1"/>
          <w:lang w:eastAsia="zh-CN"/>
          <w14:textFill>
            <w14:solidFill>
              <w14:schemeClr w14:val="tx1"/>
            </w14:solidFill>
          </w14:textFill>
        </w:rPr>
        <w:t>等在</w:t>
      </w:r>
      <w:r>
        <w:rPr>
          <w:rFonts w:hint="eastAsia"/>
          <w:b w:val="0"/>
          <w:bCs w:val="0"/>
          <w:color w:val="000000" w:themeColor="text1"/>
          <w14:textFill>
            <w14:solidFill>
              <w14:schemeClr w14:val="tx1"/>
            </w14:solidFill>
          </w14:textFill>
        </w:rPr>
        <w:t>立项阶段明确装配式建造要求</w:t>
      </w:r>
      <w:r>
        <w:rPr>
          <w:rFonts w:hint="eastAsia"/>
          <w:b w:val="0"/>
          <w:bCs w:val="0"/>
          <w:color w:val="000000" w:themeColor="text1"/>
          <w:lang w:eastAsia="zh-CN"/>
          <w14:textFill>
            <w14:solidFill>
              <w14:schemeClr w14:val="tx1"/>
            </w14:solidFill>
          </w14:textFill>
        </w:rPr>
        <w:t>。</w:t>
      </w:r>
      <w:r>
        <w:rPr>
          <w:rFonts w:hint="eastAsia"/>
          <w:b w:val="0"/>
          <w:bCs w:val="0"/>
          <w:color w:val="000000" w:themeColor="text1"/>
          <w14:textFill>
            <w14:solidFill>
              <w14:schemeClr w14:val="tx1"/>
            </w14:solidFill>
          </w14:textFill>
        </w:rPr>
        <w:t>依托政府投资项目、大同产业园社会投资项目打造热带地区装配式建筑与绿色、超低能耗建筑集成示范，推动装配式建筑与太阳能一体化应用</w:t>
      </w:r>
      <w:r>
        <w:rPr>
          <w:rFonts w:hint="eastAsia"/>
          <w:b w:val="0"/>
          <w:bCs w:val="0"/>
          <w:color w:val="000000" w:themeColor="text1"/>
          <w:lang w:eastAsia="zh-CN"/>
          <w14:textFill>
            <w14:solidFill>
              <w14:schemeClr w14:val="tx1"/>
            </w14:solidFill>
          </w14:textFill>
        </w:rPr>
        <w:t>。</w:t>
      </w:r>
    </w:p>
    <w:p w14:paraId="70FE952C">
      <w:pPr>
        <w:pStyle w:val="3"/>
        <w:rPr>
          <w:rFonts w:hint="eastAsia"/>
          <w:b w:val="0"/>
          <w:bCs w:val="0"/>
          <w:color w:val="000000" w:themeColor="text1"/>
          <w:lang w:eastAsia="zh-CN"/>
          <w14:textFill>
            <w14:solidFill>
              <w14:schemeClr w14:val="tx1"/>
            </w14:solidFill>
          </w14:textFill>
        </w:rPr>
      </w:pPr>
    </w:p>
    <w:p w14:paraId="23547618">
      <w:pPr>
        <w:pStyle w:val="4"/>
        <w:bidi w:val="0"/>
        <w:rPr>
          <w:rFonts w:hint="eastAsia"/>
          <w:color w:val="000000" w:themeColor="text1"/>
          <w:lang w:val="en-US" w:eastAsia="zh-CN"/>
          <w14:textFill>
            <w14:solidFill>
              <w14:schemeClr w14:val="tx1"/>
            </w14:solidFill>
          </w14:textFill>
        </w:rPr>
      </w:pPr>
      <w:bookmarkStart w:id="18" w:name="_Toc12715"/>
      <w:r>
        <w:rPr>
          <w:rFonts w:hint="eastAsia"/>
          <w:color w:val="000000" w:themeColor="text1"/>
          <w:lang w:val="en-US" w:eastAsia="zh-CN"/>
          <w14:textFill>
            <w14:solidFill>
              <w14:schemeClr w14:val="tx1"/>
            </w14:solidFill>
          </w14:textFill>
        </w:rPr>
        <w:t>打造交通运输绿色名片</w:t>
      </w:r>
      <w:bookmarkEnd w:id="18"/>
    </w:p>
    <w:p w14:paraId="528FA546">
      <w:pPr>
        <w:pStyle w:val="3"/>
        <w:rPr>
          <w:rFonts w:hint="eastAsia"/>
          <w:b w:val="0"/>
          <w:bCs w:val="0"/>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提升交通基础设施绿色化水平</w:t>
      </w:r>
      <w:r>
        <w:rPr>
          <w:rFonts w:hint="eastAsia"/>
          <w:b w:val="0"/>
          <w:bCs w:val="0"/>
          <w:color w:val="000000" w:themeColor="text1"/>
          <w:lang w:val="en-US" w:eastAsia="zh-CN"/>
          <w14:textFill>
            <w14:solidFill>
              <w14:schemeClr w14:val="tx1"/>
            </w14:solidFill>
          </w14:textFill>
        </w:rPr>
        <w:t>。构建以主干路为骨干，次干路和支路为集散系统的城市路网体系，不断完善城市路网布局。加强人行步道和自行车专用道等城市慢行系统建设。延伸公交线路，推进农村客运，扩大公交覆盖范围，数字赋能智慧客运，助推公交服务升级。加强路面养护，推进绿色公路建设。提高停车设施供给能力，鼓励修建立体停车场，倡议政府、企事业单位停车场错时开放，充分利用社会资源。</w:t>
      </w:r>
    </w:p>
    <w:p w14:paraId="6902FC57">
      <w:pPr>
        <w:pStyle w:val="3"/>
        <w:rPr>
          <w:rFonts w:hint="eastAsia"/>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优化车辆结构</w:t>
      </w:r>
      <w:r>
        <w:rPr>
          <w:rFonts w:hint="eastAsia"/>
          <w:color w:val="000000" w:themeColor="text1"/>
          <w:lang w:val="en-US" w:eastAsia="zh-CN"/>
          <w14:textFill>
            <w14:solidFill>
              <w14:schemeClr w14:val="tx1"/>
            </w14:solidFill>
          </w14:textFill>
        </w:rPr>
        <w:t>。</w:t>
      </w:r>
      <w:r>
        <w:rPr>
          <w:rFonts w:hint="eastAsia"/>
          <w:color w:val="000000" w:themeColor="text1"/>
          <w14:textFill>
            <w14:solidFill>
              <w14:schemeClr w14:val="tx1"/>
            </w14:solidFill>
          </w14:textFill>
        </w:rPr>
        <w:t>推广新能源</w:t>
      </w:r>
      <w:r>
        <w:rPr>
          <w:rFonts w:hint="eastAsia"/>
          <w:color w:val="000000" w:themeColor="text1"/>
          <w:lang w:eastAsia="zh-CN"/>
          <w14:textFill>
            <w14:solidFill>
              <w14:schemeClr w14:val="tx1"/>
            </w14:solidFill>
          </w14:textFill>
        </w:rPr>
        <w:t>汽车</w:t>
      </w:r>
      <w:r>
        <w:rPr>
          <w:rFonts w:hint="eastAsia"/>
          <w:color w:val="000000" w:themeColor="text1"/>
          <w14:textFill>
            <w14:solidFill>
              <w14:schemeClr w14:val="tx1"/>
            </w14:solidFill>
          </w14:textFill>
        </w:rPr>
        <w:t>和充电、加氢站等基础设施建设，加强汽、柴油车辆监管。设立政府专项资金，并通过绿色政策撬动社会资本，完善新能源车配套设施建设，激励企业和个人购买与使用新能源车辆</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在屯昌县城及各镇公共区域、居民区（如新建住宅小区、老旧小区改造区域）、工业园区（如大同产业园）等场所，规划建设不同类型的新能源充电桩。</w:t>
      </w:r>
      <w:r>
        <w:rPr>
          <w:rFonts w:hint="eastAsia"/>
          <w:color w:val="000000" w:themeColor="text1"/>
          <w14:textFill>
            <w14:solidFill>
              <w14:schemeClr w14:val="tx1"/>
            </w14:solidFill>
          </w14:textFill>
        </w:rPr>
        <w:t>大力推广清洁能源车辆在城市公交、出租汽车、邮政快递等公共服务领域的应用。</w:t>
      </w:r>
    </w:p>
    <w:p w14:paraId="657214E0">
      <w:pPr>
        <w:pStyle w:val="4"/>
        <w:bidi w:val="0"/>
        <w:rPr>
          <w:rFonts w:hint="eastAsia"/>
          <w:color w:val="000000" w:themeColor="text1"/>
          <w:lang w:val="en-US" w:eastAsia="zh-CN"/>
          <w14:textFill>
            <w14:solidFill>
              <w14:schemeClr w14:val="tx1"/>
            </w14:solidFill>
          </w14:textFill>
        </w:rPr>
      </w:pPr>
      <w:bookmarkStart w:id="19" w:name="_Toc11848"/>
      <w:r>
        <w:rPr>
          <w:rFonts w:hint="eastAsia"/>
          <w:color w:val="000000" w:themeColor="text1"/>
          <w:lang w:val="en-US" w:eastAsia="zh-CN"/>
          <w14:textFill>
            <w14:solidFill>
              <w14:schemeClr w14:val="tx1"/>
            </w14:solidFill>
          </w14:textFill>
        </w:rPr>
        <w:t>适应气候变化</w:t>
      </w:r>
      <w:bookmarkEnd w:id="19"/>
    </w:p>
    <w:p w14:paraId="17CE3FBF">
      <w:pPr>
        <w:pStyle w:val="3"/>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强化气候变化适应能力</w:t>
      </w:r>
      <w:r>
        <w:rPr>
          <w:rFonts w:hint="eastAsia"/>
          <w:color w:val="000000" w:themeColor="text1"/>
          <w:lang w:val="en-US" w:eastAsia="zh-CN"/>
          <w14:textFill>
            <w14:solidFill>
              <w14:schemeClr w14:val="tx1"/>
            </w14:solidFill>
          </w14:textFill>
        </w:rPr>
        <w:t>。将气候适应力提升融入城乡规划、建设与管理全过程，构建“设施坚固、民生安稳、治理有效”的社会韧性体系。推广滴灌、喷灌等高效节水技术，依托海南省台风季节应急保供蔬菜（屯昌）基地，推广配备自动遮阳、水肥一体化系统的锯齿形连栋大棚，选育耐高温、抗旱、抗涝作物品种。完善农田水利设施，统筹调配水资源，提升抗旱保收能力。提升生态系统适应力，巩固森林覆盖率，加强热带雨林保护修复，提升生态系统碳汇与水土保持功能。推进“六水共治”</w:t>
      </w:r>
      <w:r>
        <w:rPr>
          <w:rStyle w:val="24"/>
          <w:rFonts w:hint="eastAsia"/>
          <w:color w:val="000000" w:themeColor="text1"/>
          <w:lang w:val="en-US" w:eastAsia="zh-CN"/>
          <w14:textFill>
            <w14:solidFill>
              <w14:schemeClr w14:val="tx1"/>
            </w14:solidFill>
          </w14:textFill>
        </w:rPr>
        <w:footnoteReference w:id="3"/>
      </w:r>
      <w:r>
        <w:rPr>
          <w:rFonts w:hint="eastAsia"/>
          <w:color w:val="000000" w:themeColor="text1"/>
          <w:lang w:val="en-US" w:eastAsia="zh-CN"/>
          <w14:textFill>
            <w14:solidFill>
              <w14:schemeClr w14:val="tx1"/>
            </w14:solidFill>
          </w14:textFill>
        </w:rPr>
        <w:t>，升级县城雨污水管网，健全流域联防联控机制，防范极端强降水引发的内涝与山洪。推进绿色建筑与装配式建筑全覆盖，提升建筑抗风、隔热性能。加快交通能源融合与储能电站建设，构建韧性电网，保障极端天气下能源供应稳定。健全防灾减灾科技支撑体系，完善高温、台风、暴雨监测预警体系，健全应急响应机制，加强防汛抗旱物资储备与抢险演练，提升城乡防灾减灾救灾能力。</w:t>
      </w:r>
    </w:p>
    <w:p w14:paraId="4A69A633">
      <w:pPr>
        <w:pStyle w:val="3"/>
        <w:rPr>
          <w:rFonts w:hint="eastAsia"/>
          <w:color w:val="000000" w:themeColor="text1"/>
          <w:lang w:val="en-US" w:eastAsia="zh-CN"/>
          <w14:textFill>
            <w14:solidFill>
              <w14:schemeClr w14:val="tx1"/>
            </w14:solidFill>
          </w14:textFill>
        </w:rPr>
      </w:pPr>
    </w:p>
    <w:p w14:paraId="1AB28B20">
      <w:pPr>
        <w:pStyle w:val="3"/>
        <w:rPr>
          <w:rFonts w:hint="eastAsia"/>
          <w:color w:val="000000" w:themeColor="text1"/>
          <w:lang w:val="en-US" w:eastAsia="zh-CN"/>
          <w14:textFill>
            <w14:solidFill>
              <w14:schemeClr w14:val="tx1"/>
            </w14:solidFill>
          </w14:textFill>
        </w:rPr>
      </w:pPr>
    </w:p>
    <w:p w14:paraId="00DFC3ED">
      <w:pPr>
        <w:pStyle w:val="3"/>
        <w:rPr>
          <w:rFonts w:hint="eastAsia"/>
          <w:color w:val="000000" w:themeColor="text1"/>
          <w:lang w:val="en-US" w:eastAsia="zh-CN"/>
          <w14:textFill>
            <w14:solidFill>
              <w14:schemeClr w14:val="tx1"/>
            </w14:solidFill>
          </w14:textFill>
        </w:rPr>
      </w:pPr>
    </w:p>
    <w:p w14:paraId="7B4EA26B">
      <w:pPr>
        <w:pStyle w:val="3"/>
        <w:rPr>
          <w:rFonts w:hint="eastAsia"/>
          <w:color w:val="000000" w:themeColor="text1"/>
          <w:lang w:val="en-US" w:eastAsia="zh-CN"/>
          <w14:textFill>
            <w14:solidFill>
              <w14:schemeClr w14:val="tx1"/>
            </w14:solidFill>
          </w14:textFill>
        </w:rPr>
      </w:pPr>
    </w:p>
    <w:p w14:paraId="0CE9D9D4">
      <w:pPr>
        <w:pStyle w:val="3"/>
        <w:rPr>
          <w:rFonts w:hint="eastAsia"/>
          <w:color w:val="000000" w:themeColor="text1"/>
          <w:lang w:val="en-US" w:eastAsia="zh-CN"/>
          <w14:textFill>
            <w14:solidFill>
              <w14:schemeClr w14:val="tx1"/>
            </w14:solidFill>
          </w14:textFill>
        </w:rPr>
      </w:pPr>
    </w:p>
    <w:p w14:paraId="72C5A8AE">
      <w:pPr>
        <w:pStyle w:val="3"/>
        <w:rPr>
          <w:rFonts w:hint="eastAsia"/>
          <w:color w:val="000000" w:themeColor="text1"/>
          <w:lang w:val="en-US" w:eastAsia="zh-CN"/>
          <w14:textFill>
            <w14:solidFill>
              <w14:schemeClr w14:val="tx1"/>
            </w14:solidFill>
          </w14:textFill>
        </w:rPr>
      </w:pPr>
    </w:p>
    <w:p w14:paraId="38BF44A3">
      <w:pPr>
        <w:pStyle w:val="3"/>
        <w:rPr>
          <w:rFonts w:hint="eastAsia"/>
          <w:color w:val="000000" w:themeColor="text1"/>
          <w:lang w:val="en-US" w:eastAsia="zh-CN"/>
          <w14:textFill>
            <w14:solidFill>
              <w14:schemeClr w14:val="tx1"/>
            </w14:solidFill>
          </w14:textFill>
        </w:rPr>
      </w:pPr>
    </w:p>
    <w:p w14:paraId="13E746EE">
      <w:pPr>
        <w:pStyle w:val="3"/>
        <w:rPr>
          <w:rFonts w:hint="eastAsia"/>
          <w:color w:val="000000" w:themeColor="text1"/>
          <w:lang w:val="en-US" w:eastAsia="zh-CN"/>
          <w14:textFill>
            <w14:solidFill>
              <w14:schemeClr w14:val="tx1"/>
            </w14:solidFill>
          </w14:textFill>
        </w:rPr>
      </w:pPr>
    </w:p>
    <w:p w14:paraId="644A45F6">
      <w:pPr>
        <w:pStyle w:val="3"/>
        <w:rPr>
          <w:rFonts w:hint="eastAsia"/>
          <w:color w:val="000000" w:themeColor="text1"/>
          <w:lang w:val="en-US" w:eastAsia="zh-CN"/>
          <w14:textFill>
            <w14:solidFill>
              <w14:schemeClr w14:val="tx1"/>
            </w14:solidFill>
          </w14:textFill>
        </w:rPr>
      </w:pPr>
    </w:p>
    <w:p w14:paraId="7EF2197E">
      <w:pPr>
        <w:pStyle w:val="2"/>
        <w:bidi w:val="0"/>
        <w:jc w:val="center"/>
        <w:rPr>
          <w:rFonts w:hint="eastAsia"/>
          <w:color w:val="000000" w:themeColor="text1"/>
          <w14:textFill>
            <w14:solidFill>
              <w14:schemeClr w14:val="tx1"/>
            </w14:solidFill>
          </w14:textFill>
        </w:rPr>
      </w:pPr>
      <w:bookmarkStart w:id="20" w:name="_Toc19124"/>
      <w:r>
        <w:rPr>
          <w:rFonts w:hint="eastAsia"/>
          <w:color w:val="000000" w:themeColor="text1"/>
          <w:lang w:eastAsia="zh-CN"/>
          <w14:textFill>
            <w14:solidFill>
              <w14:schemeClr w14:val="tx1"/>
            </w14:solidFill>
          </w14:textFill>
        </w:rPr>
        <w:t>深入推进污染防治攻坚战</w:t>
      </w:r>
      <w:bookmarkEnd w:id="20"/>
    </w:p>
    <w:p w14:paraId="78225860">
      <w:pPr>
        <w:pStyle w:val="4"/>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ind w:left="403" w:leftChars="0" w:firstLine="1280" w:firstLineChars="400"/>
        <w:jc w:val="both"/>
        <w:textAlignment w:val="auto"/>
        <w:rPr>
          <w:rFonts w:hint="eastAsia"/>
          <w:color w:val="000000" w:themeColor="text1"/>
          <w:lang w:eastAsia="zh-CN"/>
          <w14:textFill>
            <w14:solidFill>
              <w14:schemeClr w14:val="tx1"/>
            </w14:solidFill>
          </w14:textFill>
        </w:rPr>
      </w:pPr>
      <w:bookmarkStart w:id="21" w:name="_Toc10074"/>
      <w:r>
        <w:rPr>
          <w:rFonts w:hint="eastAsia"/>
          <w:color w:val="000000" w:themeColor="text1"/>
          <w:lang w:eastAsia="zh-CN"/>
          <w14:textFill>
            <w14:solidFill>
              <w14:schemeClr w14:val="tx1"/>
            </w14:solidFill>
          </w14:textFill>
        </w:rPr>
        <w:t>第一节　建设“美丽河湖”，构建人水和谐</w:t>
      </w:r>
      <w:bookmarkEnd w:id="21"/>
    </w:p>
    <w:p w14:paraId="527BEBEE">
      <w:pPr>
        <w:pStyle w:val="3"/>
        <w:bidi w:val="0"/>
        <w:rPr>
          <w:rFonts w:hint="default" w:eastAsia="仿宋_GB2312"/>
          <w:color w:val="000000" w:themeColor="text1"/>
          <w:lang w:val="en-US" w:eastAsia="zh-CN"/>
          <w14:textFill>
            <w14:solidFill>
              <w14:schemeClr w14:val="tx1"/>
            </w14:solidFill>
          </w14:textFill>
        </w:rPr>
      </w:pPr>
      <w:r>
        <w:rPr>
          <w:rFonts w:hint="eastAsia"/>
          <w:b/>
          <w:bCs/>
          <w:color w:val="000000" w:themeColor="text1"/>
          <w:lang w:eastAsia="zh-CN"/>
          <w14:textFill>
            <w14:solidFill>
              <w14:schemeClr w14:val="tx1"/>
            </w14:solidFill>
          </w14:textFill>
        </w:rPr>
        <w:t>优化</w:t>
      </w:r>
      <w:r>
        <w:rPr>
          <w:rFonts w:hint="eastAsia"/>
          <w:b/>
          <w:bCs/>
          <w:color w:val="000000" w:themeColor="text1"/>
          <w14:textFill>
            <w14:solidFill>
              <w14:schemeClr w14:val="tx1"/>
            </w14:solidFill>
          </w14:textFill>
        </w:rPr>
        <w:t>城乡</w:t>
      </w:r>
      <w:r>
        <w:rPr>
          <w:rFonts w:hint="eastAsia"/>
          <w:b/>
          <w:bCs/>
          <w:color w:val="000000" w:themeColor="text1"/>
          <w:lang w:eastAsia="zh-CN"/>
          <w14:textFill>
            <w14:solidFill>
              <w14:schemeClr w14:val="tx1"/>
            </w14:solidFill>
          </w14:textFill>
        </w:rPr>
        <w:t>污水治理体系。</w:t>
      </w:r>
      <w:r>
        <w:rPr>
          <w:rFonts w:hint="eastAsia"/>
          <w:color w:val="000000" w:themeColor="text1"/>
          <w14:textFill>
            <w14:solidFill>
              <w14:schemeClr w14:val="tx1"/>
            </w14:solidFill>
          </w14:textFill>
        </w:rPr>
        <w:t>持续深化城镇污水管网排查，全面摸清布局、数量、质量等基础底数，建立健全地下管网档案数据库。加快污水处理基础设施建设，坚持“山水林田湖草</w:t>
      </w:r>
      <w:r>
        <w:rPr>
          <w:rFonts w:hint="eastAsia"/>
          <w:color w:val="000000" w:themeColor="text1"/>
          <w:lang w:eastAsia="zh-CN"/>
          <w14:textFill>
            <w14:solidFill>
              <w14:schemeClr w14:val="tx1"/>
            </w14:solidFill>
          </w14:textFill>
        </w:rPr>
        <w:t>沙</w:t>
      </w:r>
      <w:r>
        <w:rPr>
          <w:rFonts w:hint="eastAsia"/>
          <w:color w:val="000000" w:themeColor="text1"/>
          <w14:textFill>
            <w14:solidFill>
              <w14:schemeClr w14:val="tx1"/>
            </w14:solidFill>
          </w14:textFill>
        </w:rPr>
        <w:t>”是一个生命共同体的科学理念，以提升水生态环境质量为核心，坚持污染减排和生态扩容两手发力。将农村污水管网纳入“十五五”农村基础设施建设规划，推行“厂网一体化”管理，实施城镇排水系统厂网统筹建设与一体化运行管理，强化污水处理厂与排水管网的协调联动，确保系统运行安全高效。完善城镇污水处理收费机制，落实差异化收费与低收入群体费用减免政策，稳步探索污水阶梯收费改革。</w:t>
      </w:r>
      <w:r>
        <w:rPr>
          <w:rFonts w:hint="eastAsia"/>
          <w:color w:val="000000" w:themeColor="text1"/>
          <w:lang w:val="en-US" w:eastAsia="zh-CN"/>
          <w14:textFill>
            <w14:solidFill>
              <w14:schemeClr w14:val="tx1"/>
            </w14:solidFill>
          </w14:textFill>
        </w:rPr>
        <w:t>开展屯昌县县域和产城融合示范区污水处理厂及配套管网工程、屯昌县主城区雨污水管网升级改造项目建设，</w:t>
      </w:r>
      <w:r>
        <w:rPr>
          <w:rFonts w:hint="eastAsia"/>
          <w:color w:val="000000" w:themeColor="text1"/>
          <w14:textFill>
            <w14:solidFill>
              <w14:schemeClr w14:val="tx1"/>
            </w14:solidFill>
          </w14:textFill>
        </w:rPr>
        <w:t>科学合理确定新增污水配套管网规模及布局，推进城乡管网全覆盖，提高全县污水有效收集处理率，减少进入河湖水系的污染负荷总量。</w:t>
      </w:r>
      <w:r>
        <w:rPr>
          <w:rFonts w:hint="eastAsia"/>
          <w:color w:val="000000" w:themeColor="text1"/>
          <w:lang w:val="en-US" w:eastAsia="zh-CN"/>
          <w14:textFill>
            <w14:solidFill>
              <w14:schemeClr w14:val="tx1"/>
            </w14:solidFill>
          </w14:textFill>
        </w:rPr>
        <w:t>积极谋划并推进屯昌县农村生活污水治理项目，到2030年，屯昌县农村生活污水治理率提高至100%。</w:t>
      </w:r>
    </w:p>
    <w:p w14:paraId="6308AD29">
      <w:pPr>
        <w:pStyle w:val="3"/>
        <w:bidi w:val="0"/>
        <w:rPr>
          <w:rFonts w:hint="eastAsia"/>
          <w:color w:val="000000" w:themeColor="text1"/>
          <w:lang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推进水资源保护与节约利用。</w:t>
      </w:r>
      <w:r>
        <w:rPr>
          <w:rFonts w:hint="eastAsia"/>
          <w:color w:val="000000" w:themeColor="text1"/>
          <w:lang w:val="en-US" w:eastAsia="zh-CN"/>
          <w14:textFill>
            <w14:solidFill>
              <w14:schemeClr w14:val="tx1"/>
            </w14:solidFill>
          </w14:textFill>
        </w:rPr>
        <w:t>加强饮用水水源保护，</w:t>
      </w:r>
      <w:r>
        <w:rPr>
          <w:rFonts w:hint="eastAsia"/>
          <w:color w:val="000000" w:themeColor="text1"/>
          <w:lang w:eastAsia="zh-CN"/>
          <w14:textFill>
            <w14:solidFill>
              <w14:schemeClr w14:val="tx1"/>
            </w14:solidFill>
          </w14:textFill>
        </w:rPr>
        <w:t>强化饮用水从水源到水龙头全过程监管，积极推进“划、立、治”，常态化开展饮用水水源地水质生物毒性监测预警，确保城乡集中供水水质达标率100%。加强全县乡村饮用水供水管网建设、更新和延伸，进一步改善乡村饮用水消毒设施和供水卫生条件，全面保障村镇饮用水卫生合格。开展</w:t>
      </w:r>
      <w:r>
        <w:rPr>
          <w:rFonts w:hint="eastAsia"/>
          <w:color w:val="000000" w:themeColor="text1"/>
          <w:lang w:val="en-US" w:eastAsia="zh-CN"/>
          <w14:textFill>
            <w14:solidFill>
              <w14:schemeClr w14:val="tx1"/>
            </w14:solidFill>
          </w14:textFill>
        </w:rPr>
        <w:t>屯昌县饮用水水源地安全保障能力提升及规范化建设工程，有序推进</w:t>
      </w:r>
      <w:r>
        <w:rPr>
          <w:rFonts w:hint="eastAsia"/>
          <w:color w:val="000000" w:themeColor="text1"/>
          <w:lang w:eastAsia="zh-CN"/>
          <w14:textFill>
            <w14:solidFill>
              <w14:schemeClr w14:val="tx1"/>
            </w14:solidFill>
          </w14:textFill>
        </w:rPr>
        <w:t>县级（良坡水库）以及“万人千吨”饮用水水源地（</w:t>
      </w:r>
      <w:r>
        <w:rPr>
          <w:rFonts w:hint="eastAsia"/>
          <w:color w:val="000000" w:themeColor="text1"/>
          <w:lang w:val="en-US" w:eastAsia="zh-CN"/>
          <w14:textFill>
            <w14:solidFill>
              <w14:schemeClr w14:val="tx1"/>
            </w14:solidFill>
          </w14:textFill>
        </w:rPr>
        <w:t>高山二水库</w:t>
      </w:r>
      <w:r>
        <w:rPr>
          <w:rFonts w:hint="eastAsia"/>
          <w:color w:val="000000" w:themeColor="text1"/>
          <w:lang w:eastAsia="zh-CN"/>
          <w14:textFill>
            <w14:solidFill>
              <w14:schemeClr w14:val="tx1"/>
            </w14:solidFill>
          </w14:textFill>
        </w:rPr>
        <w:t>、雷公滩</w:t>
      </w:r>
      <w:r>
        <w:rPr>
          <w:rFonts w:hint="eastAsia"/>
          <w:color w:val="000000" w:themeColor="text1"/>
          <w:lang w:val="en-US" w:eastAsia="zh-CN"/>
          <w14:textFill>
            <w14:solidFill>
              <w14:schemeClr w14:val="tx1"/>
            </w14:solidFill>
          </w14:textFill>
        </w:rPr>
        <w:t>水库</w:t>
      </w:r>
      <w:r>
        <w:rPr>
          <w:rFonts w:hint="eastAsia"/>
          <w:color w:val="000000" w:themeColor="text1"/>
          <w:lang w:eastAsia="zh-CN"/>
          <w14:textFill>
            <w14:solidFill>
              <w14:schemeClr w14:val="tx1"/>
            </w14:solidFill>
          </w14:textFill>
        </w:rPr>
        <w:t>）等规范化建设，包括新建及修缮宣传牌、交通警示牌、保护隔离网、界桩等。加强饮用水水源保护区内应急防护措施建设，在X382县道穿越良坡水库二级保护区的桥梁段修建导流槽、应急池应急防护设施。</w:t>
      </w:r>
      <w:r>
        <w:rPr>
          <w:rFonts w:hint="eastAsia"/>
          <w:color w:val="000000" w:themeColor="text1"/>
          <w:lang w:val="en-US" w:eastAsia="zh-CN"/>
          <w14:textFill>
            <w14:solidFill>
              <w14:schemeClr w14:val="tx1"/>
            </w14:solidFill>
          </w14:textFill>
        </w:rPr>
        <w:t>到</w:t>
      </w:r>
      <w:r>
        <w:rPr>
          <w:rFonts w:hint="eastAsia"/>
          <w:color w:val="000000" w:themeColor="text1"/>
          <w:lang w:eastAsia="zh-CN"/>
          <w14:textFill>
            <w14:solidFill>
              <w14:schemeClr w14:val="tx1"/>
            </w14:solidFill>
          </w14:textFill>
        </w:rPr>
        <w:t>2030年，屯昌县集中式饮用水水源地规范化建设全部完成。</w:t>
      </w:r>
      <w:r>
        <w:rPr>
          <w:rFonts w:hint="eastAsia"/>
          <w:color w:val="000000" w:themeColor="text1"/>
          <w:lang w:val="en-US" w:eastAsia="zh-CN"/>
          <w14:textFill>
            <w14:solidFill>
              <w14:schemeClr w14:val="tx1"/>
            </w14:solidFill>
          </w14:textFill>
        </w:rPr>
        <w:t>落实</w:t>
      </w:r>
      <w:r>
        <w:rPr>
          <w:rFonts w:hint="eastAsia"/>
          <w:color w:val="000000" w:themeColor="text1"/>
          <w:lang w:eastAsia="zh-CN"/>
          <w14:textFill>
            <w14:solidFill>
              <w14:schemeClr w14:val="tx1"/>
            </w14:solidFill>
          </w14:textFill>
        </w:rPr>
        <w:t>南渡江联防联控工作机制，联合定安、澄迈、海口等市县构建南渡江上下游贯通一体的水环境、水资源、水生态“三水统筹”治理体系，保障供水饮水安全健康和生态流量。建立节水评价机制，实施规划与建设项目节水评价。推进农业节水增效，逐步把永久基本农田建成高标准农田。加强工业节水减排，严格用水定额管理，落实节水“三同时”</w:t>
      </w:r>
      <w:r>
        <w:rPr>
          <w:rStyle w:val="24"/>
          <w:rFonts w:hint="eastAsia"/>
          <w:color w:val="000000" w:themeColor="text1"/>
          <w:lang w:eastAsia="zh-CN"/>
          <w14:textFill>
            <w14:solidFill>
              <w14:schemeClr w14:val="tx1"/>
            </w14:solidFill>
          </w14:textFill>
        </w:rPr>
        <w:footnoteReference w:id="4"/>
      </w:r>
      <w:r>
        <w:rPr>
          <w:rFonts w:hint="eastAsia"/>
          <w:color w:val="000000" w:themeColor="text1"/>
          <w:lang w:eastAsia="zh-CN"/>
          <w14:textFill>
            <w14:solidFill>
              <w14:schemeClr w14:val="tx1"/>
            </w14:solidFill>
          </w14:textFill>
        </w:rPr>
        <w:t>制度。加强城镇节水降损，落实城镇非居民用水超定额累进加价制度。推动污水资源化利用，加强非常规水资源开发和安全利用。</w:t>
      </w:r>
    </w:p>
    <w:p w14:paraId="60771B11">
      <w:pPr>
        <w:pStyle w:val="3"/>
        <w:bidi w:val="0"/>
        <w:rPr>
          <w:rFonts w:hint="eastAsia"/>
          <w:color w:val="000000" w:themeColor="text1"/>
          <w:lang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科学制定河湖保护与修复方案</w:t>
      </w:r>
      <w:r>
        <w:rPr>
          <w:rFonts w:hint="eastAsia"/>
          <w:color w:val="000000" w:themeColor="text1"/>
          <w:lang w:val="en-US" w:eastAsia="zh-CN"/>
          <w14:textFill>
            <w14:solidFill>
              <w14:schemeClr w14:val="tx1"/>
            </w14:solidFill>
          </w14:textFill>
        </w:rPr>
        <w:t>。</w:t>
      </w:r>
      <w:r>
        <w:rPr>
          <w:rFonts w:hint="eastAsia"/>
          <w:color w:val="000000" w:themeColor="text1"/>
          <w:lang w:eastAsia="zh-CN"/>
          <w14:textFill>
            <w14:solidFill>
              <w14:schemeClr w14:val="tx1"/>
            </w14:solidFill>
          </w14:textFill>
        </w:rPr>
        <w:t>系统开展全县河湖水域生态本底调查，重点评估水质状况、水生生物多样性、河湖生态健康状况及亲水空间品质，全面诊断河湖生态环境突出问题，构建河湖生态数据库与管理平台，最终形成“一河一策”，为打造“水清岸绿、鱼翔浅底”的美丽河湖提供技术支撑。按照“一河一策”制定水生态修复方案，科学划定河湖生态缓冲带，优先将河湖生态缓冲带纳入岸线保护区和保留区。加强与定安、澄迈、海口等市县的协作，不断完善南渡江联防联控工作机制，到2030年完成南渡江水生态调查评估，</w:t>
      </w:r>
      <w:r>
        <w:rPr>
          <w:rFonts w:hint="eastAsia"/>
          <w:color w:val="000000" w:themeColor="text1"/>
          <w:lang w:val="en-US" w:eastAsia="zh-CN"/>
          <w14:textFill>
            <w14:solidFill>
              <w14:schemeClr w14:val="tx1"/>
            </w14:solidFill>
          </w14:textFill>
        </w:rPr>
        <w:t>并对屯昌县境内新吴溪（南渡江支流）开展</w:t>
      </w:r>
      <w:r>
        <w:rPr>
          <w:rFonts w:hint="eastAsia"/>
          <w:color w:val="000000" w:themeColor="text1"/>
          <w:lang w:eastAsia="zh-CN"/>
          <w14:textFill>
            <w14:solidFill>
              <w14:schemeClr w14:val="tx1"/>
            </w14:solidFill>
          </w14:textFill>
        </w:rPr>
        <w:t>针对性</w:t>
      </w:r>
      <w:r>
        <w:rPr>
          <w:rFonts w:hint="eastAsia"/>
          <w:color w:val="000000" w:themeColor="text1"/>
          <w:lang w:val="en-US" w:eastAsia="zh-CN"/>
          <w14:textFill>
            <w14:solidFill>
              <w14:schemeClr w14:val="tx1"/>
            </w14:solidFill>
          </w14:textFill>
        </w:rPr>
        <w:t>的</w:t>
      </w:r>
      <w:r>
        <w:rPr>
          <w:rFonts w:hint="eastAsia"/>
          <w:color w:val="000000" w:themeColor="text1"/>
          <w:lang w:eastAsia="zh-CN"/>
          <w14:textFill>
            <w14:solidFill>
              <w14:schemeClr w14:val="tx1"/>
            </w14:solidFill>
          </w14:textFill>
        </w:rPr>
        <w:t>保护与恢复土著鱼类和水生生物生境工作。将新吴溪水利红线及良坡水库饮用水水源地一、二级保护区水域及陆地生态保护红线纳入国土空间生态保护修复项目范围。</w:t>
      </w:r>
    </w:p>
    <w:p w14:paraId="023F7D2A">
      <w:pPr>
        <w:pStyle w:val="3"/>
        <w:bidi w:val="0"/>
        <w:rPr>
          <w:rFonts w:hint="eastAsia"/>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实施入河排污口全过程排查与分类整治</w:t>
      </w:r>
      <w:r>
        <w:rPr>
          <w:rFonts w:hint="eastAsia"/>
          <w:color w:val="000000" w:themeColor="text1"/>
          <w:lang w:eastAsia="zh-CN"/>
          <w14:textFill>
            <w14:solidFill>
              <w14:schemeClr w14:val="tx1"/>
            </w14:solidFill>
          </w14:textFill>
        </w:rPr>
        <w:t>。按照“查、测、溯、治”原则，全面开展主要河流（南渡江、腰子河、贤水、南坤河、岭肚河、土岭河、西昌河、新吴溪、坎头河、吉安河、南淀河、洋坡溪、百家溪、卜南河、青梯河、深湾河）入河排污口排查整治，实施入河排污口分类整治，推进排污单位—排污水体—排污口—排污管线—污染源全过程管理，形成集排污口、重点企业、水质考核断面于一体的水环境一张图。</w:t>
      </w:r>
    </w:p>
    <w:p w14:paraId="1ACADEDA">
      <w:pPr>
        <w:pStyle w:val="3"/>
        <w:bidi w:val="0"/>
        <w:rPr>
          <w:rFonts w:hint="eastAsia"/>
          <w:color w:val="000000" w:themeColor="text1"/>
          <w:lang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进一步改善河湖水质</w:t>
      </w:r>
      <w:r>
        <w:rPr>
          <w:rFonts w:hint="eastAsia"/>
          <w:color w:val="000000" w:themeColor="text1"/>
          <w:lang w:val="en-US" w:eastAsia="zh-CN"/>
          <w14:textFill>
            <w14:solidFill>
              <w14:schemeClr w14:val="tx1"/>
            </w14:solidFill>
          </w14:textFill>
        </w:rPr>
        <w:t>。</w:t>
      </w:r>
      <w:r>
        <w:rPr>
          <w:rFonts w:hint="eastAsia"/>
          <w:color w:val="000000" w:themeColor="text1"/>
          <w:lang w:eastAsia="zh-CN"/>
          <w14:textFill>
            <w14:solidFill>
              <w14:schemeClr w14:val="tx1"/>
            </w14:solidFill>
          </w14:textFill>
        </w:rPr>
        <w:t>重点推进新吴溪流域综合整治，实施新吴溪及其支流（吉安河、红花溪）清淤、生态修复、防洪设施建设等综合治理工程，同步开展流域内文赞水库水质提升工程，全面提升新吴溪流域河道水系的生态环境，持续深化水环境治理。持续削减重点流域化学需氧量和</w:t>
      </w:r>
      <w:r>
        <w:rPr>
          <w:rFonts w:hint="eastAsia"/>
          <w:color w:val="000000" w:themeColor="text1"/>
          <w:lang w:val="en-US" w:eastAsia="zh-CN"/>
          <w14:textFill>
            <w14:solidFill>
              <w14:schemeClr w14:val="tx1"/>
            </w14:solidFill>
          </w14:textFill>
        </w:rPr>
        <w:t>总磷</w:t>
      </w:r>
      <w:r>
        <w:rPr>
          <w:rFonts w:hint="eastAsia"/>
          <w:color w:val="000000" w:themeColor="text1"/>
          <w:lang w:eastAsia="zh-CN"/>
          <w14:textFill>
            <w14:solidFill>
              <w14:schemeClr w14:val="tx1"/>
            </w14:solidFill>
          </w14:textFill>
        </w:rPr>
        <w:t>等主要水污染物排放总量，因地制宜加强总磷、总氮排放控制。科学推进流域范围内农业面源污染治理，优化土地利用格局，调整土地利用方式，减施化肥和化学农药，发展生态循环农业，促进农业绿色发展转型。优化水产养殖空间布局，积极发展生态健康养殖。全面清理打击流域内的非法采砂、非法养殖、违法种植、乱堆放垃圾等行为，最大程度削减入河湖污染负荷。</w:t>
      </w:r>
    </w:p>
    <w:p w14:paraId="2543E21A">
      <w:pPr>
        <w:pStyle w:val="3"/>
        <w:bidi w:val="0"/>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巩固强化黑臭水体治理效果</w:t>
      </w:r>
      <w:r>
        <w:rPr>
          <w:rFonts w:hint="eastAsia"/>
          <w:color w:val="000000" w:themeColor="text1"/>
          <w:lang w:val="en-US" w:eastAsia="zh-CN"/>
          <w14:textFill>
            <w14:solidFill>
              <w14:schemeClr w14:val="tx1"/>
            </w14:solidFill>
          </w14:textFill>
        </w:rPr>
        <w:t>。建立健全黑臭水体长效监管机制，严格落实河湖长制，将治理后水体纳入镇、村级河长日常巡查，建立问题“发现—交办—整改—销号”闭环管理机制。加强面源污染防控，结合农村人居环境整治，严控岸上垃圾入河、初期雨水冲刷，推进雨水径流控制、缓冲带建设，减少外源污染负荷。完善公众参与监督，设立水体管护公示牌，畅通群众监督渠道，定期开展治理成效满意度调查，形成共建共治共享格局，确保黑臭水体治理成果长效稳固。</w:t>
      </w:r>
    </w:p>
    <w:p w14:paraId="056C3B48">
      <w:pPr>
        <w:pStyle w:val="3"/>
        <w:bidi w:val="0"/>
        <w:rPr>
          <w:rFonts w:hint="eastAsia"/>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促进地表水与地下水协同防治。</w:t>
      </w:r>
      <w:r>
        <w:rPr>
          <w:rFonts w:hint="eastAsia"/>
          <w:color w:val="000000" w:themeColor="text1"/>
          <w:lang w:eastAsia="zh-CN"/>
          <w14:textFill>
            <w14:solidFill>
              <w14:schemeClr w14:val="tx1"/>
            </w14:solidFill>
          </w14:textFill>
        </w:rPr>
        <w:t>统筹区域地表水、地下水生态环境监管要求，强化水资源、水环境、水生态系统治理理念，推动建立地表水与地下水协同防治长效机制。加强地下水重点污染源环境风险管控，对生活垃圾填埋场、矿山开采区、危险废物处置场、工业园区等重点区域防渗处理措施开展常态化检查，督促责任主体落实防渗改造要求，严防污染物下渗造成地下水污染。</w:t>
      </w:r>
      <w:r>
        <w:rPr>
          <w:rFonts w:hint="eastAsia"/>
          <w:b w:val="0"/>
          <w:bCs w:val="0"/>
          <w:color w:val="000000" w:themeColor="text1"/>
          <w:lang w:eastAsia="zh-CN"/>
          <w14:textFill>
            <w14:solidFill>
              <w14:schemeClr w14:val="tx1"/>
            </w14:solidFill>
          </w14:textFill>
        </w:rPr>
        <w:t>健全污染风险防范与监测体系</w:t>
      </w:r>
      <w:r>
        <w:rPr>
          <w:rFonts w:hint="eastAsia"/>
          <w:color w:val="000000" w:themeColor="text1"/>
          <w:lang w:eastAsia="zh-CN"/>
          <w14:textFill>
            <w14:solidFill>
              <w14:schemeClr w14:val="tx1"/>
            </w14:solidFill>
          </w14:textFill>
        </w:rPr>
        <w:t>，整合优化地表水、地下水监测网络，合理布设协同监测点位，推动数据共享与联动分析。在开展地表水污染治理的同时，同步评估对地下水水质的影响，实施源头阻断、过程控制、末端修复相结合的综合防治措施。建立健全生态环境、自然资源、水务、住建等部门协同监管机制，加强规划衔接、信息共享和联合执法。推动建立重点区域污染源清单和环境风险隐患台账，实施动态更新和闭环管理，不断提升地表水与地下水协同防治的系统化、精细化水平。</w:t>
      </w:r>
    </w:p>
    <w:p w14:paraId="0051F5E5">
      <w:pPr>
        <w:pStyle w:val="4"/>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ind w:left="403" w:leftChars="0" w:firstLine="2240" w:firstLineChars="700"/>
        <w:jc w:val="both"/>
        <w:textAlignment w:val="auto"/>
        <w:rPr>
          <w:rFonts w:hint="eastAsia" w:ascii="Times New Roman" w:hAnsi="Times New Roman"/>
          <w:color w:val="000000" w:themeColor="text1"/>
          <w:lang w:eastAsia="zh-CN"/>
          <w14:textFill>
            <w14:solidFill>
              <w14:schemeClr w14:val="tx1"/>
            </w14:solidFill>
          </w14:textFill>
        </w:rPr>
      </w:pPr>
      <w:bookmarkStart w:id="22" w:name="_Toc413"/>
      <w:r>
        <w:rPr>
          <w:rFonts w:hint="eastAsia" w:ascii="Times New Roman" w:hAnsi="Times New Roman"/>
          <w:color w:val="000000" w:themeColor="text1"/>
          <w:lang w:val="en-US" w:eastAsia="zh-CN"/>
          <w14:textFill>
            <w14:solidFill>
              <w14:schemeClr w14:val="tx1"/>
            </w14:solidFill>
          </w14:textFill>
        </w:rPr>
        <w:t>第二节 深化“无废城市”</w:t>
      </w:r>
      <w:bookmarkStart w:id="23" w:name="_Toc2200"/>
      <w:bookmarkStart w:id="24" w:name="_Toc19002"/>
      <w:r>
        <w:rPr>
          <w:rFonts w:hint="eastAsia" w:ascii="Times New Roman" w:hAnsi="Times New Roman"/>
          <w:color w:val="000000" w:themeColor="text1"/>
          <w:lang w:val="en-US" w:eastAsia="zh-CN"/>
          <w14:textFill>
            <w14:solidFill>
              <w14:schemeClr w14:val="tx1"/>
            </w14:solidFill>
          </w14:textFill>
        </w:rPr>
        <w:t>建设</w:t>
      </w:r>
      <w:bookmarkEnd w:id="22"/>
      <w:bookmarkEnd w:id="23"/>
      <w:bookmarkEnd w:id="24"/>
    </w:p>
    <w:p w14:paraId="4028CF5D">
      <w:pPr>
        <w:pStyle w:val="3"/>
        <w:keepNext w:val="0"/>
        <w:keepLines w:val="0"/>
        <w:pageBreakBefore w:val="0"/>
        <w:widowControl w:val="0"/>
        <w:kinsoku/>
        <w:wordWrap/>
        <w:overflowPunct/>
        <w:topLinePunct w:val="0"/>
        <w:autoSpaceDE/>
        <w:autoSpaceDN/>
        <w:bidi w:val="0"/>
        <w:adjustRightInd/>
        <w:snapToGrid/>
        <w:textAlignment w:val="auto"/>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完善固废分类收集体系。</w:t>
      </w:r>
      <w:r>
        <w:rPr>
          <w:rFonts w:hint="eastAsia"/>
          <w:color w:val="000000" w:themeColor="text1"/>
          <w:lang w:val="en-US" w:eastAsia="zh-CN"/>
          <w14:textFill>
            <w14:solidFill>
              <w14:schemeClr w14:val="tx1"/>
            </w14:solidFill>
          </w14:textFill>
        </w:rPr>
        <w:t>完善生活垃圾分类管理体系，分阶段升级更新环卫设施设备，实现行政村生活垃圾分类屋（亭）100%全覆盖。优化城镇与农村生活垃圾分类投放站点布局，按标准配足四分类收集容器，推动居民小区、公共机构、经营区域实现分类管理全覆盖。加强宣传引导与监督考核，将生活垃圾分类纳入居民公约基层治理体系，提升居民分类知晓率和投放准确率。试点推行“先分拣后焚烧”模式，依托现有“可焚烧垃圾”专线，逐步扩大分类收运覆盖范围，避免“先分后混”，在全县范围内形成“户分类、村收集、镇转运、县处理”的生活垃圾收运及处理体系。</w:t>
      </w:r>
    </w:p>
    <w:p w14:paraId="28047B7D">
      <w:pPr>
        <w:pStyle w:val="3"/>
        <w:bidi w:val="0"/>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强化建筑垃圾全链管理</w:t>
      </w:r>
      <w:r>
        <w:rPr>
          <w:rFonts w:hint="eastAsia"/>
          <w:color w:val="000000" w:themeColor="text1"/>
          <w:lang w:val="en-US" w:eastAsia="zh-CN"/>
          <w14:textFill>
            <w14:solidFill>
              <w14:schemeClr w14:val="tx1"/>
            </w14:solidFill>
          </w14:textFill>
        </w:rPr>
        <w:t>。推进建筑行业源头减量，继续提升装配式建筑在各类建设工程中的使用占比。结合屯昌县城市更新、老旧小区改造及“无废城市”建设，合理布局建筑垃圾临时收集点、调配场及消纳处置场，加快补齐设施短板。依托屯昌绿色低碳循环经济产业园，鼓励引进建筑垃圾资源化利用项目，推动移动式破碎筛分设备在拆迁现场应用，实现就地或就近转化利用。严格落实建筑垃圾电子联单管理，建立全过程信息化监管体系，实现“一车一单、轨迹可溯”。强化多部门联动协作，定期开展联合执法，严厉打击违规倾倒、私运私卸等行为，构建“源头减量、中端严管、末端利用”的建筑垃圾全链治理新格局。</w:t>
      </w:r>
    </w:p>
    <w:p w14:paraId="64FC91ED">
      <w:pPr>
        <w:pStyle w:val="3"/>
        <w:bidi w:val="0"/>
        <w:rPr>
          <w:rFonts w:hint="eastAsia"/>
          <w:color w:val="000000" w:themeColor="text1"/>
          <w:lang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完善农林固体废物收储、利用体系。</w:t>
      </w:r>
      <w:r>
        <w:rPr>
          <w:rFonts w:hint="eastAsia"/>
          <w:color w:val="000000" w:themeColor="text1"/>
          <w:lang w:val="en-US" w:eastAsia="zh-CN"/>
          <w14:textFill>
            <w14:solidFill>
              <w14:schemeClr w14:val="tx1"/>
            </w14:solidFill>
          </w14:textFill>
        </w:rPr>
        <w:t>构建“政府引导+企业收储+农户参与”三级联动机制，培育专业化秸秆收储运主体。同时推进种养结合，发展生态循环模式，因地制宜推进秸秆肥料化、饲料化等综合利用。推进废弃农膜回收利用网络建设，落实农膜回收管理，推动构建可降解农膜推广补贴制度，设立农膜回收激励点，对使用全生物可降解地膜的农户给予一定的购置补贴，可优先在蔬菜、水果等经济作物种植区推广。建立县、镇、村三级回收台账，记录农膜使用量、回收量、处理量等数据。到2030年，全县废旧农膜回收利用率达95%以上。</w:t>
      </w:r>
    </w:p>
    <w:p w14:paraId="4AF12024">
      <w:pPr>
        <w:pStyle w:val="9"/>
        <w:rPr>
          <w:rFonts w:hint="eastAsia" w:ascii="方正仿宋_GB2312" w:hAnsi="方正仿宋_GB2312" w:eastAsia="方正仿宋_GB2312" w:cs="方正仿宋_GB2312"/>
          <w:color w:val="000000" w:themeColor="text1"/>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lang w:val="en-US" w:eastAsia="zh-CN"/>
          <w14:textFill>
            <w14:solidFill>
              <w14:schemeClr w14:val="tx1"/>
            </w14:solidFill>
          </w14:textFill>
        </w:rPr>
        <w:t>加强工业固体废物管理，提升治理能力</w:t>
      </w:r>
      <w:r>
        <w:rPr>
          <w:rFonts w:hint="eastAsia" w:ascii="方正仿宋_GB2312" w:hAnsi="方正仿宋_GB2312" w:eastAsia="方正仿宋_GB2312" w:cs="方正仿宋_GB2312"/>
          <w:color w:val="000000" w:themeColor="text1"/>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22"/>
          <w:lang w:val="en-US" w:eastAsia="zh-CN" w:bidi="ar-SA"/>
          <w14:textFill>
            <w14:solidFill>
              <w14:schemeClr w14:val="tx1"/>
            </w14:solidFill>
          </w14:textFill>
        </w:rPr>
        <w:t>依托屯昌“一园三区两中心”产业布局，充分发挥绿色低碳循环经济产业区集聚作用，加快推进传统工业绿色低碳转型，构建特色绿色产品设计与制造体系，大力创建绿色工厂、“零碳”示范工厂、零碳园区等，通过“三区联动”打造规模化“回收—再生—交易”闭环体系。推进绿色矿山建设，重点推进无有价组分的矿山废石、尾矿等工业固体废物综合利用，实行尾矿库分类分级环境监管与动态调整机制，压紧压实尾矿库企业环境风险防控主体责任。</w:t>
      </w:r>
    </w:p>
    <w:p w14:paraId="599A9925">
      <w:pPr>
        <w:pStyle w:val="3"/>
        <w:bidi w:val="0"/>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逐步建立废铅蓄电池收集网络体系</w:t>
      </w:r>
      <w:r>
        <w:rPr>
          <w:rFonts w:hint="eastAsia"/>
          <w:color w:val="000000" w:themeColor="text1"/>
          <w:lang w:val="en-US" w:eastAsia="zh-CN"/>
          <w14:textFill>
            <w14:solidFill>
              <w14:schemeClr w14:val="tx1"/>
            </w14:solidFill>
          </w14:textFill>
        </w:rPr>
        <w:t>。</w:t>
      </w:r>
      <w:r>
        <w:rPr>
          <w:rFonts w:hint="eastAsia" w:ascii="Times New Roman" w:hAnsi="Times New Roman"/>
          <w:color w:val="000000" w:themeColor="text1"/>
          <w:lang w:val="en-US" w:eastAsia="zh-CN"/>
          <w14:textFill>
            <w14:solidFill>
              <w14:schemeClr w14:val="tx1"/>
            </w14:solidFill>
          </w14:textFill>
        </w:rPr>
        <w:t>将县内一批取得废铅蓄电池收集许可证的单位作为废铅蓄电池收集试点单位，试点单位可自建收集网点，或依托铅蓄电池销售网点、机动车4S店、汽车、摩托车和电动自行车维修店等设立收集网点。废电池应分类贮存，破损的废电池应单独贮存，第Ⅱ类废铅蓄电池应当放置在耐腐蚀、防渗漏、不易破损变形的专用托盘或容器内，防止酸液泄漏造成环境污染。逐步建立一批规范有序的废铅蓄电池收集网点，规范收集转运废铅蓄电池，有效防范危险废物污染环境风险。</w:t>
      </w:r>
    </w:p>
    <w:p w14:paraId="29CEF779">
      <w:pPr>
        <w:pStyle w:val="3"/>
        <w:bidi w:val="0"/>
        <w:rPr>
          <w:rFonts w:hint="eastAsia"/>
          <w:color w:val="000000" w:themeColor="text1"/>
          <w:lang w:val="en-US" w:eastAsia="zh-CN"/>
          <w14:textFill>
            <w14:solidFill>
              <w14:schemeClr w14:val="tx1"/>
            </w14:solidFill>
          </w14:textFill>
        </w:rPr>
      </w:pPr>
      <w:r>
        <w:rPr>
          <w:rFonts w:hint="eastAsia"/>
          <w:b/>
          <w:bCs/>
          <w:color w:val="000000" w:themeColor="text1"/>
          <w:lang w:eastAsia="zh-CN"/>
          <w14:textFill>
            <w14:solidFill>
              <w14:schemeClr w14:val="tx1"/>
            </w14:solidFill>
          </w14:textFill>
        </w:rPr>
        <w:t>广泛开展“无废细胞”</w:t>
      </w:r>
      <w:r>
        <w:rPr>
          <w:rStyle w:val="24"/>
          <w:rFonts w:hint="eastAsia"/>
          <w:b/>
          <w:bCs/>
          <w:color w:val="000000" w:themeColor="text1"/>
          <w:lang w:eastAsia="zh-CN"/>
          <w14:textFill>
            <w14:solidFill>
              <w14:schemeClr w14:val="tx1"/>
            </w14:solidFill>
          </w14:textFill>
        </w:rPr>
        <w:footnoteReference w:id="5"/>
      </w:r>
      <w:r>
        <w:rPr>
          <w:rFonts w:hint="eastAsia"/>
          <w:b/>
          <w:bCs/>
          <w:color w:val="000000" w:themeColor="text1"/>
          <w:lang w:eastAsia="zh-CN"/>
          <w14:textFill>
            <w14:solidFill>
              <w14:schemeClr w14:val="tx1"/>
            </w14:solidFill>
          </w14:textFill>
        </w:rPr>
        <w:t>建设</w:t>
      </w:r>
      <w:r>
        <w:rPr>
          <w:rFonts w:hint="eastAsia"/>
          <w:color w:val="000000" w:themeColor="text1"/>
          <w:lang w:eastAsia="zh-CN"/>
          <w14:textFill>
            <w14:solidFill>
              <w14:schemeClr w14:val="tx1"/>
            </w14:solidFill>
          </w14:textFill>
        </w:rPr>
        <w:t>。制定“无废细胞”建设指南，推进无废工厂、无废商超、无废酒店、无废景区等各具特色的“无废细胞”建设，厚植“无废文化”。“无废细胞”实行动态管理。</w:t>
      </w:r>
      <w:r>
        <w:rPr>
          <w:rFonts w:hint="eastAsia"/>
          <w:color w:val="000000" w:themeColor="text1"/>
          <w:lang w:val="en-US" w:eastAsia="zh-CN"/>
          <w14:textFill>
            <w14:solidFill>
              <w14:schemeClr w14:val="tx1"/>
            </w14:solidFill>
          </w14:textFill>
        </w:rPr>
        <w:t>依托</w:t>
      </w:r>
      <w:r>
        <w:rPr>
          <w:rFonts w:hint="eastAsia"/>
          <w:color w:val="000000" w:themeColor="text1"/>
          <w:lang w:eastAsia="zh-CN"/>
          <w14:textFill>
            <w14:solidFill>
              <w14:schemeClr w14:val="tx1"/>
            </w14:solidFill>
          </w14:textFill>
        </w:rPr>
        <w:t>绿色低碳循环经济产业区，围绕“资源投入—产品制造—消费使用—废弃回收—再制造利用”全过程，构筑多品类覆盖、多路径整合、多轮次循环的资源闭环系统，实现由传统线性开发向高效资源再生的闭环式循环经济体系转型。</w:t>
      </w:r>
      <w:r>
        <w:rPr>
          <w:rFonts w:hint="eastAsia"/>
          <w:color w:val="000000" w:themeColor="text1"/>
          <w:lang w:val="en-US" w:eastAsia="zh-CN"/>
          <w14:textFill>
            <w14:solidFill>
              <w14:schemeClr w14:val="tx1"/>
            </w14:solidFill>
          </w14:textFill>
        </w:rPr>
        <w:t>依托绿色低碳循环经济产业区，建设报废新能源汽车综合利用、废旧家电综合利用、塑料、农膜等废弃资源回收再利用、废旧电池资源化利用、生物质资源综合利用、再生资源分拣中心等项目。</w:t>
      </w:r>
    </w:p>
    <w:p w14:paraId="68623E83">
      <w:pPr>
        <w:pStyle w:val="3"/>
        <w:rPr>
          <w:rFonts w:hint="eastAsia"/>
          <w:color w:val="000000" w:themeColor="text1"/>
          <w:lang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持续深化“禁塑”工作。</w:t>
      </w:r>
      <w:r>
        <w:rPr>
          <w:rFonts w:hint="eastAsia"/>
          <w:color w:val="000000" w:themeColor="text1"/>
          <w:lang w:val="en-US" w:eastAsia="zh-CN"/>
          <w14:textFill>
            <w14:solidFill>
              <w14:schemeClr w14:val="tx1"/>
            </w14:solidFill>
          </w14:textFill>
        </w:rPr>
        <w:t>推行塑料污染全生命周期治理，</w:t>
      </w:r>
      <w:r>
        <w:rPr>
          <w:rFonts w:hint="eastAsia"/>
          <w:color w:val="000000" w:themeColor="text1"/>
          <w14:textFill>
            <w14:solidFill>
              <w14:schemeClr w14:val="tx1"/>
            </w14:solidFill>
          </w14:textFill>
        </w:rPr>
        <w:t>从生产、流通、使用、回收处置等多个环节不断健全塑料污染全链条治理体系</w:t>
      </w:r>
      <w:r>
        <w:rPr>
          <w:rFonts w:hint="eastAsia"/>
          <w:color w:val="000000" w:themeColor="text1"/>
          <w:lang w:val="en-US" w:eastAsia="zh-CN"/>
          <w14:textFill>
            <w14:solidFill>
              <w14:schemeClr w14:val="tx1"/>
            </w14:solidFill>
          </w14:textFill>
        </w:rPr>
        <w:t>。强化源头管控减量，对县内集散分销、快递寄递配送等重点环节开展联合监管，提升外来塑料制品入县智能查控水平，健全禁塑奖惩管理机制。依托屯昌县绿色低碳循环经济产业，推动塑料废弃物预处理中心和海洋塑料改性造粒等再生塑料利用项目建设，推动再生塑料在绿色会展、包装、建材等领域应用。丰富“减塑”“代塑”场景，以连锁超市、大型集贸市场、物流仓储、电商快递等为重点，引导消费者使用环保袋、布袋以及纸制品、植物纤维制品等“代塑”制品和全生物降解塑料制品。到2030年，全面普及一次性不可降解塑</w:t>
      </w:r>
      <w:r>
        <w:rPr>
          <w:rFonts w:hint="eastAsia"/>
          <w:color w:val="000000" w:themeColor="text1"/>
          <w:highlight w:val="none"/>
          <w14:textFill>
            <w14:solidFill>
              <w14:schemeClr w14:val="tx1"/>
            </w14:solidFill>
          </w14:textFill>
        </w:rPr>
        <w:t>料环保替代品，非降解塑料制品使用行为得到全面管控。</w:t>
      </w:r>
    </w:p>
    <w:p w14:paraId="430071FB">
      <w:pPr>
        <w:pStyle w:val="4"/>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ind w:left="403" w:leftChars="0" w:firstLine="960" w:firstLineChars="300"/>
        <w:jc w:val="both"/>
        <w:textAlignment w:val="auto"/>
        <w:rPr>
          <w:rFonts w:hint="eastAsia" w:ascii="Times New Roman" w:hAnsi="Times New Roman"/>
          <w:color w:val="000000" w:themeColor="text1"/>
          <w:lang w:eastAsia="zh-CN"/>
          <w14:textFill>
            <w14:solidFill>
              <w14:schemeClr w14:val="tx1"/>
            </w14:solidFill>
          </w14:textFill>
        </w:rPr>
      </w:pPr>
      <w:bookmarkStart w:id="25" w:name="_Toc20577"/>
      <w:r>
        <w:rPr>
          <w:rFonts w:hint="eastAsia"/>
          <w:color w:val="000000" w:themeColor="text1"/>
          <w:lang w:eastAsia="zh-CN"/>
          <w14:textFill>
            <w14:solidFill>
              <w14:schemeClr w14:val="tx1"/>
            </w14:solidFill>
          </w14:textFill>
        </w:rPr>
        <w:t>第三节</w:t>
      </w:r>
      <w:r>
        <w:rPr>
          <w:rFonts w:hint="eastAsia"/>
          <w:color w:val="000000" w:themeColor="text1"/>
          <w:lang w:val="en-US" w:eastAsia="zh-CN"/>
          <w14:textFill>
            <w14:solidFill>
              <w14:schemeClr w14:val="tx1"/>
            </w14:solidFill>
          </w14:textFill>
        </w:rPr>
        <w:t xml:space="preserve"> </w:t>
      </w:r>
      <w:r>
        <w:rPr>
          <w:rFonts w:hint="eastAsia" w:ascii="Times New Roman" w:hAnsi="Times New Roman"/>
          <w:color w:val="000000" w:themeColor="text1"/>
          <w:lang w:eastAsia="zh-CN"/>
          <w14:textFill>
            <w14:solidFill>
              <w14:schemeClr w14:val="tx1"/>
            </w14:solidFill>
          </w14:textFill>
        </w:rPr>
        <w:t>纵深推进大气污染防治，守护</w:t>
      </w:r>
      <w:r>
        <w:rPr>
          <w:rFonts w:hint="eastAsia"/>
          <w:color w:val="000000" w:themeColor="text1"/>
          <w:lang w:eastAsia="zh-CN"/>
          <w14:textFill>
            <w14:solidFill>
              <w14:schemeClr w14:val="tx1"/>
            </w14:solidFill>
          </w14:textFill>
        </w:rPr>
        <w:t>净美</w:t>
      </w:r>
      <w:r>
        <w:rPr>
          <w:rFonts w:hint="eastAsia" w:ascii="Times New Roman" w:hAnsi="Times New Roman"/>
          <w:color w:val="000000" w:themeColor="text1"/>
          <w:lang w:eastAsia="zh-CN"/>
          <w14:textFill>
            <w14:solidFill>
              <w14:schemeClr w14:val="tx1"/>
            </w14:solidFill>
          </w14:textFill>
        </w:rPr>
        <w:t>蓝天</w:t>
      </w:r>
      <w:bookmarkEnd w:id="25"/>
    </w:p>
    <w:p w14:paraId="030B2A4F">
      <w:pPr>
        <w:pStyle w:val="3"/>
        <w:bidi w:val="0"/>
        <w:ind w:left="0" w:leftChars="0" w:firstLine="643" w:firstLineChars="200"/>
        <w:rPr>
          <w:rFonts w:hint="eastAsia" w:ascii="Times New Roman" w:hAnsi="Times New Roman"/>
          <w:color w:val="000000" w:themeColor="text1"/>
          <w:lang w:val="en-US" w:eastAsia="zh-CN"/>
          <w14:textFill>
            <w14:solidFill>
              <w14:schemeClr w14:val="tx1"/>
            </w14:solidFill>
          </w14:textFill>
        </w:rPr>
      </w:pPr>
      <w:r>
        <w:rPr>
          <w:rFonts w:hint="eastAsia" w:ascii="Times New Roman" w:hAnsi="Times New Roman"/>
          <w:b/>
          <w:bCs/>
          <w:color w:val="000000" w:themeColor="text1"/>
          <w:lang w:val="en-US" w:eastAsia="zh-CN"/>
          <w14:textFill>
            <w14:solidFill>
              <w14:schemeClr w14:val="tx1"/>
            </w14:solidFill>
          </w14:textFill>
        </w:rPr>
        <w:t>深化工业源大气污染精准防治</w:t>
      </w:r>
      <w:r>
        <w:rPr>
          <w:rFonts w:hint="eastAsia"/>
          <w:b/>
          <w:bCs/>
          <w:color w:val="000000" w:themeColor="text1"/>
          <w:lang w:val="en-US" w:eastAsia="zh-CN"/>
          <w14:textFill>
            <w14:solidFill>
              <w14:schemeClr w14:val="tx1"/>
            </w14:solidFill>
          </w14:textFill>
        </w:rPr>
        <w:t>。</w:t>
      </w:r>
      <w:r>
        <w:rPr>
          <w:rFonts w:hint="eastAsia" w:ascii="Times New Roman" w:hAnsi="Times New Roman"/>
          <w:color w:val="000000" w:themeColor="text1"/>
          <w:lang w:val="en-US" w:eastAsia="zh-CN"/>
          <w14:textFill>
            <w14:solidFill>
              <w14:schemeClr w14:val="tx1"/>
            </w14:solidFill>
          </w14:textFill>
        </w:rPr>
        <w:t>以降碳、减污、扩绿、增长协同推进为导向，立足屯昌建材、橡胶加工、再生资源、石材加工等产业基础，全面提升工业大气污染系统化、精细化、低碳化治理水平。严禁新建、改扩建燃煤锅炉，淘汰存量燃煤炉窑</w:t>
      </w:r>
      <w:r>
        <w:rPr>
          <w:rFonts w:hint="eastAsia"/>
          <w:color w:val="000000" w:themeColor="text1"/>
          <w:lang w:val="en-US" w:eastAsia="zh-CN"/>
          <w14:textFill>
            <w14:solidFill>
              <w14:schemeClr w14:val="tx1"/>
            </w14:solidFill>
          </w14:textFill>
        </w:rPr>
        <w:t>。加强</w:t>
      </w:r>
      <w:r>
        <w:rPr>
          <w:rFonts w:hint="eastAsia" w:ascii="Times New Roman" w:hAnsi="Times New Roman"/>
          <w:color w:val="000000" w:themeColor="text1"/>
          <w:lang w:val="en-US" w:eastAsia="zh-CN"/>
          <w14:textFill>
            <w14:solidFill>
              <w14:schemeClr w14:val="tx1"/>
            </w14:solidFill>
          </w14:textFill>
        </w:rPr>
        <w:t>对砖瓦、机制砂、石材加工企业强化全流程密闭抑尘治理，常态化开展清洁生产审核，配套推广高效除尘治污设施。强化橡胶</w:t>
      </w:r>
      <w:r>
        <w:rPr>
          <w:rFonts w:hint="eastAsia"/>
          <w:color w:val="000000" w:themeColor="text1"/>
          <w:lang w:val="en-US" w:eastAsia="zh-CN"/>
          <w14:textFill>
            <w14:solidFill>
              <w14:schemeClr w14:val="tx1"/>
            </w14:solidFill>
          </w14:textFill>
        </w:rPr>
        <w:t>初</w:t>
      </w:r>
      <w:r>
        <w:rPr>
          <w:rFonts w:hint="eastAsia" w:ascii="Times New Roman" w:hAnsi="Times New Roman"/>
          <w:color w:val="000000" w:themeColor="text1"/>
          <w:lang w:val="en-US" w:eastAsia="zh-CN"/>
          <w14:textFill>
            <w14:solidFill>
              <w14:schemeClr w14:val="tx1"/>
            </w14:solidFill>
          </w14:textFill>
        </w:rPr>
        <w:t>加工行业VOCs与恶臭气体源头治理与末端深度净化，提升垃圾焚烧、再生资源利用行业烟气、颗粒物全链条收集治理与规范化管控水平。深化绿色低碳循环经济产业区、新型石材建材产业区、林木精深加工产业区三大园区绿色低碳化升级改造，引导园区外石材加工、木材加工、砖瓦烧结、小型橡胶加工等散乱污企业分类实施入园、就地整改或关停清退。全面推进工业企业清洁能源替代，统筹开展粉尘、VOCs、恶臭多污染物协同治理。完善污染源在线监测、智慧监管、污染天气应对体系。持续削减颗粒物、氮氧化物、VOCs排放总量，筑牢海南中部生态屏障。</w:t>
      </w:r>
    </w:p>
    <w:p w14:paraId="19459837">
      <w:pPr>
        <w:pStyle w:val="3"/>
        <w:bidi w:val="0"/>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深化面源污染治理。</w:t>
      </w:r>
      <w:r>
        <w:rPr>
          <w:rFonts w:hint="eastAsia"/>
          <w:color w:val="000000" w:themeColor="text1"/>
          <w:lang w:val="en-US" w:eastAsia="zh-CN"/>
          <w14:textFill>
            <w14:solidFill>
              <w14:schemeClr w14:val="tx1"/>
            </w14:solidFill>
          </w14:textFill>
        </w:rPr>
        <w:t>统筹城镇、乡村扬尘面源污染分类管控，城镇从严落实施工工地扬尘精细化、规范化、长效化管控，督促施工企业规范做好施工场地围蔽、物料堆放全覆盖遮盖、出场车辆冲洗保洁等防尘措施。开展城乡裸露地面综合整治，对公共活动场地、道路实施生态透水铺装改造，优先采用透水混凝土等生态建材抑制路面扬尘，针对暂时不具备绿化条件的裸露地块，采取覆盖和常态化洒水抑尘。优化城乡“四烟”整治，建立县、镇、村三级巡查机制，运用卫星遥感、无人机开展全域火点监控露天焚烧秸秆、垃圾等违规行为。严格落实烟花爆竹分区管控，严防槟榔土法熏烤死灰复燃，建立长效化管控制度。加快实施农村电网升级改造工程，持续推进燃气下乡“气代柴薪”工作，按照“宜管则管、宜罐（瓶）则罐（瓶）”分类推广管道天然气、瓶装液化石油气等清洁用气，稳步提升农村清洁能源普及率，推动农村生活、生产用能电气化。</w:t>
      </w:r>
    </w:p>
    <w:p w14:paraId="187D4EC3">
      <w:pPr>
        <w:pStyle w:val="3"/>
        <w:bidi w:val="0"/>
        <w:ind w:left="0" w:leftChars="0" w:firstLine="643" w:firstLineChars="200"/>
        <w:rPr>
          <w:rFonts w:hint="eastAsia"/>
          <w:b w:val="0"/>
          <w:bCs w:val="0"/>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深化移动源减排，构建清洁低碳运输体系。</w:t>
      </w:r>
      <w:r>
        <w:rPr>
          <w:rFonts w:hint="eastAsia"/>
          <w:color w:val="000000" w:themeColor="text1"/>
          <w:lang w:val="en-US" w:eastAsia="zh-CN"/>
          <w14:textFill>
            <w14:solidFill>
              <w14:schemeClr w14:val="tx1"/>
            </w14:solidFill>
          </w14:textFill>
        </w:rPr>
        <w:t>加快老旧高排放车辆淘汰更新，建立更加完善的高排放车辆动态淘汰机制。持续开展柴油货车路检路查随机抽测，强化“人防+技防”监管模式，对超标排放车辆依法予以查处。加强与周边市县的跨区域联防联控，深化“双跨双联”联合治超机制，从源头和运输环节双向发力，切实减少高排放移动源的污染贡献。</w:t>
      </w:r>
      <w:r>
        <w:rPr>
          <w:rFonts w:hint="eastAsia"/>
          <w:b w:val="0"/>
          <w:bCs w:val="0"/>
          <w:color w:val="000000" w:themeColor="text1"/>
          <w:lang w:val="en-US" w:eastAsia="zh-CN"/>
          <w14:textFill>
            <w14:solidFill>
              <w14:schemeClr w14:val="tx1"/>
            </w14:solidFill>
          </w14:textFill>
        </w:rPr>
        <w:t>严格运输车辆扬尘污染防控，对机动车遗撒、运输遗撒等违法行为的高压查处态势，对渣土运输车、砂石骨料运输车等易产生扬尘的车辆实施全覆盖监管。持续开展非道路移动机械摸底调查和编码登记工作，建立动态更新的管理台账。加强建筑工地、工业企业、矿山开采等非道路移动机械集中使用场所的监管力度，鼓励非道路移动机械清洁化升级，在政府投资项目和重点工程中，逐步提高清洁能源和新能源非道路移动机械的应用比例，从源头减少污染物排放。</w:t>
      </w:r>
    </w:p>
    <w:p w14:paraId="648AEEE2">
      <w:pPr>
        <w:pStyle w:val="3"/>
        <w:bidi w:val="0"/>
        <w:rPr>
          <w:rFonts w:hint="eastAsia"/>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完善绿色出行基础设施。统筹推进充电桩、加氢站等清洁能源补给设施建设，优先在公共停车场、交通枢纽、旅游景区等区域布局。鼓励社会资本参与充换电设施建设和运营，构建覆盖城乡、便捷高效的新能源汽车补给网络。以“一园三区两中心”建设为契机，引导物流运输企业购置新能源货运车辆，探索在县域物流配送领域推广新能源轻型货车。结合屯昌县绿色低碳循环发展经济体系建设，逐步构建与县域经济发展相适应的绿色交通运输体系。</w:t>
      </w:r>
    </w:p>
    <w:p w14:paraId="4AE5F2F1">
      <w:pPr>
        <w:pStyle w:val="3"/>
        <w:keepNext w:val="0"/>
        <w:keepLines w:val="0"/>
        <w:pageBreakBefore w:val="0"/>
        <w:widowControl w:val="0"/>
        <w:kinsoku/>
        <w:wordWrap/>
        <w:overflowPunct/>
        <w:topLinePunct w:val="0"/>
        <w:autoSpaceDE/>
        <w:autoSpaceDN/>
        <w:bidi w:val="0"/>
        <w:adjustRightInd/>
        <w:snapToGrid/>
        <w:textAlignment w:val="auto"/>
        <w:rPr>
          <w:rFonts w:hint="eastAsia"/>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强化VOCs污染物专项整治。</w:t>
      </w:r>
      <w:r>
        <w:rPr>
          <w:rFonts w:hint="eastAsia"/>
          <w:color w:val="000000" w:themeColor="text1"/>
          <w:lang w:eastAsia="zh-CN"/>
          <w14:textFill>
            <w14:solidFill>
              <w14:schemeClr w14:val="tx1"/>
            </w14:solidFill>
          </w14:textFill>
        </w:rPr>
        <w:t>建立重点挥发性有机物VOCs排放企业管理台账，建立健全挥发性有机物源头、过程和末端的全过程控制体系。开展油品储运销企业储罐排查，持续开展储油库、油罐车、加油站油气回收专项检查和整改工作，逐步取消非必要的挥发性有机物废气排放系统旁路。加强汽修行业挥发性有机物综合治理能力，全面推进使用低挥发性有机物含量的涂料、油墨、胶粘剂、清洗</w:t>
      </w:r>
      <w:r>
        <w:rPr>
          <w:rFonts w:hint="eastAsia"/>
          <w:b w:val="0"/>
          <w:bCs w:val="0"/>
          <w:color w:val="000000" w:themeColor="text1"/>
          <w:lang w:eastAsia="zh-CN"/>
          <w14:textFill>
            <w14:solidFill>
              <w14:schemeClr w14:val="tx1"/>
            </w14:solidFill>
          </w14:textFill>
        </w:rPr>
        <w:t>剂等，在技术成熟的汽修、印刷等行业，推进企业全面实施源头替代。加大餐饮业油烟污染治理力度，加强早、夜市餐饮油烟监管，加强露天烧烤油烟管控，鼓励使用电、液化石油气等清洁能源炉具。</w:t>
      </w:r>
    </w:p>
    <w:p w14:paraId="14383875">
      <w:pPr>
        <w:pStyle w:val="3"/>
        <w:bidi w:val="0"/>
        <w:rPr>
          <w:rFonts w:hint="eastAsia"/>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完善大气污染监管和预警机制。</w:t>
      </w:r>
      <w:r>
        <w:rPr>
          <w:rFonts w:hint="eastAsia"/>
          <w:color w:val="000000" w:themeColor="text1"/>
          <w:lang w:val="en-US" w:eastAsia="zh-CN"/>
          <w14:textFill>
            <w14:solidFill>
              <w14:schemeClr w14:val="tx1"/>
            </w14:solidFill>
          </w14:textFill>
        </w:rPr>
        <w:t>提升大气环境监管能力，县公安局、县生态环境局、县综合行政执法局等部门加强联合执法，对违反“六个严禁”的行为进行依法处理。完善基于排污许可证的排污单位监管执法体系，强化以污染源自动</w:t>
      </w:r>
      <w:r>
        <w:rPr>
          <w:rFonts w:hint="eastAsia"/>
          <w:color w:val="000000" w:themeColor="text1"/>
          <w:lang w:eastAsia="zh-CN"/>
          <w14:textFill>
            <w14:solidFill>
              <w14:schemeClr w14:val="tx1"/>
            </w14:solidFill>
          </w14:textFill>
        </w:rPr>
        <w:t>监控为主的非现场监管执法模式</w:t>
      </w:r>
      <w:r>
        <w:rPr>
          <w:rFonts w:hint="eastAsia"/>
          <w:color w:val="000000" w:themeColor="text1"/>
          <w:lang w:val="en-US" w:eastAsia="zh-CN"/>
          <w14:textFill>
            <w14:solidFill>
              <w14:schemeClr w14:val="tx1"/>
            </w14:solidFill>
          </w14:textFill>
        </w:rPr>
        <w:t>。完善应对污染天气预警机制，完善会商机制和污染天气监测预警体系。持续推进屯昌县大气环境质量自动监测体系建设工作，提高污染天气预警预报精度</w:t>
      </w:r>
      <w:r>
        <w:rPr>
          <w:rFonts w:hint="eastAsia"/>
          <w:color w:val="000000" w:themeColor="text1"/>
          <w:lang w:eastAsia="zh-CN"/>
          <w14:textFill>
            <w14:solidFill>
              <w14:schemeClr w14:val="tx1"/>
            </w14:solidFill>
          </w14:textFill>
        </w:rPr>
        <w:t>。结合屯昌大气污染主要贡献源开展污染天气应急演练，提高污染天气应急处置能力。</w:t>
      </w:r>
    </w:p>
    <w:p w14:paraId="561C052F">
      <w:pPr>
        <w:pStyle w:val="4"/>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ind w:firstLine="2560" w:firstLineChars="800"/>
        <w:jc w:val="both"/>
        <w:textAlignment w:val="auto"/>
        <w:rPr>
          <w:rFonts w:hint="eastAsia"/>
          <w:color w:val="000000" w:themeColor="text1"/>
          <w:lang w:val="en-US" w:eastAsia="zh-CN"/>
          <w14:textFill>
            <w14:solidFill>
              <w14:schemeClr w14:val="tx1"/>
            </w14:solidFill>
          </w14:textFill>
        </w:rPr>
      </w:pPr>
      <w:bookmarkStart w:id="26" w:name="_Toc217"/>
      <w:r>
        <w:rPr>
          <w:rFonts w:hint="eastAsia"/>
          <w:color w:val="000000" w:themeColor="text1"/>
          <w:lang w:val="en-US" w:eastAsia="zh-CN"/>
          <w14:textFill>
            <w14:solidFill>
              <w14:schemeClr w14:val="tx1"/>
            </w14:solidFill>
          </w14:textFill>
        </w:rPr>
        <w:t>第三节 深化土壤污染防控</w:t>
      </w:r>
      <w:bookmarkEnd w:id="26"/>
    </w:p>
    <w:p w14:paraId="2C8CE80B">
      <w:pPr>
        <w:pStyle w:val="3"/>
        <w:bidi w:val="0"/>
        <w:rPr>
          <w:rFonts w:hint="eastAsia"/>
          <w:color w:val="000000" w:themeColor="text1"/>
          <w:lang w:eastAsia="zh-CN"/>
          <w14:textFill>
            <w14:solidFill>
              <w14:schemeClr w14:val="tx1"/>
            </w14:solidFill>
          </w14:textFill>
        </w:rPr>
      </w:pPr>
      <w:r>
        <w:rPr>
          <w:rFonts w:hint="eastAsia"/>
          <w:b/>
          <w:bCs/>
          <w:color w:val="000000" w:themeColor="text1"/>
          <w14:textFill>
            <w14:solidFill>
              <w14:schemeClr w14:val="tx1"/>
            </w14:solidFill>
          </w14:textFill>
        </w:rPr>
        <w:t>推进建设用地土壤污染风险管控</w:t>
      </w:r>
      <w:r>
        <w:rPr>
          <w:rFonts w:hint="eastAsia"/>
          <w:b/>
          <w:bCs/>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科学编制国土空间规划，须以建设用地土壤环境风险为重要前提，统筹确定各类土地用途，从源头上防范土壤污染风险。</w:t>
      </w:r>
      <w:r>
        <w:rPr>
          <w:rFonts w:hint="eastAsia"/>
          <w:color w:val="000000" w:themeColor="text1"/>
          <w:lang w:eastAsia="zh-CN"/>
          <w14:textFill>
            <w14:solidFill>
              <w14:schemeClr w14:val="tx1"/>
            </w14:solidFill>
          </w14:textFill>
        </w:rPr>
        <w:t>严格限制曾用于生产、使用、贮存、回收、处置有毒有害物质的工矿用地复垦为食用农产品耕地。对垃圾填埋场、</w:t>
      </w:r>
      <w:r>
        <w:rPr>
          <w:rFonts w:hint="eastAsia"/>
          <w:color w:val="000000" w:themeColor="text1"/>
          <w:lang w:val="en-US" w:eastAsia="zh-CN"/>
          <w14:textFill>
            <w14:solidFill>
              <w14:schemeClr w14:val="tx1"/>
            </w14:solidFill>
          </w14:textFill>
        </w:rPr>
        <w:t>尾矿库</w:t>
      </w:r>
      <w:r>
        <w:rPr>
          <w:rFonts w:hint="eastAsia"/>
          <w:color w:val="000000" w:themeColor="text1"/>
          <w:lang w:eastAsia="zh-CN"/>
          <w14:textFill>
            <w14:solidFill>
              <w14:schemeClr w14:val="tx1"/>
            </w14:solidFill>
          </w14:textFill>
        </w:rPr>
        <w:t>等重点区域依法开展土壤污染状况调查和风险评估，</w:t>
      </w:r>
      <w:r>
        <w:rPr>
          <w:rFonts w:hint="eastAsia"/>
          <w:color w:val="000000" w:themeColor="text1"/>
          <w:lang w:val="en-US" w:eastAsia="zh-CN"/>
          <w14:textFill>
            <w14:solidFill>
              <w14:schemeClr w14:val="tx1"/>
            </w14:solidFill>
          </w14:textFill>
        </w:rPr>
        <w:t>及时发现受污染土壤，对受污染土壤采取治理与修复措施</w:t>
      </w:r>
      <w:r>
        <w:rPr>
          <w:rFonts w:hint="eastAsia"/>
          <w:color w:val="000000" w:themeColor="text1"/>
          <w:lang w:eastAsia="zh-CN"/>
          <w14:textFill>
            <w14:solidFill>
              <w14:schemeClr w14:val="tx1"/>
            </w14:solidFill>
          </w14:textFill>
        </w:rPr>
        <w:t>，确保建设用地安全利用得到有效保障。</w:t>
      </w:r>
    </w:p>
    <w:p w14:paraId="259E0189">
      <w:pPr>
        <w:pStyle w:val="3"/>
        <w:bidi w:val="0"/>
        <w:rPr>
          <w:rFonts w:hint="eastAsia"/>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推进农用地块分类管理和安全利用。</w:t>
      </w:r>
      <w:r>
        <w:rPr>
          <w:rFonts w:hint="eastAsia"/>
          <w:color w:val="000000" w:themeColor="text1"/>
          <w:lang w:eastAsia="zh-CN"/>
          <w14:textFill>
            <w14:solidFill>
              <w14:schemeClr w14:val="tx1"/>
            </w14:solidFill>
          </w14:textFill>
        </w:rPr>
        <w:t>落实耕地保护“田长制”，压实各级田长耕地数量管控与质量提升双重责任。鼓励农户绿肥种植、农作物秸秆还田、施用有机肥料。实施严格的农用地分类管理，加大农业面源污染防治力度，统筹整合测土配方施肥、保护性耕作、秸秆还田等项目，实现化肥农药减量增效，开展土壤改良和土地整治。推广加厚高强度地膜和全生物降解地膜，联合农业农村、市场监管、生态环境等部门开展农资市场专项检查，严禁销售非标地膜，从源头减少难回收的劣质地膜流入农田。建立“县回收企业—乡镇回收站—村级网点”的三级体系，配套以旧换新、有偿回收等政策，同时引入第三方专业机构对农膜进行清运处置，可回收的进入资源化利用，无法回收利用的农业残膜，按农业固体废物规范处置。设立农田残膜监测点，动态评估污染风险。</w:t>
      </w:r>
    </w:p>
    <w:p w14:paraId="4E945020">
      <w:pPr>
        <w:pStyle w:val="3"/>
        <w:bidi w:val="0"/>
        <w:rPr>
          <w:rFonts w:hint="eastAsia"/>
          <w:color w:val="000000" w:themeColor="text1"/>
          <w:lang w:eastAsia="zh-CN"/>
          <w14:textFill>
            <w14:solidFill>
              <w14:schemeClr w14:val="tx1"/>
            </w14:solidFill>
          </w14:textFill>
        </w:rPr>
      </w:pPr>
    </w:p>
    <w:p w14:paraId="25438C26">
      <w:pPr>
        <w:pStyle w:val="3"/>
        <w:bidi w:val="0"/>
        <w:rPr>
          <w:rFonts w:hint="eastAsia"/>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协同推进土壤和地下水污染防治。</w:t>
      </w:r>
      <w:r>
        <w:rPr>
          <w:rFonts w:hint="eastAsia"/>
          <w:color w:val="000000" w:themeColor="text1"/>
          <w:lang w:eastAsia="zh-CN"/>
          <w14:textFill>
            <w14:solidFill>
              <w14:schemeClr w14:val="tx1"/>
            </w14:solidFill>
          </w14:textFill>
        </w:rPr>
        <w:t>建立屯昌县地下水污染防治重点排污单位名录，重点推进“一企一库”“两场两区”地下水环境调查及风险评估工作。以规模化畜禽养殖场、生活垃圾卫生填埋场为重点，开展地下水环境状况调查评估，针对产城融合示范区、矿山开采区、尾矿库、危险废物处置场、垃圾填埋场的防渗情况进行排查和检测，完善城区污水管网更新改造，减少污水直排造成的地下水污染风险。</w:t>
      </w:r>
    </w:p>
    <w:p w14:paraId="0CD3E344">
      <w:pPr>
        <w:pStyle w:val="4"/>
        <w:numPr>
          <w:ilvl w:val="1"/>
          <w:numId w:val="0"/>
        </w:numPr>
        <w:bidi w:val="0"/>
        <w:ind w:firstLine="2560" w:firstLineChars="800"/>
        <w:jc w:val="both"/>
        <w:rPr>
          <w:rFonts w:hint="default"/>
          <w:color w:val="000000" w:themeColor="text1"/>
          <w:lang w:val="en-US" w:eastAsia="zh-CN"/>
          <w14:textFill>
            <w14:solidFill>
              <w14:schemeClr w14:val="tx1"/>
            </w14:solidFill>
          </w14:textFill>
        </w:rPr>
      </w:pPr>
      <w:bookmarkStart w:id="27" w:name="_Toc14549"/>
      <w:r>
        <w:rPr>
          <w:rFonts w:hint="eastAsia"/>
          <w:color w:val="000000" w:themeColor="text1"/>
          <w:lang w:val="en-US" w:eastAsia="zh-CN"/>
          <w14:textFill>
            <w14:solidFill>
              <w14:schemeClr w14:val="tx1"/>
            </w14:solidFill>
          </w14:textFill>
        </w:rPr>
        <w:t>第四节 系统开展噪声污染防治</w:t>
      </w:r>
      <w:bookmarkEnd w:id="27"/>
    </w:p>
    <w:p w14:paraId="7A675A40">
      <w:pPr>
        <w:pStyle w:val="3"/>
        <w:rPr>
          <w:rFonts w:hint="eastAsia"/>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强化规划引领约束</w:t>
      </w:r>
      <w:r>
        <w:rPr>
          <w:rFonts w:hint="eastAsia"/>
          <w:color w:val="000000" w:themeColor="text1"/>
          <w:lang w:eastAsia="zh-CN"/>
          <w14:textFill>
            <w14:solidFill>
              <w14:schemeClr w14:val="tx1"/>
            </w14:solidFill>
          </w14:textFill>
        </w:rPr>
        <w:t>。制定或修编国土空间规划、交通运输规划等相关规划时，优化大型交通基础设施、工业集中区等与噪声敏感建筑物集中区域之间的布局。严格落实国家关于绿色公路、美丽公路和公路高质量发展等有关要求，科学选线布线，尽量避开噪声敏感建筑物集中区域或采取有效措施降低对噪声敏感建筑物集中区域的影响。聚焦广场舞、商户噪声、交通噪声、汽修扰民等投诉突出的城市病问题，科学规划住宅、学校、医院等噪声敏感区与商业休闲区布局，提出相应规划设计要求，因地制宜采用绿化带、声屏障等措施，改善声环境质量。</w:t>
      </w:r>
    </w:p>
    <w:p w14:paraId="0FA8D32E">
      <w:pPr>
        <w:pStyle w:val="3"/>
        <w:ind w:left="0" w:leftChars="0" w:firstLine="643" w:firstLineChars="200"/>
        <w:rPr>
          <w:rFonts w:hint="eastAsia"/>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深化工业噪声污染防治。</w:t>
      </w:r>
      <w:r>
        <w:rPr>
          <w:rFonts w:hint="eastAsia"/>
          <w:b w:val="0"/>
          <w:bCs w:val="0"/>
          <w:color w:val="000000" w:themeColor="text1"/>
          <w:lang w:eastAsia="zh-CN"/>
          <w14:textFill>
            <w14:solidFill>
              <w14:schemeClr w14:val="tx1"/>
            </w14:solidFill>
          </w14:textFill>
        </w:rPr>
        <w:t>排放噪声的工业企业应切实采取减振降噪措施，加强厂区内固定设备、运输工具</w:t>
      </w:r>
      <w:r>
        <w:rPr>
          <w:rFonts w:hint="eastAsia"/>
          <w:color w:val="000000" w:themeColor="text1"/>
          <w:lang w:eastAsia="zh-CN"/>
          <w14:textFill>
            <w14:solidFill>
              <w14:schemeClr w14:val="tx1"/>
            </w14:solidFill>
          </w14:textFill>
        </w:rPr>
        <w:t>、货物装卸等噪声源管理，同时避免突发噪声扰民。加强重点单位噪声监管，噪声排放重点单位应依法开展噪声自动监测，严格落实国家和省关于工业噪声排污许可管理要求，并及时与生态环境主管部门的监控设备联网。树立行业噪声治理典型示范，鼓励工业企业采用先进治理技术，淘汰落后工艺和设备，推动噪声治理环保装备制造业高质量发展。规划和设计新建工业园区时应进行噪声污染分区管控，优化设备布局和物流运输路线，采用低噪声设备和运输工具。噪声污染严重或群众投诉问题较多的工业园区应制定实施噪声专项治理工作方案，落实噪声污染防治措施，推动声环境质量有效改善。</w:t>
      </w:r>
    </w:p>
    <w:p w14:paraId="44CF7BBB">
      <w:pPr>
        <w:pStyle w:val="3"/>
        <w:bidi w:val="0"/>
        <w:rPr>
          <w:rFonts w:hint="eastAsia"/>
          <w:b w:val="0"/>
          <w:bCs w:val="0"/>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强化建筑施工噪声污染防治。</w:t>
      </w:r>
      <w:r>
        <w:rPr>
          <w:rFonts w:hint="eastAsia"/>
          <w:b w:val="0"/>
          <w:bCs w:val="0"/>
          <w:color w:val="000000" w:themeColor="text1"/>
          <w:lang w:eastAsia="zh-CN"/>
          <w14:textFill>
            <w14:solidFill>
              <w14:schemeClr w14:val="tx1"/>
            </w14:solidFill>
          </w14:textFill>
        </w:rPr>
        <w:t>压实建设单位管控责任</w:t>
      </w:r>
      <w:r>
        <w:rPr>
          <w:rFonts w:hint="eastAsia"/>
          <w:color w:val="000000" w:themeColor="text1"/>
          <w:lang w:eastAsia="zh-CN"/>
          <w14:textFill>
            <w14:solidFill>
              <w14:schemeClr w14:val="tx1"/>
            </w14:solidFill>
          </w14:textFill>
        </w:rPr>
        <w:t>，监督施工单位严格按照低噪声施工设备指导目录，限制或禁用易产生噪声污染的落后施工工艺和设备，优先使用低噪声施工工艺和设备，采取有效减振降噪措施。</w:t>
      </w:r>
      <w:r>
        <w:rPr>
          <w:rFonts w:hint="eastAsia"/>
          <w:b w:val="0"/>
          <w:bCs w:val="0"/>
          <w:color w:val="000000" w:themeColor="text1"/>
          <w:lang w:eastAsia="zh-CN"/>
          <w14:textFill>
            <w14:solidFill>
              <w14:schemeClr w14:val="tx1"/>
            </w14:solidFill>
          </w14:textFill>
        </w:rPr>
        <w:t>压实施工单位噪声污染防治主体责任</w:t>
      </w:r>
      <w:r>
        <w:rPr>
          <w:rFonts w:hint="eastAsia"/>
          <w:color w:val="000000" w:themeColor="text1"/>
          <w:lang w:eastAsia="zh-CN"/>
          <w14:textFill>
            <w14:solidFill>
              <w14:schemeClr w14:val="tx1"/>
            </w14:solidFill>
          </w14:textFill>
        </w:rPr>
        <w:t>，施工单位应当制定项目噪声污染防治方案，从安全文明施工、降噪资金投入等关键环节落实减振降噪的措施</w:t>
      </w:r>
      <w:r>
        <w:rPr>
          <w:rFonts w:hint="eastAsia"/>
          <w:b w:val="0"/>
          <w:bCs w:val="0"/>
          <w:color w:val="000000" w:themeColor="text1"/>
          <w:lang w:eastAsia="zh-CN"/>
          <w14:textFill>
            <w14:solidFill>
              <w14:schemeClr w14:val="tx1"/>
            </w14:solidFill>
          </w14:textFill>
        </w:rPr>
        <w:t>。加强夜间施工许可管理，完善噪声敏感建筑物集中区域夜间施工证明的申报、审核以及施工管理等要求，明确夜间具体施工内容、施工时段和减振降噪措施等。行业主管部门组织施工单位开展夜间施工许可管理法规学习，执法部门加大无证夜间施工违法行为查处力度。</w:t>
      </w:r>
    </w:p>
    <w:p w14:paraId="09B27B2C">
      <w:pPr>
        <w:pStyle w:val="3"/>
        <w:rPr>
          <w:rFonts w:hint="eastAsia"/>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加强交通运输噪声污染防治。</w:t>
      </w:r>
      <w:r>
        <w:rPr>
          <w:rFonts w:hint="eastAsia"/>
          <w:color w:val="000000" w:themeColor="text1"/>
          <w:lang w:eastAsia="zh-CN"/>
          <w14:textFill>
            <w14:solidFill>
              <w14:schemeClr w14:val="tx1"/>
            </w14:solidFill>
          </w14:textFill>
        </w:rPr>
        <w:t>推进交通干线噪声治理工程，对道路两侧存在居民住宅且夜间交通噪声超标的路段实施优先治理工程，采取隔声屏障及隔声窗等工程治理措施，确保区域声环境质量达标。加强公路和城市道路路面、桥梁及现有噪声污染防治设施检查、维护和保养。</w:t>
      </w:r>
    </w:p>
    <w:p w14:paraId="14E0A628">
      <w:pPr>
        <w:pStyle w:val="3"/>
        <w:rPr>
          <w:rFonts w:hint="eastAsia"/>
          <w:color w:val="000000" w:themeColor="text1"/>
          <w:lang w:eastAsia="zh-CN"/>
          <w14:textFill>
            <w14:solidFill>
              <w14:schemeClr w14:val="tx1"/>
            </w14:solidFill>
          </w14:textFill>
        </w:rPr>
      </w:pPr>
    </w:p>
    <w:p w14:paraId="07E0BF46">
      <w:pPr>
        <w:pStyle w:val="3"/>
        <w:rPr>
          <w:rFonts w:hint="eastAsia"/>
          <w:color w:val="000000" w:themeColor="text1"/>
          <w:lang w:eastAsia="zh-CN"/>
          <w14:textFill>
            <w14:solidFill>
              <w14:schemeClr w14:val="tx1"/>
            </w14:solidFill>
          </w14:textFill>
        </w:rPr>
      </w:pPr>
    </w:p>
    <w:p w14:paraId="5108B2BC">
      <w:pPr>
        <w:pStyle w:val="3"/>
        <w:rPr>
          <w:rFonts w:hint="eastAsia"/>
          <w:color w:val="000000" w:themeColor="text1"/>
          <w:lang w:eastAsia="zh-CN"/>
          <w14:textFill>
            <w14:solidFill>
              <w14:schemeClr w14:val="tx1"/>
            </w14:solidFill>
          </w14:textFill>
        </w:rPr>
      </w:pPr>
    </w:p>
    <w:p w14:paraId="707CCE01">
      <w:pPr>
        <w:pStyle w:val="3"/>
        <w:rPr>
          <w:rFonts w:hint="eastAsia"/>
          <w:color w:val="000000" w:themeColor="text1"/>
          <w:lang w:eastAsia="zh-CN"/>
          <w14:textFill>
            <w14:solidFill>
              <w14:schemeClr w14:val="tx1"/>
            </w14:solidFill>
          </w14:textFill>
        </w:rPr>
      </w:pPr>
    </w:p>
    <w:p w14:paraId="184F59BE">
      <w:pPr>
        <w:pStyle w:val="3"/>
        <w:rPr>
          <w:rFonts w:hint="eastAsia"/>
          <w:color w:val="000000" w:themeColor="text1"/>
          <w:lang w:eastAsia="zh-CN"/>
          <w14:textFill>
            <w14:solidFill>
              <w14:schemeClr w14:val="tx1"/>
            </w14:solidFill>
          </w14:textFill>
        </w:rPr>
      </w:pPr>
    </w:p>
    <w:p w14:paraId="41FCF98A">
      <w:pPr>
        <w:pStyle w:val="3"/>
        <w:rPr>
          <w:rFonts w:hint="eastAsia"/>
          <w:color w:val="000000" w:themeColor="text1"/>
          <w:lang w:eastAsia="zh-CN"/>
          <w14:textFill>
            <w14:solidFill>
              <w14:schemeClr w14:val="tx1"/>
            </w14:solidFill>
          </w14:textFill>
        </w:rPr>
      </w:pPr>
    </w:p>
    <w:p w14:paraId="235DB3FB">
      <w:pPr>
        <w:pStyle w:val="3"/>
        <w:rPr>
          <w:rFonts w:hint="eastAsia"/>
          <w:color w:val="000000" w:themeColor="text1"/>
          <w:lang w:eastAsia="zh-CN"/>
          <w14:textFill>
            <w14:solidFill>
              <w14:schemeClr w14:val="tx1"/>
            </w14:solidFill>
          </w14:textFill>
        </w:rPr>
      </w:pPr>
    </w:p>
    <w:p w14:paraId="3A98B47E">
      <w:pPr>
        <w:pStyle w:val="3"/>
        <w:rPr>
          <w:rFonts w:hint="eastAsia"/>
          <w:color w:val="000000" w:themeColor="text1"/>
          <w:lang w:eastAsia="zh-CN"/>
          <w14:textFill>
            <w14:solidFill>
              <w14:schemeClr w14:val="tx1"/>
            </w14:solidFill>
          </w14:textFill>
        </w:rPr>
      </w:pPr>
    </w:p>
    <w:p w14:paraId="2C0D8206">
      <w:pPr>
        <w:pStyle w:val="3"/>
        <w:rPr>
          <w:rFonts w:hint="eastAsia"/>
          <w:color w:val="000000" w:themeColor="text1"/>
          <w:lang w:eastAsia="zh-CN"/>
          <w14:textFill>
            <w14:solidFill>
              <w14:schemeClr w14:val="tx1"/>
            </w14:solidFill>
          </w14:textFill>
        </w:rPr>
      </w:pPr>
    </w:p>
    <w:p w14:paraId="7BCAEA9C">
      <w:pPr>
        <w:pStyle w:val="3"/>
        <w:rPr>
          <w:rFonts w:hint="eastAsia"/>
          <w:color w:val="000000" w:themeColor="text1"/>
          <w:lang w:eastAsia="zh-CN"/>
          <w14:textFill>
            <w14:solidFill>
              <w14:schemeClr w14:val="tx1"/>
            </w14:solidFill>
          </w14:textFill>
        </w:rPr>
      </w:pPr>
    </w:p>
    <w:p w14:paraId="496DACC9">
      <w:pPr>
        <w:pStyle w:val="2"/>
        <w:bidi w:val="0"/>
        <w:rPr>
          <w:rFonts w:hint="eastAsia"/>
          <w:color w:val="000000" w:themeColor="text1"/>
          <w:lang w:eastAsia="zh-CN"/>
          <w14:textFill>
            <w14:solidFill>
              <w14:schemeClr w14:val="tx1"/>
            </w14:solidFill>
          </w14:textFill>
        </w:rPr>
      </w:pPr>
      <w:bookmarkStart w:id="28" w:name="_Toc5542"/>
      <w:r>
        <w:rPr>
          <w:rFonts w:hint="eastAsia"/>
          <w:color w:val="000000" w:themeColor="text1"/>
          <w:lang w:val="en-US" w:eastAsia="zh-CN"/>
          <w14:textFill>
            <w14:solidFill>
              <w14:schemeClr w14:val="tx1"/>
            </w14:solidFill>
          </w14:textFill>
        </w:rPr>
        <w:t>防范环境风险，守住生态安全底线</w:t>
      </w:r>
      <w:bookmarkEnd w:id="28"/>
    </w:p>
    <w:p w14:paraId="3D80ED9D">
      <w:pPr>
        <w:pStyle w:val="4"/>
        <w:bidi w:val="0"/>
        <w:rPr>
          <w:rFonts w:hint="default"/>
          <w:color w:val="000000" w:themeColor="text1"/>
          <w:lang w:val="en-US" w:eastAsia="zh-CN"/>
          <w14:textFill>
            <w14:solidFill>
              <w14:schemeClr w14:val="tx1"/>
            </w14:solidFill>
          </w14:textFill>
        </w:rPr>
      </w:pPr>
      <w:bookmarkStart w:id="29" w:name="_Toc3605"/>
      <w:r>
        <w:rPr>
          <w:rFonts w:hint="eastAsia"/>
          <w:color w:val="000000" w:themeColor="text1"/>
          <w:lang w:val="en-US" w:eastAsia="zh-CN"/>
          <w14:textFill>
            <w14:solidFill>
              <w14:schemeClr w14:val="tx1"/>
            </w14:solidFill>
          </w14:textFill>
        </w:rPr>
        <w:t>加强环境污染物管理</w:t>
      </w:r>
      <w:bookmarkEnd w:id="29"/>
    </w:p>
    <w:p w14:paraId="4FCAB661">
      <w:pPr>
        <w:pStyle w:val="3"/>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严格重金属风险防控</w:t>
      </w:r>
      <w:r>
        <w:rPr>
          <w:rFonts w:hint="eastAsia"/>
          <w:color w:val="000000" w:themeColor="text1"/>
          <w:lang w:val="en-US" w:eastAsia="zh-CN"/>
          <w14:textFill>
            <w14:solidFill>
              <w14:schemeClr w14:val="tx1"/>
            </w14:solidFill>
          </w14:textFill>
        </w:rPr>
        <w:t>。加强涉重金属企业环境准入管理，新（改、扩）建涉重金属重点行业建设项目实施“等量替代”或“减量替代”，严格执行环评和排污许可制度。全面深入排查涉重金属环境安全隐患，加强监测监控预警网络建设，增强应急处置能力，强化全流程监管，健全长效防控工作机制，有效控制重金属环境风险。进一步摸准摸细污染源数量和分布情况，查清隐患底数，完善全口径涉重金属重点行业企业清单，依法依规纳入重点排污单位名录。强化尾矿库分级分类环境监管，督导涉尾矿库企业加强源头管控，排查整治环境风险隐患，筑牢防范尾矿库环境风险底线。</w:t>
      </w:r>
    </w:p>
    <w:p w14:paraId="30DC90B5">
      <w:pPr>
        <w:pStyle w:val="3"/>
        <w:rPr>
          <w:rFonts w:hint="default"/>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强化</w:t>
      </w:r>
      <w:r>
        <w:rPr>
          <w:rFonts w:hint="default"/>
          <w:b/>
          <w:bCs/>
          <w:color w:val="000000" w:themeColor="text1"/>
          <w:lang w:val="en-US" w:eastAsia="zh-CN"/>
          <w14:textFill>
            <w14:solidFill>
              <w14:schemeClr w14:val="tx1"/>
            </w14:solidFill>
          </w14:textFill>
        </w:rPr>
        <w:t>新污染物</w:t>
      </w:r>
      <w:r>
        <w:rPr>
          <w:rFonts w:hint="eastAsia"/>
          <w:b/>
          <w:bCs/>
          <w:color w:val="000000" w:themeColor="text1"/>
          <w:lang w:val="en-US" w:eastAsia="zh-CN"/>
          <w14:textFill>
            <w14:solidFill>
              <w14:schemeClr w14:val="tx1"/>
            </w14:solidFill>
          </w14:textFill>
        </w:rPr>
        <w:t>环境风险防范</w:t>
      </w:r>
      <w:r>
        <w:rPr>
          <w:rFonts w:hint="default"/>
          <w:color w:val="000000" w:themeColor="text1"/>
          <w:lang w:val="en-US" w:eastAsia="zh-CN"/>
          <w14:textFill>
            <w14:solidFill>
              <w14:schemeClr w14:val="tx1"/>
            </w14:solidFill>
          </w14:textFill>
        </w:rPr>
        <w:t>。建立新污染物协同治理和环境风险管控体系，完善有毒有害化学物质环境风险管理制度，严格落实国家重点管控新污染物清单及禁止、限制、限排等环境风险管控措施。形成源头管控、过程控制、末端治理的全链条防控体系。</w:t>
      </w:r>
      <w:r>
        <w:rPr>
          <w:rFonts w:hint="eastAsia"/>
          <w:color w:val="000000" w:themeColor="text1"/>
          <w:lang w:val="en-US" w:eastAsia="zh-CN"/>
          <w14:textFill>
            <w14:solidFill>
              <w14:schemeClr w14:val="tx1"/>
            </w14:solidFill>
          </w14:textFill>
        </w:rPr>
        <w:t>推动重点行业、重点流域新污染物治理，</w:t>
      </w:r>
      <w:r>
        <w:rPr>
          <w:rFonts w:hint="default"/>
          <w:color w:val="000000" w:themeColor="text1"/>
          <w:lang w:val="en-US" w:eastAsia="zh-CN"/>
          <w14:textFill>
            <w14:solidFill>
              <w14:schemeClr w14:val="tx1"/>
            </w14:solidFill>
          </w14:textFill>
        </w:rPr>
        <w:t>针对种植业抗生素残留及农药助剂污染，推广绿色防控技术，严控抗生素使用</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针对畜禽</w:t>
      </w:r>
      <w:r>
        <w:rPr>
          <w:rFonts w:hint="eastAsia"/>
          <w:color w:val="000000" w:themeColor="text1"/>
          <w:lang w:val="en-US" w:eastAsia="zh-CN"/>
          <w14:textFill>
            <w14:solidFill>
              <w14:schemeClr w14:val="tx1"/>
            </w14:solidFill>
          </w14:textFill>
        </w:rPr>
        <w:t>和</w:t>
      </w:r>
      <w:r>
        <w:rPr>
          <w:rFonts w:hint="default"/>
          <w:color w:val="000000" w:themeColor="text1"/>
          <w:lang w:val="en-US" w:eastAsia="zh-CN"/>
          <w14:textFill>
            <w14:solidFill>
              <w14:schemeClr w14:val="tx1"/>
            </w14:solidFill>
          </w14:textFill>
        </w:rPr>
        <w:t>水产养殖中激素、生长调节剂污染，规范兽药饲料添加剂管理，</w:t>
      </w:r>
      <w:r>
        <w:rPr>
          <w:rFonts w:hint="eastAsia"/>
          <w:color w:val="000000" w:themeColor="text1"/>
          <w:lang w:val="en-US" w:eastAsia="zh-CN"/>
          <w14:textFill>
            <w14:solidFill>
              <w14:schemeClr w14:val="tx1"/>
            </w14:solidFill>
          </w14:textFill>
        </w:rPr>
        <w:t>加强</w:t>
      </w:r>
      <w:r>
        <w:rPr>
          <w:rFonts w:hint="default"/>
          <w:color w:val="000000" w:themeColor="text1"/>
          <w:lang w:val="en-US" w:eastAsia="zh-CN"/>
          <w14:textFill>
            <w14:solidFill>
              <w14:schemeClr w14:val="tx1"/>
            </w14:solidFill>
          </w14:textFill>
        </w:rPr>
        <w:t>养殖</w:t>
      </w:r>
      <w:r>
        <w:rPr>
          <w:rFonts w:hint="eastAsia"/>
          <w:color w:val="000000" w:themeColor="text1"/>
          <w:lang w:val="en-US" w:eastAsia="zh-CN"/>
          <w14:textFill>
            <w14:solidFill>
              <w14:schemeClr w14:val="tx1"/>
            </w14:solidFill>
          </w14:textFill>
        </w:rPr>
        <w:t>业</w:t>
      </w:r>
      <w:r>
        <w:rPr>
          <w:rFonts w:hint="default"/>
          <w:color w:val="000000" w:themeColor="text1"/>
          <w:lang w:val="en-US" w:eastAsia="zh-CN"/>
          <w14:textFill>
            <w14:solidFill>
              <w14:schemeClr w14:val="tx1"/>
            </w14:solidFill>
          </w14:textFill>
        </w:rPr>
        <w:t>抗生素监测</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针对</w:t>
      </w:r>
      <w:r>
        <w:rPr>
          <w:rFonts w:hint="eastAsia"/>
          <w:color w:val="000000" w:themeColor="text1"/>
          <w:lang w:val="en-US" w:eastAsia="zh-CN"/>
          <w14:textFill>
            <w14:solidFill>
              <w14:schemeClr w14:val="tx1"/>
            </w14:solidFill>
          </w14:textFill>
        </w:rPr>
        <w:t>槟榔、</w:t>
      </w:r>
      <w:r>
        <w:rPr>
          <w:rFonts w:hint="default"/>
          <w:color w:val="000000" w:themeColor="text1"/>
          <w:lang w:val="en-US" w:eastAsia="zh-CN"/>
          <w14:textFill>
            <w14:solidFill>
              <w14:schemeClr w14:val="tx1"/>
            </w14:solidFill>
          </w14:textFill>
        </w:rPr>
        <w:t>橡胶加工等重点行业产生的有毒有害化学物质，推动清洁生产改造</w:t>
      </w:r>
      <w:r>
        <w:rPr>
          <w:rFonts w:hint="eastAsia"/>
          <w:color w:val="000000" w:themeColor="text1"/>
          <w:lang w:val="en-US" w:eastAsia="zh-CN"/>
          <w14:textFill>
            <w14:solidFill>
              <w14:schemeClr w14:val="tx1"/>
            </w14:solidFill>
          </w14:textFill>
        </w:rPr>
        <w:t>，加强排污监管</w:t>
      </w:r>
      <w:r>
        <w:rPr>
          <w:rFonts w:hint="default"/>
          <w:color w:val="000000" w:themeColor="text1"/>
          <w:lang w:val="en-US" w:eastAsia="zh-CN"/>
          <w14:textFill>
            <w14:solidFill>
              <w14:schemeClr w14:val="tx1"/>
            </w14:solidFill>
          </w14:textFill>
        </w:rPr>
        <w:t>。针对微塑料污染，一方面推进农用地膜、农药包装袋等农业塑料废弃物规范回收与资源化利用，减少其降解后进入土壤和水体</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另一</w:t>
      </w:r>
      <w:r>
        <w:rPr>
          <w:rFonts w:hint="eastAsia"/>
          <w:color w:val="000000" w:themeColor="text1"/>
          <w:lang w:val="en-US" w:eastAsia="zh-CN"/>
          <w14:textFill>
            <w14:solidFill>
              <w14:schemeClr w14:val="tx1"/>
            </w14:solidFill>
          </w14:textFill>
        </w:rPr>
        <w:t>方面持续强化</w:t>
      </w:r>
      <w:r>
        <w:rPr>
          <w:rFonts w:hint="default"/>
          <w:color w:val="000000" w:themeColor="text1"/>
          <w:lang w:val="en-US" w:eastAsia="zh-CN"/>
          <w14:textFill>
            <w14:solidFill>
              <w14:schemeClr w14:val="tx1"/>
            </w14:solidFill>
          </w14:textFill>
        </w:rPr>
        <w:t>“禁塑”</w:t>
      </w:r>
      <w:r>
        <w:rPr>
          <w:rFonts w:hint="eastAsia"/>
          <w:color w:val="000000" w:themeColor="text1"/>
          <w:lang w:val="en-US" w:eastAsia="zh-CN"/>
          <w14:textFill>
            <w14:solidFill>
              <w14:schemeClr w14:val="tx1"/>
            </w14:solidFill>
          </w14:textFill>
        </w:rPr>
        <w:t>工作</w:t>
      </w:r>
      <w:r>
        <w:rPr>
          <w:rFonts w:hint="default"/>
          <w:color w:val="000000" w:themeColor="text1"/>
          <w:lang w:val="en-US" w:eastAsia="zh-CN"/>
          <w14:textFill>
            <w14:solidFill>
              <w14:schemeClr w14:val="tx1"/>
            </w14:solidFill>
          </w14:textFill>
        </w:rPr>
        <w:t>，全面推广可降解环保袋、布袋、纸制品等替代品，从源头削减塑料污染风险。持续开展化学物质环境信息调查，优先评估高风险化学物质，“一品一策”落实管控措施。加强新污染物环境与健康危害机理、跟踪溯源以及迁移机制等基础研究，推动新污染物治理技术创新。强化</w:t>
      </w:r>
      <w:r>
        <w:rPr>
          <w:rFonts w:hint="eastAsia"/>
          <w:color w:val="000000" w:themeColor="text1"/>
          <w:lang w:val="en-US" w:eastAsia="zh-CN"/>
          <w14:textFill>
            <w14:solidFill>
              <w14:schemeClr w14:val="tx1"/>
            </w14:solidFill>
          </w14:textFill>
        </w:rPr>
        <w:t>新污染物</w:t>
      </w:r>
      <w:r>
        <w:rPr>
          <w:rFonts w:hint="default"/>
          <w:color w:val="000000" w:themeColor="text1"/>
          <w:lang w:val="en-US" w:eastAsia="zh-CN"/>
          <w14:textFill>
            <w14:solidFill>
              <w14:schemeClr w14:val="tx1"/>
            </w14:solidFill>
          </w14:textFill>
        </w:rPr>
        <w:t>监督执法和监测能力，积极履行持久性有机污染物等国际公约，加快淘汰、限制、减少管控化学品，切实保障生态环境安全和公众健康。</w:t>
      </w:r>
    </w:p>
    <w:p w14:paraId="6F81922A">
      <w:pPr>
        <w:pStyle w:val="4"/>
        <w:rPr>
          <w:rFonts w:hint="default"/>
          <w:color w:val="000000" w:themeColor="text1"/>
          <w:lang w:val="en-US" w:eastAsia="zh-CN"/>
          <w14:textFill>
            <w14:solidFill>
              <w14:schemeClr w14:val="tx1"/>
            </w14:solidFill>
          </w14:textFill>
        </w:rPr>
      </w:pPr>
      <w:bookmarkStart w:id="30" w:name="_Toc24729"/>
      <w:r>
        <w:rPr>
          <w:rFonts w:hint="eastAsia"/>
          <w:color w:val="000000" w:themeColor="text1"/>
          <w:lang w:val="en-US" w:eastAsia="zh-CN"/>
          <w14:textFill>
            <w14:solidFill>
              <w14:schemeClr w14:val="tx1"/>
            </w14:solidFill>
          </w14:textFill>
        </w:rPr>
        <w:t>加强辐射安全防控</w:t>
      </w:r>
      <w:bookmarkEnd w:id="30"/>
    </w:p>
    <w:p w14:paraId="5849D191">
      <w:pPr>
        <w:pStyle w:val="3"/>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强化辐射安全监管</w:t>
      </w:r>
      <w:r>
        <w:rPr>
          <w:rFonts w:hint="eastAsia"/>
          <w:color w:val="000000" w:themeColor="text1"/>
          <w:lang w:val="en-US" w:eastAsia="zh-CN"/>
          <w14:textFill>
            <w14:solidFill>
              <w14:schemeClr w14:val="tx1"/>
            </w14:solidFill>
          </w14:textFill>
        </w:rPr>
        <w:t>。规范辐射安全许可证管理，推进辐射监管日常化、管理信息化和精细化，对高风险放射源实施动态监控。严格落实建设项目辐射环境影响评价制度。加强使用放射性同位素和射线装置进行放射诊疗的医疗机构产生的放射性废物分类收集、暂存和处置力度，废弃（退役）放射源做到100%收贮。强化从业人员资质与个人剂量管理，严格操作规程管理和隐患管控，提高核技术利用安全水平。规范移动使用放射源与射线装置活动的辐射安全与防护管理。</w:t>
      </w:r>
    </w:p>
    <w:p w14:paraId="41FB24D1">
      <w:pPr>
        <w:pStyle w:val="3"/>
        <w:rPr>
          <w:rFonts w:hint="eastAsia"/>
          <w:color w:val="000000" w:themeColor="text1"/>
          <w:lang w:val="en-US" w:eastAsia="zh-CN"/>
          <w14:textFill>
            <w14:solidFill>
              <w14:schemeClr w14:val="tx1"/>
            </w14:solidFill>
          </w14:textFill>
        </w:rPr>
      </w:pPr>
    </w:p>
    <w:p w14:paraId="1DD45B3F">
      <w:pPr>
        <w:pStyle w:val="3"/>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加强电磁环境管理</w:t>
      </w:r>
      <w:r>
        <w:rPr>
          <w:rFonts w:hint="eastAsia"/>
          <w:color w:val="000000" w:themeColor="text1"/>
          <w:lang w:val="en-US" w:eastAsia="zh-CN"/>
          <w14:textFill>
            <w14:solidFill>
              <w14:schemeClr w14:val="tx1"/>
            </w14:solidFill>
          </w14:textFill>
        </w:rPr>
        <w:t>。规范伴有电磁辐射建设项目监督管理，执行电磁设施（设备）应用单位电磁辐射水平监测及报告制度。加强对广播电视发射台、中波发射台、移动通信基站及输变电设施的监管。妥善处理电磁辐射纠纷，维护社会稳定。落实电磁环境信息公开。</w:t>
      </w:r>
    </w:p>
    <w:p w14:paraId="393B72FB">
      <w:pPr>
        <w:pStyle w:val="3"/>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持续推进辐射应急能力建设</w:t>
      </w:r>
      <w:r>
        <w:rPr>
          <w:rFonts w:hint="eastAsia"/>
          <w:color w:val="000000" w:themeColor="text1"/>
          <w:lang w:val="en-US" w:eastAsia="zh-CN"/>
          <w14:textFill>
            <w14:solidFill>
              <w14:schemeClr w14:val="tx1"/>
            </w14:solidFill>
          </w14:textFill>
        </w:rPr>
        <w:t>。推进辐射环境监测网络建设，构建辐射安全应急响应现代化体系，建立“管理队伍、专家队伍、救援队伍”三支应急队伍，定期组织人员培训和应急演练，增强辐射应急监测和处置辐射突发事件的能力。修订完善屯昌县辐射事故应急预案和执行程序，定期开展辐射应急演练，提高辐射应急能力。加强辐射应急监测快速响应能力建设，提高辐射应急监测装备水平。</w:t>
      </w:r>
    </w:p>
    <w:p w14:paraId="6208E696">
      <w:pPr>
        <w:pStyle w:val="3"/>
        <w:ind w:left="0" w:leftChars="0" w:firstLine="643" w:firstLineChars="200"/>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防范化解固体废物环境风险隐患。</w:t>
      </w:r>
      <w:r>
        <w:rPr>
          <w:rFonts w:hint="eastAsia"/>
          <w:color w:val="000000" w:themeColor="text1"/>
          <w:lang w:val="en-US" w:eastAsia="zh-CN"/>
          <w14:textFill>
            <w14:solidFill>
              <w14:schemeClr w14:val="tx1"/>
            </w14:solidFill>
          </w14:textFill>
        </w:rPr>
        <w:t>强化危险废物全过程监管，摸清全县危险废物的产生、贮存、转移、利用、处置情况，提升危废产生单位规范化管理水平，对自有危险废物贮存设施开展定期检查和评估，切实落实污染防治主体责任。妥善处置市政污泥，对污泥的流向、用途、用量等进行跟踪、记录，确保污泥无害化处理和资源化利用。加快补齐污泥处理设施缺口，杜绝简易填埋和违规堆置，加快建设污泥综合处理处置中心，构建稳定可持续的污泥处置体系。强化废动力电池、废光伏组件等“新三样”固体废物全链条环境监管，全面摸排县域新能源废弃物产生、回收利用情况并建立动态管理台账。</w:t>
      </w:r>
    </w:p>
    <w:p w14:paraId="7578BC2E">
      <w:pPr>
        <w:pStyle w:val="4"/>
        <w:bidi w:val="0"/>
        <w:rPr>
          <w:rFonts w:hint="default"/>
          <w:color w:val="000000" w:themeColor="text1"/>
          <w:lang w:val="en-US" w:eastAsia="zh-CN"/>
          <w14:textFill>
            <w14:solidFill>
              <w14:schemeClr w14:val="tx1"/>
            </w14:solidFill>
          </w14:textFill>
        </w:rPr>
      </w:pPr>
      <w:bookmarkStart w:id="31" w:name="_Toc15429"/>
      <w:r>
        <w:rPr>
          <w:rFonts w:hint="eastAsia"/>
          <w:color w:val="000000" w:themeColor="text1"/>
          <w:lang w:val="en-US" w:eastAsia="zh-CN"/>
          <w14:textFill>
            <w14:solidFill>
              <w14:schemeClr w14:val="tx1"/>
            </w14:solidFill>
          </w14:textFill>
        </w:rPr>
        <w:t>提升环境风险应急能力</w:t>
      </w:r>
      <w:bookmarkEnd w:id="31"/>
    </w:p>
    <w:p w14:paraId="2DB1BF33">
      <w:pPr>
        <w:pStyle w:val="3"/>
        <w:bidi w:val="0"/>
        <w:rPr>
          <w:rFonts w:hint="eastAsia"/>
          <w:color w:val="000000" w:themeColor="text1"/>
          <w14:textFill>
            <w14:solidFill>
              <w14:schemeClr w14:val="tx1"/>
            </w14:solidFill>
          </w14:textFill>
        </w:rPr>
      </w:pPr>
      <w:r>
        <w:rPr>
          <w:rFonts w:hint="eastAsia"/>
          <w:b/>
          <w:bCs/>
          <w:color w:val="000000" w:themeColor="text1"/>
          <w14:textFill>
            <w14:solidFill>
              <w14:schemeClr w14:val="tx1"/>
            </w14:solidFill>
          </w14:textFill>
        </w:rPr>
        <w:t>建立健全环境应急管理机制</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全面提升屯昌县风险防控基础能力，构建事前严防、事中严守、事后处置的全过程、多层次风险防控体系，严格按照“横向到边、纵向到底”的要求，将环境应急管理工作的目标任务落实到具体负责人，明确各部门责任分工，完善应急指挥调度机制，提高环境应急管理水平。推进环境应急管理队伍、应急专家库建设，探索组建社会化应急救援队伍，完善环境应急物资储备，补齐应急监测设备短板，强化应急监测。</w:t>
      </w:r>
    </w:p>
    <w:p w14:paraId="40EB7849">
      <w:pPr>
        <w:pStyle w:val="3"/>
        <w:rPr>
          <w:rFonts w:hint="eastAsia"/>
          <w:color w:val="000000" w:themeColor="text1"/>
          <w14:textFill>
            <w14:solidFill>
              <w14:schemeClr w14:val="tx1"/>
            </w14:solidFill>
          </w14:textFill>
        </w:rPr>
      </w:pPr>
      <w:r>
        <w:rPr>
          <w:rFonts w:hint="eastAsia"/>
          <w:b/>
          <w:bCs/>
          <w:color w:val="000000" w:themeColor="text1"/>
          <w14:textFill>
            <w14:solidFill>
              <w14:schemeClr w14:val="tx1"/>
            </w14:solidFill>
          </w14:textFill>
        </w:rPr>
        <w:t>加强环境风险防范能力建设</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对各类风险源、风险点、敏感区域进行全面、彻底排查，</w:t>
      </w:r>
      <w:r>
        <w:rPr>
          <w:rFonts w:hint="eastAsia"/>
          <w:color w:val="000000" w:themeColor="text1"/>
          <w:lang w:val="en-US" w:eastAsia="zh-CN"/>
          <w14:textFill>
            <w14:solidFill>
              <w14:schemeClr w14:val="tx1"/>
            </w14:solidFill>
          </w14:textFill>
        </w:rPr>
        <w:t>逐步</w:t>
      </w:r>
      <w:r>
        <w:rPr>
          <w:rFonts w:hint="eastAsia"/>
          <w:color w:val="000000" w:themeColor="text1"/>
          <w14:textFill>
            <w14:solidFill>
              <w14:schemeClr w14:val="tx1"/>
            </w14:solidFill>
          </w14:textFill>
        </w:rPr>
        <w:t>建立屯昌县环境风险源数据库，开展工业企业环境风险分析，实现环境风险源分级分类动态管理。完善屯昌县突发生态环境事件应急响应机制</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联合应急管理局等单位</w:t>
      </w:r>
      <w:r>
        <w:rPr>
          <w:rFonts w:hint="eastAsia"/>
          <w:color w:val="000000" w:themeColor="text1"/>
          <w14:textFill>
            <w14:solidFill>
              <w14:schemeClr w14:val="tx1"/>
            </w14:solidFill>
          </w14:textFill>
        </w:rPr>
        <w:t>制修订</w:t>
      </w:r>
      <w:r>
        <w:rPr>
          <w:rFonts w:hint="eastAsia"/>
          <w:color w:val="000000" w:themeColor="text1"/>
          <w:lang w:val="en-US" w:eastAsia="zh-CN"/>
          <w14:textFill>
            <w14:solidFill>
              <w14:schemeClr w14:val="tx1"/>
            </w14:solidFill>
          </w14:textFill>
        </w:rPr>
        <w:t>相关应急预案和应急预案演练方案</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定期组织开展各类单项演习、联合演习和综合演习，确保应急预案的有效性，确保每个环节实施到位，</w:t>
      </w:r>
      <w:r>
        <w:rPr>
          <w:rFonts w:hint="eastAsia"/>
          <w:color w:val="000000" w:themeColor="text1"/>
          <w:lang w:eastAsia="zh-CN"/>
          <w14:textFill>
            <w14:solidFill>
              <w14:schemeClr w14:val="tx1"/>
            </w14:solidFill>
          </w14:textFill>
        </w:rPr>
        <w:t>实现</w:t>
      </w:r>
      <w:r>
        <w:rPr>
          <w:rFonts w:hint="eastAsia"/>
          <w:color w:val="000000" w:themeColor="text1"/>
          <w14:textFill>
            <w14:solidFill>
              <w14:schemeClr w14:val="tx1"/>
            </w14:solidFill>
          </w14:textFill>
        </w:rPr>
        <w:t>指挥机构、救援队伍和社会公众全方位参与。与省内</w:t>
      </w:r>
      <w:r>
        <w:rPr>
          <w:rFonts w:hint="eastAsia"/>
          <w:color w:val="000000" w:themeColor="text1"/>
          <w:lang w:eastAsia="zh-CN"/>
          <w14:textFill>
            <w14:solidFill>
              <w14:schemeClr w14:val="tx1"/>
            </w14:solidFill>
          </w14:textFill>
        </w:rPr>
        <w:t>外</w:t>
      </w:r>
      <w:r>
        <w:rPr>
          <w:rFonts w:hint="eastAsia"/>
          <w:color w:val="000000" w:themeColor="text1"/>
          <w14:textFill>
            <w14:solidFill>
              <w14:schemeClr w14:val="tx1"/>
            </w14:solidFill>
          </w14:textFill>
        </w:rPr>
        <w:t>高等院校、科研院所建立战略合作关系，充分利用其优质培训资源，提升现有人才队伍</w:t>
      </w:r>
      <w:r>
        <w:rPr>
          <w:rFonts w:hint="eastAsia"/>
          <w:color w:val="000000" w:themeColor="text1"/>
          <w:lang w:eastAsia="zh-CN"/>
          <w14:textFill>
            <w14:solidFill>
              <w14:schemeClr w14:val="tx1"/>
            </w14:solidFill>
          </w14:textFill>
        </w:rPr>
        <w:t>环境应急</w:t>
      </w:r>
      <w:r>
        <w:rPr>
          <w:rFonts w:hint="eastAsia"/>
          <w:color w:val="000000" w:themeColor="text1"/>
          <w14:textFill>
            <w14:solidFill>
              <w14:schemeClr w14:val="tx1"/>
            </w14:solidFill>
          </w14:textFill>
        </w:rPr>
        <w:t>能力。建立稳定的生态环境领域专家服务咨询团队，为全县生态环境</w:t>
      </w:r>
      <w:r>
        <w:rPr>
          <w:rFonts w:hint="eastAsia"/>
          <w:color w:val="000000" w:themeColor="text1"/>
          <w:lang w:eastAsia="zh-CN"/>
          <w14:textFill>
            <w14:solidFill>
              <w14:schemeClr w14:val="tx1"/>
            </w14:solidFill>
          </w14:textFill>
        </w:rPr>
        <w:t>风险防治</w:t>
      </w:r>
      <w:r>
        <w:rPr>
          <w:rFonts w:hint="eastAsia"/>
          <w:color w:val="000000" w:themeColor="text1"/>
          <w14:textFill>
            <w14:solidFill>
              <w14:schemeClr w14:val="tx1"/>
            </w14:solidFill>
          </w14:textFill>
        </w:rPr>
        <w:t>工作提供</w:t>
      </w:r>
      <w:r>
        <w:rPr>
          <w:rFonts w:hint="eastAsia"/>
          <w:color w:val="000000" w:themeColor="text1"/>
          <w:lang w:eastAsia="zh-CN"/>
          <w14:textFill>
            <w14:solidFill>
              <w14:schemeClr w14:val="tx1"/>
            </w14:solidFill>
          </w14:textFill>
        </w:rPr>
        <w:t>技术</w:t>
      </w:r>
      <w:r>
        <w:rPr>
          <w:rFonts w:hint="eastAsia"/>
          <w:color w:val="000000" w:themeColor="text1"/>
          <w14:textFill>
            <w14:solidFill>
              <w14:schemeClr w14:val="tx1"/>
            </w14:solidFill>
          </w14:textFill>
        </w:rPr>
        <w:t>咨询。强化污染天气、饮用水水源地、有毒有害气体等关系公众健康的重点领域风险预警，建立健全预测预警制度、技术、工程和综合应急救援体系</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提升“识别-研判-预警-防控-处置”全链条风险防控能力</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提升环境风险防控意识，充分运用广播、电视、报刊以及新媒体等</w:t>
      </w:r>
      <w:r>
        <w:rPr>
          <w:rFonts w:hint="eastAsia"/>
          <w:color w:val="000000" w:themeColor="text1"/>
          <w:lang w:eastAsia="zh-CN"/>
          <w14:textFill>
            <w14:solidFill>
              <w14:schemeClr w14:val="tx1"/>
            </w14:solidFill>
          </w14:textFill>
        </w:rPr>
        <w:t>网络平台</w:t>
      </w:r>
      <w:r>
        <w:rPr>
          <w:rFonts w:hint="eastAsia"/>
          <w:color w:val="000000" w:themeColor="text1"/>
          <w14:textFill>
            <w14:solidFill>
              <w14:schemeClr w14:val="tx1"/>
            </w14:solidFill>
          </w14:textFill>
        </w:rPr>
        <w:t>进行环境风险教育宣传，全面提高各级领导干部及群众的思想认识。</w:t>
      </w:r>
    </w:p>
    <w:p w14:paraId="1B677471">
      <w:pPr>
        <w:pStyle w:val="3"/>
        <w:rPr>
          <w:rFonts w:hint="eastAsia"/>
          <w:color w:val="000000" w:themeColor="text1"/>
          <w14:textFill>
            <w14:solidFill>
              <w14:schemeClr w14:val="tx1"/>
            </w14:solidFill>
          </w14:textFill>
        </w:rPr>
      </w:pPr>
    </w:p>
    <w:p w14:paraId="16CE29B6">
      <w:pPr>
        <w:pStyle w:val="3"/>
        <w:rPr>
          <w:rFonts w:hint="eastAsia"/>
          <w:color w:val="000000" w:themeColor="text1"/>
          <w14:textFill>
            <w14:solidFill>
              <w14:schemeClr w14:val="tx1"/>
            </w14:solidFill>
          </w14:textFill>
        </w:rPr>
      </w:pPr>
    </w:p>
    <w:p w14:paraId="17E7C3B7">
      <w:pPr>
        <w:pStyle w:val="3"/>
        <w:rPr>
          <w:rFonts w:hint="eastAsia"/>
          <w:color w:val="000000" w:themeColor="text1"/>
          <w14:textFill>
            <w14:solidFill>
              <w14:schemeClr w14:val="tx1"/>
            </w14:solidFill>
          </w14:textFill>
        </w:rPr>
      </w:pPr>
    </w:p>
    <w:p w14:paraId="0C78B0AA">
      <w:pPr>
        <w:pStyle w:val="3"/>
        <w:rPr>
          <w:rFonts w:hint="eastAsia"/>
          <w:color w:val="000000" w:themeColor="text1"/>
          <w14:textFill>
            <w14:solidFill>
              <w14:schemeClr w14:val="tx1"/>
            </w14:solidFill>
          </w14:textFill>
        </w:rPr>
      </w:pPr>
    </w:p>
    <w:p w14:paraId="21B93789">
      <w:pPr>
        <w:pStyle w:val="3"/>
        <w:rPr>
          <w:rFonts w:hint="eastAsia"/>
          <w:color w:val="000000" w:themeColor="text1"/>
          <w14:textFill>
            <w14:solidFill>
              <w14:schemeClr w14:val="tx1"/>
            </w14:solidFill>
          </w14:textFill>
        </w:rPr>
      </w:pPr>
    </w:p>
    <w:p w14:paraId="6333F021">
      <w:pPr>
        <w:pStyle w:val="3"/>
        <w:rPr>
          <w:rFonts w:hint="eastAsia"/>
          <w:color w:val="000000" w:themeColor="text1"/>
          <w14:textFill>
            <w14:solidFill>
              <w14:schemeClr w14:val="tx1"/>
            </w14:solidFill>
          </w14:textFill>
        </w:rPr>
      </w:pPr>
    </w:p>
    <w:p w14:paraId="7F1D2F34">
      <w:pPr>
        <w:pStyle w:val="3"/>
        <w:rPr>
          <w:rFonts w:hint="eastAsia"/>
          <w:color w:val="000000" w:themeColor="text1"/>
          <w14:textFill>
            <w14:solidFill>
              <w14:schemeClr w14:val="tx1"/>
            </w14:solidFill>
          </w14:textFill>
        </w:rPr>
      </w:pPr>
    </w:p>
    <w:p w14:paraId="66E94754">
      <w:pPr>
        <w:pStyle w:val="3"/>
        <w:rPr>
          <w:rFonts w:hint="eastAsia"/>
          <w:color w:val="000000" w:themeColor="text1"/>
          <w14:textFill>
            <w14:solidFill>
              <w14:schemeClr w14:val="tx1"/>
            </w14:solidFill>
          </w14:textFill>
        </w:rPr>
      </w:pPr>
    </w:p>
    <w:p w14:paraId="6B0856AA">
      <w:pPr>
        <w:pStyle w:val="3"/>
        <w:rPr>
          <w:rFonts w:hint="eastAsia"/>
          <w:color w:val="000000" w:themeColor="text1"/>
          <w14:textFill>
            <w14:solidFill>
              <w14:schemeClr w14:val="tx1"/>
            </w14:solidFill>
          </w14:textFill>
        </w:rPr>
      </w:pPr>
    </w:p>
    <w:p w14:paraId="6400FCAD">
      <w:pPr>
        <w:pStyle w:val="3"/>
        <w:rPr>
          <w:rFonts w:hint="eastAsia"/>
          <w:color w:val="000000" w:themeColor="text1"/>
          <w14:textFill>
            <w14:solidFill>
              <w14:schemeClr w14:val="tx1"/>
            </w14:solidFill>
          </w14:textFill>
        </w:rPr>
      </w:pPr>
    </w:p>
    <w:p w14:paraId="642815AF">
      <w:pPr>
        <w:pStyle w:val="3"/>
        <w:rPr>
          <w:rFonts w:hint="eastAsia"/>
          <w:color w:val="000000" w:themeColor="text1"/>
          <w14:textFill>
            <w14:solidFill>
              <w14:schemeClr w14:val="tx1"/>
            </w14:solidFill>
          </w14:textFill>
        </w:rPr>
      </w:pPr>
    </w:p>
    <w:p w14:paraId="11922B43">
      <w:pPr>
        <w:pStyle w:val="3"/>
        <w:rPr>
          <w:rFonts w:hint="eastAsia"/>
          <w:color w:val="000000" w:themeColor="text1"/>
          <w14:textFill>
            <w14:solidFill>
              <w14:schemeClr w14:val="tx1"/>
            </w14:solidFill>
          </w14:textFill>
        </w:rPr>
      </w:pPr>
    </w:p>
    <w:p w14:paraId="006273AD">
      <w:pPr>
        <w:pStyle w:val="3"/>
        <w:rPr>
          <w:rFonts w:hint="eastAsia"/>
          <w:color w:val="000000" w:themeColor="text1"/>
          <w14:textFill>
            <w14:solidFill>
              <w14:schemeClr w14:val="tx1"/>
            </w14:solidFill>
          </w14:textFill>
        </w:rPr>
      </w:pPr>
    </w:p>
    <w:p w14:paraId="2219F0F9">
      <w:pPr>
        <w:pStyle w:val="3"/>
        <w:rPr>
          <w:rFonts w:hint="eastAsia"/>
          <w:color w:val="000000" w:themeColor="text1"/>
          <w14:textFill>
            <w14:solidFill>
              <w14:schemeClr w14:val="tx1"/>
            </w14:solidFill>
          </w14:textFill>
        </w:rPr>
      </w:pPr>
    </w:p>
    <w:p w14:paraId="0E9C44B5">
      <w:pPr>
        <w:pStyle w:val="3"/>
        <w:rPr>
          <w:rFonts w:hint="eastAsia"/>
          <w:color w:val="000000" w:themeColor="text1"/>
          <w14:textFill>
            <w14:solidFill>
              <w14:schemeClr w14:val="tx1"/>
            </w14:solidFill>
          </w14:textFill>
        </w:rPr>
      </w:pPr>
    </w:p>
    <w:p w14:paraId="36E9CD93">
      <w:pPr>
        <w:pStyle w:val="3"/>
        <w:rPr>
          <w:rFonts w:hint="eastAsia"/>
          <w:color w:val="000000" w:themeColor="text1"/>
          <w14:textFill>
            <w14:solidFill>
              <w14:schemeClr w14:val="tx1"/>
            </w14:solidFill>
          </w14:textFill>
        </w:rPr>
      </w:pPr>
    </w:p>
    <w:p w14:paraId="7FDA9637">
      <w:pPr>
        <w:pStyle w:val="3"/>
        <w:rPr>
          <w:rFonts w:hint="eastAsia"/>
          <w:color w:val="000000" w:themeColor="text1"/>
          <w14:textFill>
            <w14:solidFill>
              <w14:schemeClr w14:val="tx1"/>
            </w14:solidFill>
          </w14:textFill>
        </w:rPr>
      </w:pPr>
    </w:p>
    <w:p w14:paraId="2FDC7716">
      <w:pPr>
        <w:pStyle w:val="2"/>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bookmarkStart w:id="32" w:name="_Toc9016"/>
      <w:r>
        <w:rPr>
          <w:rFonts w:hint="eastAsia"/>
          <w:color w:val="000000" w:themeColor="text1"/>
          <w:lang w:val="en-US" w:eastAsia="zh-CN"/>
          <w14:textFill>
            <w14:solidFill>
              <w14:schemeClr w14:val="tx1"/>
            </w14:solidFill>
          </w14:textFill>
        </w:rPr>
        <w:t>强化生态系统保护修复，守护绿水青山</w:t>
      </w:r>
      <w:bookmarkEnd w:id="32"/>
    </w:p>
    <w:p w14:paraId="15459D03">
      <w:pPr>
        <w:pStyle w:val="4"/>
        <w:numPr>
          <w:ilvl w:val="1"/>
          <w:numId w:val="2"/>
        </w:numPr>
        <w:bidi w:val="0"/>
        <w:rPr>
          <w:rFonts w:hint="eastAsia"/>
          <w:color w:val="000000" w:themeColor="text1"/>
          <w:lang w:eastAsia="zh-CN"/>
          <w14:textFill>
            <w14:solidFill>
              <w14:schemeClr w14:val="tx1"/>
            </w14:solidFill>
          </w14:textFill>
        </w:rPr>
      </w:pPr>
      <w:bookmarkStart w:id="33" w:name="_Toc26435"/>
      <w:r>
        <w:rPr>
          <w:rFonts w:hint="eastAsia"/>
          <w:color w:val="000000" w:themeColor="text1"/>
          <w:lang w:eastAsia="zh-CN"/>
          <w14:textFill>
            <w14:solidFill>
              <w14:schemeClr w14:val="tx1"/>
            </w14:solidFill>
          </w14:textFill>
        </w:rPr>
        <w:t>加强生物多样性保护</w:t>
      </w:r>
      <w:bookmarkEnd w:id="33"/>
    </w:p>
    <w:p w14:paraId="00E2AAC3">
      <w:pPr>
        <w:pStyle w:val="3"/>
        <w:bidi w:val="0"/>
        <w:rPr>
          <w:rFonts w:hint="default"/>
          <w:color w:val="000000" w:themeColor="text1"/>
          <w:lang w:val="en-US" w:eastAsia="zh-CN"/>
          <w14:textFill>
            <w14:solidFill>
              <w14:schemeClr w14:val="tx1"/>
            </w14:solidFill>
          </w14:textFill>
        </w:rPr>
      </w:pPr>
      <w:r>
        <w:rPr>
          <w:rFonts w:hint="eastAsia"/>
          <w:b/>
          <w:bCs/>
          <w:color w:val="000000" w:themeColor="text1"/>
          <w:lang w:eastAsia="zh-CN"/>
          <w14:textFill>
            <w14:solidFill>
              <w14:schemeClr w14:val="tx1"/>
            </w14:solidFill>
          </w14:textFill>
        </w:rPr>
        <w:t>构建</w:t>
      </w:r>
      <w:r>
        <w:rPr>
          <w:rFonts w:hint="eastAsia"/>
          <w:b/>
          <w:bCs/>
          <w:color w:val="000000" w:themeColor="text1"/>
          <w:lang w:val="en-US" w:eastAsia="zh-CN"/>
          <w14:textFill>
            <w14:solidFill>
              <w14:schemeClr w14:val="tx1"/>
            </w14:solidFill>
          </w14:textFill>
        </w:rPr>
        <w:t>屯昌县</w:t>
      </w:r>
      <w:r>
        <w:rPr>
          <w:rFonts w:hint="eastAsia"/>
          <w:b/>
          <w:bCs/>
          <w:color w:val="000000" w:themeColor="text1"/>
          <w:lang w:eastAsia="zh-CN"/>
          <w14:textFill>
            <w14:solidFill>
              <w14:schemeClr w14:val="tx1"/>
            </w14:solidFill>
          </w14:textFill>
        </w:rPr>
        <w:t>生物多样性调查监测网络</w:t>
      </w:r>
      <w:r>
        <w:rPr>
          <w:rFonts w:hint="eastAsia"/>
          <w:color w:val="000000" w:themeColor="text1"/>
          <w:lang w:eastAsia="zh-CN"/>
          <w14:textFill>
            <w14:solidFill>
              <w14:schemeClr w14:val="tx1"/>
            </w14:solidFill>
          </w14:textFill>
        </w:rPr>
        <w:t>。依托海南省生物多样性调查工作对屯昌县生物分布特征开展就地保护与生物多样性本底调查，系统评估县域内珍稀物种、保护物种的种类、分布、数量情况，建立生物多样性数据库和监测网络。</w:t>
      </w:r>
      <w:r>
        <w:rPr>
          <w:rFonts w:hint="eastAsia"/>
          <w:color w:val="000000" w:themeColor="text1"/>
          <w:lang w:val="en-US" w:eastAsia="zh-CN"/>
          <w14:textFill>
            <w14:solidFill>
              <w14:schemeClr w14:val="tx1"/>
            </w14:solidFill>
          </w14:textFill>
        </w:rPr>
        <w:t>开展农业外来入侵物种普查调查、监测、防控等工作。</w:t>
      </w:r>
    </w:p>
    <w:p w14:paraId="59775EE1">
      <w:pPr>
        <w:pStyle w:val="3"/>
        <w:bidi w:val="0"/>
        <w:rPr>
          <w:rFonts w:hint="default"/>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打造重点保护动植物的适宜生境</w:t>
      </w:r>
      <w:r>
        <w:rPr>
          <w:rFonts w:hint="eastAsia"/>
          <w:color w:val="000000" w:themeColor="text1"/>
          <w:lang w:val="en-US" w:eastAsia="zh-CN"/>
          <w14:textFill>
            <w14:solidFill>
              <w14:schemeClr w14:val="tx1"/>
            </w14:solidFill>
          </w14:textFill>
        </w:rPr>
        <w:t>。</w:t>
      </w:r>
      <w:r>
        <w:rPr>
          <w:rFonts w:hint="eastAsia"/>
          <w:color w:val="000000" w:themeColor="text1"/>
          <w:lang w:eastAsia="zh-CN"/>
          <w14:textFill>
            <w14:solidFill>
              <w14:schemeClr w14:val="tx1"/>
            </w14:solidFill>
          </w14:textFill>
        </w:rPr>
        <w:t>在枫木坡垒植被分布区，模拟热带雨林“林窗—林缘—林下”梯度生境，通过人工营造林窗，促进幼苗更新。在坡垒人工林下层种植耐荫草本和藤本植物，形成“乔木—灌木—草本—藤本”立体结构，增加群落稳定性。以枫木湖流域为核心，沿湖岸及水系廊道种植青皮、蝴蝶树等乡土伴生树种，构建连贯的线性生态廊道，实现与周边自然保护区的有机连通。在坡垒核心区布设地面监测系统，安装自动气象站、土壤墒情传感器和高清摄像头，实时监测温湿度、光照、土壤养分等环境因子。每季度开展无人机航测，利用多光谱成像技术分析植被覆盖度变化，识别病虫害早期迹象。开发生物多样性智慧管理平台，整合监测数据与模型预测结果，对种群衰退、栖息地破碎化等风险实时预警，联动管护人员采取干预措施。</w:t>
      </w:r>
    </w:p>
    <w:p w14:paraId="717BD0AB">
      <w:pPr>
        <w:pStyle w:val="3"/>
        <w:bidi w:val="0"/>
        <w:rPr>
          <w:rFonts w:hint="default"/>
          <w:color w:val="000000" w:themeColor="text1"/>
          <w:lang w:val="en-US" w:eastAsia="zh-CN"/>
          <w14:textFill>
            <w14:solidFill>
              <w14:schemeClr w14:val="tx1"/>
            </w14:solidFill>
          </w14:textFill>
        </w:rPr>
      </w:pPr>
      <w:r>
        <w:rPr>
          <w:rFonts w:hint="eastAsia"/>
          <w:b/>
          <w:bCs/>
          <w:color w:val="000000" w:themeColor="text1"/>
          <w:lang w:eastAsia="zh-CN"/>
          <w14:textFill>
            <w14:solidFill>
              <w14:schemeClr w14:val="tx1"/>
            </w14:solidFill>
          </w14:textFill>
        </w:rPr>
        <w:t>着力提升生物安全管理水平</w:t>
      </w:r>
      <w:r>
        <w:rPr>
          <w:rFonts w:hint="eastAsia"/>
          <w:color w:val="000000" w:themeColor="text1"/>
          <w:lang w:eastAsia="zh-CN"/>
          <w14:textFill>
            <w14:solidFill>
              <w14:schemeClr w14:val="tx1"/>
            </w14:solidFill>
          </w14:textFill>
        </w:rPr>
        <w:t>。建立保护地外来物种名录，明确物种的保护范围、禁止行为及法律责任。实施生态保护项目，推动野生动物资源保护、疫病防控及外来入侵物种监测体系建设。结合生态环境保护与修复项目实施，精准实施重点区域外来入侵物种普查，严格外来物种引入审批，强化引入后使用管控。</w:t>
      </w:r>
      <w:r>
        <w:rPr>
          <w:rFonts w:hint="eastAsia"/>
          <w:color w:val="000000" w:themeColor="text1"/>
          <w:lang w:val="en-US" w:eastAsia="zh-CN"/>
          <w14:textFill>
            <w14:solidFill>
              <w14:schemeClr w14:val="tx1"/>
            </w14:solidFill>
          </w14:textFill>
        </w:rPr>
        <w:t>开展外来物种专项防控工程，制定外来物种专项防控方案并积极推行，及时控制或消除危害，并对外来入侵物种发生区开展生态系统恢复。</w:t>
      </w:r>
    </w:p>
    <w:p w14:paraId="4DAC024F">
      <w:pPr>
        <w:pStyle w:val="3"/>
        <w:bidi w:val="0"/>
        <w:rPr>
          <w:rFonts w:hint="eastAsia"/>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强化监督执法和督查问责</w:t>
      </w:r>
      <w:r>
        <w:rPr>
          <w:rFonts w:hint="eastAsia"/>
          <w:color w:val="000000" w:themeColor="text1"/>
          <w:lang w:eastAsia="zh-CN"/>
          <w14:textFill>
            <w14:solidFill>
              <w14:schemeClr w14:val="tx1"/>
            </w14:solidFill>
          </w14:textFill>
        </w:rPr>
        <w:t>。将生物多样性保护纳入生态质量监测、质量评价与绩效考核体系，加强生物多样性保护多部门分工协作和数据共享，强化生物多样性保护领域多方位责任追究。完善野生动植物迁地保护与监督机制，严厉打击非法猎捕、采集、运输、交易野生动植物及其制品等违法犯罪行为，建立多部门协同办案、案件移送、查处监督制度，推动行政执法与刑事司法衔接工作有效落实，强化生物多样性保护领域多方位责任追究。</w:t>
      </w:r>
    </w:p>
    <w:p w14:paraId="427B0924">
      <w:pPr>
        <w:pStyle w:val="4"/>
        <w:numPr>
          <w:ilvl w:val="1"/>
          <w:numId w:val="2"/>
        </w:numPr>
        <w:bidi w:val="0"/>
        <w:rPr>
          <w:rFonts w:hint="eastAsia"/>
          <w:color w:val="000000" w:themeColor="text1"/>
          <w:lang w:eastAsia="zh-CN"/>
          <w14:textFill>
            <w14:solidFill>
              <w14:schemeClr w14:val="tx1"/>
            </w14:solidFill>
          </w14:textFill>
        </w:rPr>
      </w:pPr>
      <w:bookmarkStart w:id="34" w:name="_Toc26447"/>
      <w:r>
        <w:rPr>
          <w:rFonts w:hint="eastAsia"/>
          <w:color w:val="000000" w:themeColor="text1"/>
          <w:lang w:eastAsia="zh-CN"/>
          <w14:textFill>
            <w14:solidFill>
              <w14:schemeClr w14:val="tx1"/>
            </w14:solidFill>
          </w14:textFill>
        </w:rPr>
        <w:t>加强森林生态功能保护修复</w:t>
      </w:r>
      <w:bookmarkEnd w:id="34"/>
    </w:p>
    <w:p w14:paraId="362D4455">
      <w:pPr>
        <w:pStyle w:val="3"/>
        <w:bidi w:val="0"/>
        <w:rPr>
          <w:rFonts w:hint="eastAsia"/>
          <w:color w:val="000000" w:themeColor="text1"/>
          <w:lang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加强森林生态功能管理</w:t>
      </w:r>
      <w:r>
        <w:rPr>
          <w:rFonts w:hint="eastAsia"/>
          <w:color w:val="000000" w:themeColor="text1"/>
          <w:lang w:val="en-US" w:eastAsia="zh-CN"/>
          <w14:textFill>
            <w14:solidFill>
              <w14:schemeClr w14:val="tx1"/>
            </w14:solidFill>
          </w14:textFill>
        </w:rPr>
        <w:t>。</w:t>
      </w:r>
      <w:r>
        <w:rPr>
          <w:rFonts w:hint="eastAsia"/>
          <w:color w:val="000000" w:themeColor="text1"/>
          <w:lang w:eastAsia="zh-CN"/>
          <w14:textFill>
            <w14:solidFill>
              <w14:schemeClr w14:val="tx1"/>
            </w14:solidFill>
          </w14:textFill>
        </w:rPr>
        <w:t>严格划定天然林、生态公益林等基本林地集中保护区，以提高森林生态系统质量和稳定性为导向，实施分区、分类治理保护。严格贯彻落实屯昌县林长制工作制度，全面推行林长制，各镇成立林长制办公室并明确职责分工体系及具体负责人。</w:t>
      </w:r>
      <w:r>
        <w:rPr>
          <w:rFonts w:hint="eastAsia"/>
          <w:b w:val="0"/>
          <w:bCs w:val="0"/>
          <w:color w:val="000000" w:themeColor="text1"/>
          <w:lang w:eastAsia="zh-CN"/>
          <w14:textFill>
            <w14:solidFill>
              <w14:schemeClr w14:val="tx1"/>
            </w14:solidFill>
          </w14:textFill>
        </w:rPr>
        <w:t>开展智慧林业试点建设</w:t>
      </w:r>
      <w:r>
        <w:rPr>
          <w:rFonts w:hint="eastAsia"/>
          <w:color w:val="000000" w:themeColor="text1"/>
          <w:lang w:eastAsia="zh-CN"/>
          <w14:textFill>
            <w14:solidFill>
              <w14:schemeClr w14:val="tx1"/>
            </w14:solidFill>
          </w14:textFill>
        </w:rPr>
        <w:t>，在重要交通路口、重点区域建立无人机监测点、视频监控等监测系统，实现森林防火、病虫害防治全方位监测管理。完善生态公益林补偿机制，加大森林生态效益补偿力度。强化疏幼林地封育管护，依据育林技术规程，结合封育区实际和生态恢复需要，加快“十五五”林草生态领域重点基础设施项目落地实施，落实管护措施并辅以人工促进，促进林木生长。同步对稀疏残林、低效林分补植乡土树种，坚持封育与治理并重，推动林分快速郁闭成林，持续提升林草覆盖度和森林蓄积量。</w:t>
      </w:r>
    </w:p>
    <w:p w14:paraId="25C89D14">
      <w:pPr>
        <w:pStyle w:val="3"/>
        <w:bidi w:val="0"/>
        <w:rPr>
          <w:rFonts w:hint="eastAsia"/>
          <w:color w:val="000000" w:themeColor="text1"/>
          <w:lang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发展绿色林业经济</w:t>
      </w:r>
      <w:r>
        <w:rPr>
          <w:rFonts w:hint="eastAsia"/>
          <w:color w:val="000000" w:themeColor="text1"/>
          <w:lang w:val="en-US" w:eastAsia="zh-CN"/>
          <w14:textFill>
            <w14:solidFill>
              <w14:schemeClr w14:val="tx1"/>
            </w14:solidFill>
          </w14:textFill>
        </w:rPr>
        <w:t>。</w:t>
      </w:r>
      <w:r>
        <w:rPr>
          <w:rFonts w:hint="eastAsia"/>
          <w:color w:val="000000" w:themeColor="text1"/>
          <w:lang w:eastAsia="zh-CN"/>
          <w14:textFill>
            <w14:solidFill>
              <w14:schemeClr w14:val="tx1"/>
            </w14:solidFill>
          </w14:textFill>
        </w:rPr>
        <w:t>优化经济林群落结构，提升林地生态质量，增强森林水源涵养与水土保持功能，重点推进中建、南吕、晨星、黄岭、广青等农垦片区林地管护与生态修复。合理布局经果林，优先选址规划林地范围内的转型园地，土质肥沃、水源充足、连片规整、交通便捷的未利用地，兼顾房前屋后、田坎地埂等零星地块，连片打造规模化种植基地，兼顾经济效益与水土保持示范效应。在立地条件优劣不等的荒山荒坡、荒草地营建水土保持林，并沿河道沟谷、水库岸线营造带状防护林。盘活林间空地发展林下种养，配套种植牧草、中药材，培育食用菌，养殖特色经济畜禽，多元发展林下经济。</w:t>
      </w:r>
    </w:p>
    <w:p w14:paraId="36430DA3">
      <w:pPr>
        <w:pStyle w:val="4"/>
        <w:numPr>
          <w:ilvl w:val="1"/>
          <w:numId w:val="2"/>
        </w:numPr>
        <w:bidi w:val="0"/>
        <w:rPr>
          <w:rFonts w:hint="eastAsia"/>
          <w:color w:val="000000" w:themeColor="text1"/>
          <w:lang w:eastAsia="zh-CN"/>
          <w14:textFill>
            <w14:solidFill>
              <w14:schemeClr w14:val="tx1"/>
            </w14:solidFill>
          </w14:textFill>
        </w:rPr>
      </w:pPr>
      <w:bookmarkStart w:id="35" w:name="_Toc27027"/>
      <w:r>
        <w:rPr>
          <w:rFonts w:hint="eastAsia"/>
          <w:color w:val="000000" w:themeColor="text1"/>
          <w:lang w:eastAsia="zh-CN"/>
          <w14:textFill>
            <w14:solidFill>
              <w14:schemeClr w14:val="tx1"/>
            </w14:solidFill>
          </w14:textFill>
        </w:rPr>
        <w:t>强化湿地湖库保护与修复</w:t>
      </w:r>
      <w:bookmarkEnd w:id="35"/>
    </w:p>
    <w:p w14:paraId="15DE7467">
      <w:pPr>
        <w:pStyle w:val="3"/>
        <w:bidi w:val="0"/>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强化湿地保护管理的组织、协调、指导、监督工作，提高湿地保护管理能力，建立湿地生态效益补偿机制。完善屯昌县生态补偿机制，构建南渡江上游水源地横向补偿协议。联合相关检察机关建立湿地保护公益诉讼机制，重点打击非法捕捞、外来物种入侵等行为，</w:t>
      </w:r>
      <w:r>
        <w:rPr>
          <w:rFonts w:hint="eastAsia"/>
          <w:color w:val="000000" w:themeColor="text1"/>
          <w:lang w:val="en-US" w:eastAsia="zh-CN"/>
          <w14:textFill>
            <w14:solidFill>
              <w14:schemeClr w14:val="tx1"/>
            </w14:solidFill>
          </w14:textFill>
        </w:rPr>
        <w:t>提升</w:t>
      </w:r>
      <w:r>
        <w:rPr>
          <w:rFonts w:hint="eastAsia"/>
          <w:color w:val="000000" w:themeColor="text1"/>
          <w:lang w:eastAsia="zh-CN"/>
          <w14:textFill>
            <w14:solidFill>
              <w14:schemeClr w14:val="tx1"/>
            </w14:solidFill>
          </w14:textFill>
        </w:rPr>
        <w:t>新吴溪、南坤河、西昌河、青梯河、南淀河、文赞水库等重点河流湿地监测</w:t>
      </w:r>
      <w:r>
        <w:rPr>
          <w:rFonts w:hint="eastAsia"/>
          <w:color w:val="000000" w:themeColor="text1"/>
          <w:lang w:val="en-US" w:eastAsia="zh-CN"/>
          <w14:textFill>
            <w14:solidFill>
              <w14:schemeClr w14:val="tx1"/>
            </w14:solidFill>
          </w14:textFill>
        </w:rPr>
        <w:t>能力</w:t>
      </w:r>
      <w:r>
        <w:rPr>
          <w:rFonts w:hint="eastAsia"/>
          <w:color w:val="000000" w:themeColor="text1"/>
          <w:lang w:eastAsia="zh-CN"/>
          <w14:textFill>
            <w14:solidFill>
              <w14:schemeClr w14:val="tx1"/>
            </w14:solidFill>
          </w14:textFill>
        </w:rPr>
        <w:t>，完善湿地基础数据库，掌握全县河流湿地、湖泊湿地、库塘湿地等各类型湿地的生态环境、生物多样性、保护及受威胁状况等，评估湿地生态系统功能变化情况。</w:t>
      </w:r>
      <w:r>
        <w:rPr>
          <w:rFonts w:hint="eastAsia"/>
          <w:color w:val="000000" w:themeColor="text1"/>
          <w:lang w:val="en-US" w:eastAsia="zh-CN"/>
          <w14:textFill>
            <w14:solidFill>
              <w14:schemeClr w14:val="tx1"/>
            </w14:solidFill>
          </w14:textFill>
        </w:rPr>
        <w:t>针对新吴溪屯昌县区域的水土流失状况，采取坡园地整治、坡面截水排水工程、造林植草配套疏林补植补种和拦护设施等水土保持措施。</w:t>
      </w:r>
      <w:r>
        <w:rPr>
          <w:rFonts w:hint="eastAsia"/>
          <w:color w:val="000000" w:themeColor="text1"/>
          <w:lang w:eastAsia="zh-CN"/>
          <w14:textFill>
            <w14:solidFill>
              <w14:schemeClr w14:val="tx1"/>
            </w14:solidFill>
          </w14:textFill>
        </w:rPr>
        <w:t>进一步提高木色湖区域森林覆盖率和植被种类，可适当结合林下种植南药，丰富区内物种。保护木色湖自然水体溪流，保持水体自然状态，加强水体岸边植被覆盖率。开展木色湖区内各类资源普查，制定相应的资源保护清单和专项保护规划。</w:t>
      </w:r>
    </w:p>
    <w:p w14:paraId="5F93C2B4">
      <w:pPr>
        <w:pStyle w:val="4"/>
        <w:numPr>
          <w:ilvl w:val="1"/>
          <w:numId w:val="2"/>
        </w:numPr>
        <w:bidi w:val="0"/>
        <w:rPr>
          <w:rFonts w:hint="eastAsia"/>
          <w:color w:val="000000" w:themeColor="text1"/>
          <w:lang w:eastAsia="zh-CN"/>
          <w14:textFill>
            <w14:solidFill>
              <w14:schemeClr w14:val="tx1"/>
            </w14:solidFill>
          </w14:textFill>
        </w:rPr>
      </w:pPr>
      <w:bookmarkStart w:id="36" w:name="_Toc26301"/>
      <w:r>
        <w:rPr>
          <w:rFonts w:hint="eastAsia"/>
          <w:color w:val="000000" w:themeColor="text1"/>
          <w:lang w:eastAsia="zh-CN"/>
          <w14:textFill>
            <w14:solidFill>
              <w14:schemeClr w14:val="tx1"/>
            </w14:solidFill>
          </w14:textFill>
        </w:rPr>
        <w:t>加强矿山地质环境保护和治理</w:t>
      </w:r>
      <w:bookmarkEnd w:id="36"/>
    </w:p>
    <w:p w14:paraId="049EF997">
      <w:pPr>
        <w:pStyle w:val="3"/>
        <w:bidi w:val="0"/>
        <w:rPr>
          <w:rFonts w:hint="eastAsia"/>
          <w:color w:val="000000" w:themeColor="text1"/>
          <w:lang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督促矿山绿色开采</w:t>
      </w:r>
      <w:r>
        <w:rPr>
          <w:rFonts w:hint="eastAsia"/>
          <w:color w:val="000000" w:themeColor="text1"/>
          <w:lang w:eastAsia="zh-CN"/>
          <w14:textFill>
            <w14:solidFill>
              <w14:schemeClr w14:val="tx1"/>
            </w14:solidFill>
          </w14:textFill>
        </w:rPr>
        <w:t>。严格执行环境影响审批制度，实施联合动态监督检查管理制度，强化矿山污染防控及环境整治修复，落实矿山企业地质环境恢复治理的主体责任，督导企业“边开采、边治理”，按要求开展生态植被恢复治理工作，严厉打击擅自破坏生态环境违法行为。对坡心镇几处建筑用花岗岩矿矿山及中建农场十队砖瓦用页岩矿矿山进行开采和治理，进行地质环境恢复治理工作。落实绿色矿山标准和评价制度。推广先进的绿色开采技术，如充填开采、保水开采等。对采空区进行回填、平整，恢复土地的地形地貌。对废渣堆进行覆土、绿化，种植适合当地生长的植被，提高植被覆盖率，减少水土流失。对矿山周边受污染的土壤和水体进行治理，恢复生态功能。</w:t>
      </w:r>
    </w:p>
    <w:p w14:paraId="77D77BE7">
      <w:pPr>
        <w:pStyle w:val="3"/>
        <w:bidi w:val="0"/>
        <w:rPr>
          <w:rFonts w:hint="eastAsia"/>
          <w:color w:val="000000" w:themeColor="text1"/>
          <w:lang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全力推进关闭矿山生态修复</w:t>
      </w:r>
      <w:r>
        <w:rPr>
          <w:rFonts w:hint="eastAsia"/>
          <w:color w:val="000000" w:themeColor="text1"/>
          <w:lang w:eastAsia="zh-CN"/>
          <w14:textFill>
            <w14:solidFill>
              <w14:schemeClr w14:val="tx1"/>
            </w14:solidFill>
          </w14:textFill>
        </w:rPr>
        <w:t>。关闭矿山及时完成治理修复，形成“不欠新账，还清旧账”新局面。坚持“谁开发、谁保护，谁破坏、谁治理”，基本建成制度完善、责任明确、措施得当、管理到位的矿山地质环境保护与综合治理工作体系。建立全县矿山地质环境动态监测体系和矿山地质环境管理信息系统。压实地方政府属地责任、企业主体责任，全面完成关闭矿山治理修复。对拖延治理修复及治理修复不到位的，按照海南省《协作推进关闭矿山生态修复实施办法（试行）》要求，建立代为修复制、垫付制和追缴制，推进公益诉讼追究生态破坏赔偿责任，通过政策激励，吸引各方投入，推进市场化运作、科学化治理的模式，强化落实矿山生态治理修复。</w:t>
      </w:r>
    </w:p>
    <w:p w14:paraId="08538B2D">
      <w:pPr>
        <w:pStyle w:val="3"/>
        <w:bidi w:val="0"/>
        <w:rPr>
          <w:rFonts w:hint="eastAsia"/>
          <w:color w:val="000000" w:themeColor="text1"/>
          <w:lang w:val="en-US" w:eastAsia="zh-CN"/>
          <w14:textFill>
            <w14:solidFill>
              <w14:schemeClr w14:val="tx1"/>
            </w14:solidFill>
          </w14:textFill>
        </w:rPr>
      </w:pPr>
    </w:p>
    <w:p w14:paraId="2479507F">
      <w:pPr>
        <w:pStyle w:val="3"/>
        <w:bidi w:val="0"/>
        <w:rPr>
          <w:rFonts w:hint="eastAsia"/>
          <w:color w:val="000000" w:themeColor="text1"/>
          <w:lang w:val="en-US" w:eastAsia="zh-CN"/>
          <w14:textFill>
            <w14:solidFill>
              <w14:schemeClr w14:val="tx1"/>
            </w14:solidFill>
          </w14:textFill>
        </w:rPr>
      </w:pPr>
    </w:p>
    <w:p w14:paraId="1C2230A5">
      <w:pPr>
        <w:pStyle w:val="3"/>
        <w:bidi w:val="0"/>
        <w:rPr>
          <w:rFonts w:hint="eastAsia"/>
          <w:color w:val="000000" w:themeColor="text1"/>
          <w:lang w:val="en-US" w:eastAsia="zh-CN"/>
          <w14:textFill>
            <w14:solidFill>
              <w14:schemeClr w14:val="tx1"/>
            </w14:solidFill>
          </w14:textFill>
        </w:rPr>
      </w:pPr>
    </w:p>
    <w:p w14:paraId="75CB8359">
      <w:pPr>
        <w:pStyle w:val="3"/>
        <w:bidi w:val="0"/>
        <w:rPr>
          <w:rFonts w:hint="eastAsia"/>
          <w:color w:val="000000" w:themeColor="text1"/>
          <w:lang w:val="en-US" w:eastAsia="zh-CN"/>
          <w14:textFill>
            <w14:solidFill>
              <w14:schemeClr w14:val="tx1"/>
            </w14:solidFill>
          </w14:textFill>
        </w:rPr>
      </w:pPr>
    </w:p>
    <w:p w14:paraId="5D2F24EE">
      <w:pPr>
        <w:pStyle w:val="3"/>
        <w:bidi w:val="0"/>
        <w:rPr>
          <w:rFonts w:hint="eastAsia"/>
          <w:color w:val="000000" w:themeColor="text1"/>
          <w:lang w:val="en-US" w:eastAsia="zh-CN"/>
          <w14:textFill>
            <w14:solidFill>
              <w14:schemeClr w14:val="tx1"/>
            </w14:solidFill>
          </w14:textFill>
        </w:rPr>
      </w:pPr>
    </w:p>
    <w:p w14:paraId="086E9693">
      <w:pPr>
        <w:pStyle w:val="3"/>
        <w:bidi w:val="0"/>
        <w:rPr>
          <w:rFonts w:hint="eastAsia"/>
          <w:color w:val="000000" w:themeColor="text1"/>
          <w:lang w:val="en-US" w:eastAsia="zh-CN"/>
          <w14:textFill>
            <w14:solidFill>
              <w14:schemeClr w14:val="tx1"/>
            </w14:solidFill>
          </w14:textFill>
        </w:rPr>
      </w:pPr>
    </w:p>
    <w:p w14:paraId="675DD84F">
      <w:pPr>
        <w:pStyle w:val="3"/>
        <w:bidi w:val="0"/>
        <w:rPr>
          <w:rFonts w:hint="eastAsia"/>
          <w:color w:val="000000" w:themeColor="text1"/>
          <w:lang w:val="en-US" w:eastAsia="zh-CN"/>
          <w14:textFill>
            <w14:solidFill>
              <w14:schemeClr w14:val="tx1"/>
            </w14:solidFill>
          </w14:textFill>
        </w:rPr>
      </w:pPr>
    </w:p>
    <w:p w14:paraId="115E0D36">
      <w:pPr>
        <w:pStyle w:val="3"/>
        <w:bidi w:val="0"/>
        <w:rPr>
          <w:rFonts w:hint="eastAsia"/>
          <w:color w:val="000000" w:themeColor="text1"/>
          <w:lang w:val="en-US" w:eastAsia="zh-CN"/>
          <w14:textFill>
            <w14:solidFill>
              <w14:schemeClr w14:val="tx1"/>
            </w14:solidFill>
          </w14:textFill>
        </w:rPr>
      </w:pPr>
    </w:p>
    <w:p w14:paraId="038CEC84">
      <w:pPr>
        <w:pStyle w:val="3"/>
        <w:bidi w:val="0"/>
        <w:rPr>
          <w:rFonts w:hint="eastAsia"/>
          <w:color w:val="000000" w:themeColor="text1"/>
          <w:lang w:val="en-US" w:eastAsia="zh-CN"/>
          <w14:textFill>
            <w14:solidFill>
              <w14:schemeClr w14:val="tx1"/>
            </w14:solidFill>
          </w14:textFill>
        </w:rPr>
      </w:pPr>
    </w:p>
    <w:p w14:paraId="29D84CB7">
      <w:pPr>
        <w:pStyle w:val="2"/>
        <w:numPr>
          <w:ilvl w:val="0"/>
          <w:numId w:val="2"/>
        </w:numPr>
        <w:bidi w:val="0"/>
        <w:rPr>
          <w:rFonts w:hint="eastAsia"/>
          <w:color w:val="000000" w:themeColor="text1"/>
          <w14:textFill>
            <w14:solidFill>
              <w14:schemeClr w14:val="tx1"/>
            </w14:solidFill>
          </w14:textFill>
        </w:rPr>
      </w:pPr>
      <w:bookmarkStart w:id="37" w:name="_Toc463"/>
      <w:r>
        <w:rPr>
          <w:rFonts w:hint="eastAsia"/>
          <w:color w:val="000000" w:themeColor="text1"/>
          <w14:textFill>
            <w14:solidFill>
              <w14:schemeClr w14:val="tx1"/>
            </w14:solidFill>
          </w14:textFill>
        </w:rPr>
        <w:t>强化环境治理体系建设</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提升生态环境治理能力</w:t>
      </w:r>
      <w:bookmarkEnd w:id="37"/>
    </w:p>
    <w:p w14:paraId="1E4AA4CB">
      <w:pPr>
        <w:pStyle w:val="4"/>
        <w:numPr>
          <w:ilvl w:val="1"/>
          <w:numId w:val="2"/>
        </w:numPr>
        <w:bidi w:val="0"/>
        <w:rPr>
          <w:rFonts w:hint="default"/>
          <w:color w:val="000000" w:themeColor="text1"/>
          <w:lang w:val="en-US" w:eastAsia="zh-CN"/>
          <w14:textFill>
            <w14:solidFill>
              <w14:schemeClr w14:val="tx1"/>
            </w14:solidFill>
          </w14:textFill>
        </w:rPr>
      </w:pPr>
      <w:bookmarkStart w:id="38" w:name="_Toc23959"/>
      <w:r>
        <w:rPr>
          <w:rFonts w:hint="eastAsia"/>
          <w:color w:val="000000" w:themeColor="text1"/>
          <w:lang w:val="en-US" w:eastAsia="zh-CN"/>
          <w14:textFill>
            <w14:solidFill>
              <w14:schemeClr w14:val="tx1"/>
            </w14:solidFill>
          </w14:textFill>
        </w:rPr>
        <w:t>健全法规标准政策体系</w:t>
      </w:r>
      <w:bookmarkEnd w:id="38"/>
    </w:p>
    <w:p w14:paraId="6525543E">
      <w:pPr>
        <w:pStyle w:val="3"/>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积极对接</w:t>
      </w:r>
      <w:r>
        <w:rPr>
          <w:rFonts w:hint="default"/>
          <w:color w:val="000000" w:themeColor="text1"/>
          <w:lang w:val="en-US" w:eastAsia="zh-CN"/>
          <w14:textFill>
            <w14:solidFill>
              <w14:schemeClr w14:val="tx1"/>
            </w14:solidFill>
          </w14:textFill>
        </w:rPr>
        <w:t>海南自贸港法规、经济特区法规和一般地方性法规，</w:t>
      </w:r>
      <w:r>
        <w:rPr>
          <w:rFonts w:hint="eastAsia"/>
          <w:color w:val="000000" w:themeColor="text1"/>
          <w:lang w:val="en-US" w:eastAsia="zh-CN"/>
          <w14:textFill>
            <w14:solidFill>
              <w14:schemeClr w14:val="tx1"/>
            </w14:solidFill>
          </w14:textFill>
        </w:rPr>
        <w:t>立足屯昌实际</w:t>
      </w: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持续完善</w:t>
      </w:r>
      <w:r>
        <w:rPr>
          <w:rFonts w:hint="default"/>
          <w:color w:val="000000" w:themeColor="text1"/>
          <w:lang w:val="en-US" w:eastAsia="zh-CN"/>
          <w14:textFill>
            <w14:solidFill>
              <w14:schemeClr w14:val="tx1"/>
            </w14:solidFill>
          </w14:textFill>
        </w:rPr>
        <w:t>生物多样性保护、新污染物管控、应对气候变化等领域</w:t>
      </w:r>
      <w:r>
        <w:rPr>
          <w:rFonts w:hint="eastAsia"/>
          <w:color w:val="000000" w:themeColor="text1"/>
          <w:lang w:val="en-US" w:eastAsia="zh-CN"/>
          <w14:textFill>
            <w14:solidFill>
              <w14:schemeClr w14:val="tx1"/>
            </w14:solidFill>
          </w14:textFill>
        </w:rPr>
        <w:t>的法规、标准、政策</w:t>
      </w:r>
      <w:r>
        <w:rPr>
          <w:rFonts w:hint="default"/>
          <w:color w:val="000000" w:themeColor="text1"/>
          <w:lang w:val="en-US" w:eastAsia="zh-CN"/>
          <w14:textFill>
            <w14:solidFill>
              <w14:schemeClr w14:val="tx1"/>
            </w14:solidFill>
          </w14:textFill>
        </w:rPr>
        <w:t>，健全</w:t>
      </w:r>
      <w:r>
        <w:rPr>
          <w:rFonts w:hint="eastAsia"/>
          <w:color w:val="000000" w:themeColor="text1"/>
          <w:lang w:val="en-US" w:eastAsia="zh-CN"/>
          <w14:textFill>
            <w14:solidFill>
              <w14:schemeClr w14:val="tx1"/>
            </w14:solidFill>
          </w14:textFill>
        </w:rPr>
        <w:t>屯昌县生态文明建设示范区制度</w:t>
      </w:r>
      <w:r>
        <w:rPr>
          <w:rFonts w:hint="default"/>
          <w:color w:val="000000" w:themeColor="text1"/>
          <w:lang w:val="en-US" w:eastAsia="zh-CN"/>
          <w14:textFill>
            <w14:solidFill>
              <w14:schemeClr w14:val="tx1"/>
            </w14:solidFill>
          </w14:textFill>
        </w:rPr>
        <w:t>体系。</w:t>
      </w:r>
      <w:r>
        <w:rPr>
          <w:rFonts w:hint="eastAsia"/>
          <w:color w:val="000000" w:themeColor="text1"/>
          <w:lang w:val="en-US" w:eastAsia="zh-CN"/>
          <w14:textFill>
            <w14:solidFill>
              <w14:schemeClr w14:val="tx1"/>
            </w14:solidFill>
          </w14:textFill>
        </w:rPr>
        <w:t>积极对接生态环境国际高标准经贸规则。推进外贸企业开展绿色设计和生产、从源头防治污染，优化原料投入，依法依规淘汰落后生产工艺技术。积极践行绿色生产方式，大力开展技术创新，加大清洁生产推行力度，加强全过程管理，减少污染物排放。依托大同产业园低碳（智能）制造产业集群，提供资源节约、环境友好的产品和服务。鼓励环境产品和服务进出口，对标CPTPP等国际高标准经贸规则，支持生态产品出口，推动产品碳足迹核算规则与国际接轨。建立“屯昌制造”低碳产品数据库，纳入海南省产品碳足迹管理体系和碳足迹产品目录库。</w:t>
      </w:r>
    </w:p>
    <w:p w14:paraId="66F23FE7">
      <w:pPr>
        <w:pStyle w:val="4"/>
        <w:numPr>
          <w:ilvl w:val="1"/>
          <w:numId w:val="2"/>
        </w:numPr>
        <w:bidi w:val="0"/>
        <w:rPr>
          <w:rFonts w:hint="eastAsia"/>
          <w:color w:val="000000" w:themeColor="text1"/>
          <w14:textFill>
            <w14:solidFill>
              <w14:schemeClr w14:val="tx1"/>
            </w14:solidFill>
          </w14:textFill>
        </w:rPr>
      </w:pPr>
      <w:bookmarkStart w:id="39" w:name="_Toc21819"/>
      <w:r>
        <w:rPr>
          <w:rFonts w:hint="eastAsia"/>
          <w:color w:val="000000" w:themeColor="text1"/>
          <w14:textFill>
            <w14:solidFill>
              <w14:schemeClr w14:val="tx1"/>
            </w14:solidFill>
          </w14:textFill>
        </w:rPr>
        <w:t>健全环境责任体系</w:t>
      </w:r>
      <w:bookmarkEnd w:id="39"/>
    </w:p>
    <w:p w14:paraId="68D1B663">
      <w:pPr>
        <w:pStyle w:val="3"/>
        <w:bidi w:val="0"/>
        <w:rPr>
          <w:rFonts w:hint="eastAsia" w:eastAsia="宋体"/>
          <w:color w:val="000000" w:themeColor="text1"/>
          <w:lang w:val="en-US" w:eastAsia="zh-CN"/>
          <w14:textFill>
            <w14:solidFill>
              <w14:schemeClr w14:val="tx1"/>
            </w14:solidFill>
          </w14:textFill>
        </w:rPr>
      </w:pPr>
      <w:r>
        <w:rPr>
          <w:rFonts w:hint="eastAsia"/>
          <w:b/>
          <w:bCs/>
          <w:color w:val="000000" w:themeColor="text1"/>
          <w14:textFill>
            <w14:solidFill>
              <w14:schemeClr w14:val="tx1"/>
            </w14:solidFill>
          </w14:textFill>
        </w:rPr>
        <w:t>健全环境治理领导责任体系</w:t>
      </w:r>
      <w:r>
        <w:rPr>
          <w:rFonts w:hint="eastAsia"/>
          <w:color w:val="000000" w:themeColor="text1"/>
          <w14:textFill>
            <w14:solidFill>
              <w14:schemeClr w14:val="tx1"/>
            </w14:solidFill>
          </w14:textFill>
        </w:rPr>
        <w:t>。把生态环境保护放在突出的战略位置，建立健全环境管理体制，</w:t>
      </w:r>
      <w:r>
        <w:rPr>
          <w:rFonts w:hint="eastAsia"/>
          <w:color w:val="000000" w:themeColor="text1"/>
          <w:lang w:val="en-US" w:eastAsia="zh-CN"/>
          <w14:textFill>
            <w14:solidFill>
              <w14:schemeClr w14:val="tx1"/>
            </w14:solidFill>
          </w14:textFill>
        </w:rPr>
        <w:t>按照《地方党政领导干部生态环境保护责任制规定（试行）》相关规定，实行地方党政领导干部生态环境保护责任制，坚持党政同责、齐抓共管、失职追责，</w:t>
      </w:r>
      <w:r>
        <w:rPr>
          <w:rFonts w:hint="eastAsia"/>
          <w:color w:val="000000" w:themeColor="text1"/>
          <w14:textFill>
            <w14:solidFill>
              <w14:schemeClr w14:val="tx1"/>
            </w14:solidFill>
          </w14:textFill>
        </w:rPr>
        <w:t>落实好县委</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县政府及各相关部门的生态环境保护责任。建立健全各相关部门生态环境监管协调联动机制，加强协调，密切配合，形成生态环境监管的强大合力。建立健全生态环境保护工作目标考核机制和责任追究机制，将各相关部门落实生态环境保护管理职责的情况，作为对各级领导班子和领导干部考核、评议的重要内容</w:t>
      </w:r>
      <w:r>
        <w:rPr>
          <w:rFonts w:hint="eastAsia"/>
          <w:color w:val="000000" w:themeColor="text1"/>
          <w:lang w:eastAsia="zh-CN"/>
          <w14:textFill>
            <w14:solidFill>
              <w14:schemeClr w14:val="tx1"/>
            </w14:solidFill>
          </w14:textFill>
        </w:rPr>
        <w:t>。</w:t>
      </w:r>
    </w:p>
    <w:p w14:paraId="4360E30E">
      <w:pPr>
        <w:pStyle w:val="3"/>
        <w:bidi w:val="0"/>
        <w:rPr>
          <w:rFonts w:hint="eastAsia"/>
          <w:color w:val="000000" w:themeColor="text1"/>
          <w14:textFill>
            <w14:solidFill>
              <w14:schemeClr w14:val="tx1"/>
            </w14:solidFill>
          </w14:textFill>
        </w:rPr>
      </w:pPr>
      <w:r>
        <w:rPr>
          <w:rFonts w:hint="eastAsia"/>
          <w:b/>
          <w:bCs/>
          <w:color w:val="000000" w:themeColor="text1"/>
          <w14:textFill>
            <w14:solidFill>
              <w14:schemeClr w14:val="tx1"/>
            </w14:solidFill>
          </w14:textFill>
        </w:rPr>
        <w:t>健全环境治理企业责任</w:t>
      </w:r>
      <w:r>
        <w:rPr>
          <w:rFonts w:hint="eastAsia"/>
          <w:color w:val="000000" w:themeColor="text1"/>
          <w14:textFill>
            <w14:solidFill>
              <w14:schemeClr w14:val="tx1"/>
            </w14:solidFill>
          </w14:textFill>
        </w:rPr>
        <w:t>。依法实行排污许可管理制度，加强对企业排污行为的监督检查。加强企业环境保护责任制度建设，督促企业严格执行环境保护法律法规，接受社会监督。推进企业生产服务绿色化，从源头防治污染，依法依规淘汰落后生产工艺技术，积极践行绿色生产方式，加强全过程管理，减少污染物排放。落实生产者责任延伸制度，推动企业将生态文明理念与企业发展战略紧密融合，积极采用和发展绿色生产技术，改进设备工艺，降低能源消耗，提高资源利用效率、减少污染物排放，实现企业绿色转型，争创绿色环保型企业示范点。</w:t>
      </w:r>
    </w:p>
    <w:p w14:paraId="154E07DF">
      <w:pPr>
        <w:pStyle w:val="3"/>
        <w:bidi w:val="0"/>
        <w:rPr>
          <w:rFonts w:hint="eastAsia"/>
          <w:color w:val="000000" w:themeColor="text1"/>
          <w14:textFill>
            <w14:solidFill>
              <w14:schemeClr w14:val="tx1"/>
            </w14:solidFill>
          </w14:textFill>
        </w:rPr>
      </w:pPr>
      <w:r>
        <w:rPr>
          <w:rFonts w:hint="eastAsia"/>
          <w:b/>
          <w:bCs/>
          <w:color w:val="000000" w:themeColor="text1"/>
          <w14:textFill>
            <w14:solidFill>
              <w14:schemeClr w14:val="tx1"/>
            </w14:solidFill>
          </w14:textFill>
        </w:rPr>
        <w:t>推动完善各类负责制</w:t>
      </w:r>
      <w:r>
        <w:rPr>
          <w:rFonts w:hint="eastAsia"/>
          <w:color w:val="000000" w:themeColor="text1"/>
          <w14:textFill>
            <w14:solidFill>
              <w14:schemeClr w14:val="tx1"/>
            </w14:solidFill>
          </w14:textFill>
        </w:rPr>
        <w:t>。持续实施河长制、湖长制、林长制。编制和实施河湖管理保护方案，构建责任明确、协调有序、监管严格、保护有力的河湖林管理保护机制。加强各级河长湖长巡查工作，做好水资源保护、水域岸线管理、水污染防治、水环境治理、水生态修复、执法监管等方面的职责。</w:t>
      </w:r>
    </w:p>
    <w:p w14:paraId="4255F57B">
      <w:pPr>
        <w:pStyle w:val="3"/>
        <w:bidi w:val="0"/>
        <w:rPr>
          <w:rFonts w:hint="eastAsia"/>
          <w:color w:val="000000" w:themeColor="text1"/>
          <w14:textFill>
            <w14:solidFill>
              <w14:schemeClr w14:val="tx1"/>
            </w14:solidFill>
          </w14:textFill>
        </w:rPr>
      </w:pPr>
      <w:r>
        <w:rPr>
          <w:rFonts w:hint="eastAsia"/>
          <w:b/>
          <w:bCs/>
          <w:color w:val="000000" w:themeColor="text1"/>
          <w14:textFill>
            <w14:solidFill>
              <w14:schemeClr w14:val="tx1"/>
            </w14:solidFill>
          </w14:textFill>
        </w:rPr>
        <w:t>深化生态环境保护督察</w:t>
      </w:r>
      <w:r>
        <w:rPr>
          <w:rFonts w:hint="eastAsia"/>
          <w:color w:val="000000" w:themeColor="text1"/>
          <w14:textFill>
            <w14:solidFill>
              <w14:schemeClr w14:val="tx1"/>
            </w14:solidFill>
          </w14:textFill>
        </w:rPr>
        <w:t>。保持战略定力，坚定不移贯彻新发展理念，以解决突出生态环境问题、改善生态环境质量、推动经济高质量发展为重点，举一反三、立行立改，坚决落实好生态环境保护督察整改。加强审计监督与生态环境保护督察工作贯通协调，用好领导干部自然资源资产离任审计结果，形成监督合力。将地方党政领导干部落实生态环境保护责任制情况作为生态环境保护考核评价的重要方面，加大考核结果应用和问题整改力度。抓好生态环境保护督察自查自纠和“回头看”，对排查出的隐患和问题列出清单、明确责任、限期整改，压实各单位生态环境保护的政治责任，强化整改落实，确保各项环境保护工作取得实效。</w:t>
      </w:r>
    </w:p>
    <w:p w14:paraId="6F1F1411">
      <w:pPr>
        <w:pStyle w:val="4"/>
        <w:numPr>
          <w:ilvl w:val="1"/>
          <w:numId w:val="2"/>
        </w:numPr>
        <w:bidi w:val="0"/>
        <w:rPr>
          <w:rFonts w:hint="eastAsia"/>
          <w:color w:val="000000" w:themeColor="text1"/>
          <w14:textFill>
            <w14:solidFill>
              <w14:schemeClr w14:val="tx1"/>
            </w14:solidFill>
          </w14:textFill>
        </w:rPr>
      </w:pPr>
      <w:bookmarkStart w:id="40" w:name="_Toc22408"/>
      <w:r>
        <w:rPr>
          <w:rFonts w:hint="eastAsia"/>
          <w:color w:val="000000" w:themeColor="text1"/>
          <w14:textFill>
            <w14:solidFill>
              <w14:schemeClr w14:val="tx1"/>
            </w14:solidFill>
          </w14:textFill>
        </w:rPr>
        <w:t>构建</w:t>
      </w:r>
      <w:r>
        <w:rPr>
          <w:rFonts w:hint="eastAsia"/>
          <w:color w:val="000000" w:themeColor="text1"/>
          <w:lang w:val="en-US" w:eastAsia="zh-CN"/>
          <w14:textFill>
            <w14:solidFill>
              <w14:schemeClr w14:val="tx1"/>
            </w14:solidFill>
          </w14:textFill>
        </w:rPr>
        <w:t>现代环境</w:t>
      </w:r>
      <w:r>
        <w:rPr>
          <w:rFonts w:hint="eastAsia"/>
          <w:color w:val="000000" w:themeColor="text1"/>
          <w14:textFill>
            <w14:solidFill>
              <w14:schemeClr w14:val="tx1"/>
            </w14:solidFill>
          </w14:textFill>
        </w:rPr>
        <w:t>治理体系</w:t>
      </w:r>
      <w:bookmarkEnd w:id="40"/>
    </w:p>
    <w:p w14:paraId="0E453ECD">
      <w:pPr>
        <w:pStyle w:val="3"/>
        <w:bidi w:val="0"/>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提升生态环境监测能力</w:t>
      </w:r>
      <w:r>
        <w:rPr>
          <w:rFonts w:hint="eastAsia"/>
          <w:color w:val="000000" w:themeColor="text1"/>
          <w:lang w:val="en-US" w:eastAsia="zh-CN"/>
          <w14:textFill>
            <w14:solidFill>
              <w14:schemeClr w14:val="tx1"/>
            </w14:solidFill>
          </w14:textFill>
        </w:rPr>
        <w:t>。开展县监测站项目扩项工作，配齐满足污染源、应急、执法等监测领域要求的人才队伍，补充更新基础设备。加大对监测能力建设的政策和财政支持投入力度，做好国省控监测站点基础运维保障，为监测网络优化、设备更新和技术研发等提供资金保障。提升监测数据质量管控，加大排查和整治力度，强化自动监测站点人为干扰行为的检查预防工作，确保监测数据的真实性、准确性和可靠性。持续开展监测能力各个领域的技术和法律法规培训，努力提高专业技术人员能力水平，打造一支高素质、专业化的监测人才队伍。开展新吴溪（屯昌段）生态监测能力提升工程，配备多参数在线分析仪。补充便携式检测设备及水生生物采样装备。</w:t>
      </w:r>
    </w:p>
    <w:p w14:paraId="1107CD6D">
      <w:pPr>
        <w:pStyle w:val="3"/>
        <w:bidi w:val="0"/>
        <w:rPr>
          <w:rFonts w:hint="eastAsia"/>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提升生态环境保护综合行政执法能力</w:t>
      </w:r>
      <w:r>
        <w:rPr>
          <w:rFonts w:hint="eastAsia"/>
          <w:color w:val="000000" w:themeColor="text1"/>
          <w:lang w:eastAsia="zh-CN"/>
          <w14:textFill>
            <w14:solidFill>
              <w14:schemeClr w14:val="tx1"/>
            </w14:solidFill>
          </w14:textFill>
        </w:rPr>
        <w:t>。落实</w:t>
      </w:r>
      <w:r>
        <w:rPr>
          <w:rFonts w:hint="eastAsia"/>
          <w:color w:val="000000" w:themeColor="text1"/>
          <w:highlight w:val="none"/>
          <w:lang w:eastAsia="zh-CN"/>
          <w14:textFill>
            <w14:solidFill>
              <w14:schemeClr w14:val="tx1"/>
            </w14:solidFill>
          </w14:textFill>
        </w:rPr>
        <w:t>《生态环境保护综合行政执法装备标准化建设指导标准（2024年版）》（环办执法〔2024〕27号）</w:t>
      </w:r>
      <w:r>
        <w:rPr>
          <w:rFonts w:hint="eastAsia"/>
          <w:color w:val="000000" w:themeColor="text1"/>
          <w:lang w:eastAsia="zh-CN"/>
          <w14:textFill>
            <w14:solidFill>
              <w14:schemeClr w14:val="tx1"/>
            </w14:solidFill>
          </w14:textFill>
        </w:rPr>
        <w:t>，推进县生态环境保护综合行政执法队伍装备标准化建设。加强环境执法业务培训，提升队伍专业化水平。充实执法力量，补齐应对气候变化、生态破坏等领域执法能力短板。严格实行行政执法人员持证上岗和资格管理制度。建立健全执法工作机制，建立健全以规范日常执法为主要内容的“双随机、一公开”检查机制，以畅通群众诉求为主要内容的举报奖励机制，以发挥信用功能为主要内容的告知承诺失信惩戒机制等。加强执法监督，建立健全执法全过程记录制度和行政自由裁量权基准制度，严格执行执法评议考核、案卷评查、执法过错责任追究和重大执法决定法制审核等制度，全面落实行政执法责任制。建立健全综合执法部门和生态环境部门协作联动机制，强化执法和监测无缝衔接。</w:t>
      </w:r>
    </w:p>
    <w:p w14:paraId="0F9E0AF9">
      <w:pPr>
        <w:pStyle w:val="3"/>
        <w:bidi w:val="0"/>
        <w:rPr>
          <w:rFonts w:hint="eastAsia"/>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健全环境治理市场体系和信用体系</w:t>
      </w:r>
      <w:r>
        <w:rPr>
          <w:rFonts w:hint="eastAsia"/>
          <w:color w:val="000000" w:themeColor="text1"/>
          <w:lang w:eastAsia="zh-CN"/>
          <w14:textFill>
            <w14:solidFill>
              <w14:schemeClr w14:val="tx1"/>
            </w14:solidFill>
          </w14:textFill>
        </w:rPr>
        <w:t>。构建规范开放的县域环境治理市场，深入推进“放管服”改革，打破行业壁垒，引导各类资本参与环境治理投资、建设、运行，规范市场秩序，加快形成公开透明、规范有序的环境治理市场环境。积极推行环境污染第三方治理，在农村污水治理等领域推行第三方治理示范。严格落实“谁污染、谁付费”政策导向，建立健全“污染者付费加第三方治理”等机制。完善企业环保信用评价制度，依据评价结果实施分级分类监管，建立排污企业黑名单制度，将环境违法企业依法依规纳入失信联合惩戒对象名单。</w:t>
      </w:r>
    </w:p>
    <w:p w14:paraId="5C2B47E3">
      <w:pPr>
        <w:pStyle w:val="3"/>
        <w:bidi w:val="0"/>
        <w:rPr>
          <w:rFonts w:hint="eastAsia"/>
          <w:color w:val="000000" w:themeColor="text1"/>
          <w:lang w:eastAsia="zh-CN"/>
          <w14:textFill>
            <w14:solidFill>
              <w14:schemeClr w14:val="tx1"/>
            </w14:solidFill>
          </w14:textFill>
        </w:rPr>
      </w:pPr>
    </w:p>
    <w:p w14:paraId="6EE69C55">
      <w:pPr>
        <w:pStyle w:val="3"/>
        <w:bidi w:val="0"/>
        <w:rPr>
          <w:rFonts w:hint="eastAsia"/>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强化后果严惩制度体系建设</w:t>
      </w:r>
      <w:r>
        <w:rPr>
          <w:rFonts w:hint="eastAsia"/>
          <w:color w:val="000000" w:themeColor="text1"/>
          <w:lang w:eastAsia="zh-CN"/>
          <w14:textFill>
            <w14:solidFill>
              <w14:schemeClr w14:val="tx1"/>
            </w14:solidFill>
          </w14:textFill>
        </w:rPr>
        <w:t>。完善生态环境保护领域“行政、民事和刑事三位一体”的责任追究体系，强化刑事责任追究机制。健全生态环境损害司法鉴定和生态环境损害赔偿制度。推动完善生态环境公益诉讼制度，与行政处罚、刑事司法及生态环境损害赔偿等制度进行衔接。</w:t>
      </w:r>
    </w:p>
    <w:p w14:paraId="14DB81BF">
      <w:pPr>
        <w:pStyle w:val="3"/>
        <w:bidi w:val="0"/>
        <w:rPr>
          <w:rFonts w:hint="eastAsia"/>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鼓励群众参与监督</w:t>
      </w:r>
      <w:r>
        <w:rPr>
          <w:rFonts w:hint="eastAsia"/>
          <w:color w:val="000000" w:themeColor="text1"/>
          <w:lang w:val="en-US" w:eastAsia="zh-CN"/>
          <w14:textFill>
            <w14:solidFill>
              <w14:schemeClr w14:val="tx1"/>
            </w14:solidFill>
          </w14:textFill>
        </w:rPr>
        <w:t>。根据《海南省生态环境违法行为举报奖励办法》（琼环规字〔2020〕4号）《屯昌县人民政府关于举报土法熏烤槟榔违法行为线索奖励的通告》（屯府发〔2022〕62号）《</w:t>
      </w:r>
      <w:r>
        <w:rPr>
          <w:rFonts w:hint="eastAsia"/>
          <w:color w:val="000000" w:themeColor="text1"/>
          <w14:textFill>
            <w14:solidFill>
              <w14:schemeClr w14:val="tx1"/>
            </w14:solidFill>
          </w14:textFill>
        </w:rPr>
        <w:t>屯昌县人民政府关于加强大气污染防治“六个严禁”工作的通告</w:t>
      </w:r>
      <w:r>
        <w:rPr>
          <w:rFonts w:hint="eastAsia"/>
          <w:color w:val="000000" w:themeColor="text1"/>
          <w:lang w:val="en-US" w:eastAsia="zh-CN"/>
          <w14:textFill>
            <w14:solidFill>
              <w14:schemeClr w14:val="tx1"/>
            </w14:solidFill>
          </w14:textFill>
        </w:rPr>
        <w:t>》</w:t>
      </w:r>
      <w:r>
        <w:rPr>
          <w:rFonts w:hint="eastAsia"/>
          <w:color w:val="000000" w:themeColor="text1"/>
          <w14:textFill>
            <w14:solidFill>
              <w14:schemeClr w14:val="tx1"/>
            </w14:solidFill>
          </w14:textFill>
        </w:rPr>
        <w:t>（屯府发〔2019〕5号）</w:t>
      </w:r>
      <w:r>
        <w:rPr>
          <w:rFonts w:hint="eastAsia"/>
          <w:color w:val="000000" w:themeColor="text1"/>
          <w:lang w:val="en-US" w:eastAsia="zh-CN"/>
          <w14:textFill>
            <w14:solidFill>
              <w14:schemeClr w14:val="tx1"/>
            </w14:solidFill>
          </w14:textFill>
        </w:rPr>
        <w:t>等文件，鼓励群众对屯昌县内生态环境违法行为进行举报，并对符合要求的举报人予以奖励，营造“人人有责、全民参与”的工作氛围。</w:t>
      </w:r>
    </w:p>
    <w:p w14:paraId="607FEFA9">
      <w:pPr>
        <w:pStyle w:val="4"/>
        <w:numPr>
          <w:ilvl w:val="1"/>
          <w:numId w:val="2"/>
        </w:numPr>
        <w:bidi w:val="0"/>
        <w:rPr>
          <w:rFonts w:hint="default"/>
          <w:color w:val="000000" w:themeColor="text1"/>
          <w:lang w:val="en-US" w:eastAsia="zh-CN"/>
          <w14:textFill>
            <w14:solidFill>
              <w14:schemeClr w14:val="tx1"/>
            </w14:solidFill>
          </w14:textFill>
        </w:rPr>
      </w:pPr>
      <w:bookmarkStart w:id="41" w:name="_Toc13926"/>
      <w:r>
        <w:rPr>
          <w:rFonts w:hint="eastAsia"/>
          <w:color w:val="000000" w:themeColor="text1"/>
          <w:lang w:val="en-US" w:eastAsia="zh-CN"/>
          <w14:textFill>
            <w14:solidFill>
              <w14:schemeClr w14:val="tx1"/>
            </w14:solidFill>
          </w14:textFill>
        </w:rPr>
        <w:t>弘扬屯昌生态文化</w:t>
      </w:r>
      <w:bookmarkEnd w:id="41"/>
    </w:p>
    <w:p w14:paraId="44E7750D">
      <w:pPr>
        <w:pStyle w:val="3"/>
        <w:rPr>
          <w:rFonts w:hint="default"/>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倡导绿色低碳生活方式</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大力倡导简约适度、文明健康的绿色低碳生活与消费模式，推动绿色出行、节水节电、</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光盘行动</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、垃圾分类成为社会共识与自觉习惯。推动绿色理念融入公众日常消费、出行、居住、旅游等各个场景，使绿色低碳成为</w:t>
      </w:r>
      <w:r>
        <w:rPr>
          <w:rFonts w:hint="eastAsia"/>
          <w:color w:val="000000" w:themeColor="text1"/>
          <w:lang w:val="en-US" w:eastAsia="zh-CN"/>
          <w14:textFill>
            <w14:solidFill>
              <w14:schemeClr w14:val="tx1"/>
            </w14:solidFill>
          </w14:textFill>
        </w:rPr>
        <w:t>屯昌县生态文明建设示范区</w:t>
      </w:r>
      <w:r>
        <w:rPr>
          <w:rFonts w:hint="default"/>
          <w:color w:val="000000" w:themeColor="text1"/>
          <w:lang w:val="en-US" w:eastAsia="zh-CN"/>
          <w14:textFill>
            <w14:solidFill>
              <w14:schemeClr w14:val="tx1"/>
            </w14:solidFill>
          </w14:textFill>
        </w:rPr>
        <w:t>生活的鲜明标识和全体居民的自觉行动。推进多元化低碳场景</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碳积分</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消费权益兑换，推动碳积分与公共交通优惠、景区门票折扣、购物消费抵扣、文体设施使用等实质性权益挂钩。</w:t>
      </w:r>
    </w:p>
    <w:p w14:paraId="75052C07">
      <w:pPr>
        <w:pStyle w:val="3"/>
        <w:rPr>
          <w:rFonts w:hint="eastAsia"/>
          <w:b w:val="0"/>
          <w:bCs w:val="0"/>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传承弘扬特色生态文化。</w:t>
      </w:r>
      <w:r>
        <w:rPr>
          <w:rFonts w:hint="eastAsia"/>
          <w:b w:val="0"/>
          <w:bCs w:val="0"/>
          <w:color w:val="000000" w:themeColor="text1"/>
          <w:lang w:val="en-US" w:eastAsia="zh-CN"/>
          <w14:textFill>
            <w14:solidFill>
              <w14:schemeClr w14:val="tx1"/>
            </w14:solidFill>
          </w14:textFill>
        </w:rPr>
        <w:t>深入开展习近平生态文明思想常态化宣讲，结合屯昌“中部明珠、画里屯昌”生态禀赋，将生态文明教育全面纳入干部教育、党员教育与国民教育体系。依托全国生态日、世界环境日等重要生态宣传节点，统筹用好县融媒体中心宣传渠道，充分发挥“小屯妹・大昌叔”本土志愿服务品牌力量，组织志愿者常态化开展生态巡护、环保科普、文明劝导活动，搭建全域覆盖、多元联动的全媒体生态宣传矩阵。深度挖掘木色湖湿地保护、卧龙山雨林生物多样性保护、吉安河流域综合治理等本土生态实践案例，生动讲好屯昌山水河湖身边生态故事，在全社会持续厚植尊重自然、顺应自然、保护自然的生态文明价值理念。深化生态文明创建成果，巩固提升屯昌县生态文明建设示范区创建成效，立足县域73.1%的森林覆盖率与优良生态本底，深入探索“两山”转化路径。以生态产业化、产业生态化为导向，创新生态产品价值实现机制，重点推动南药、沉香、屯昌黑猪等特色生态产业与生态旅游深度融合。全面推广“一园三区两中心”建设经验，以大同产业园为核心，高标准建设绿色低碳循环经济产业区，积极谋划零碳园区试点。聚焦食品精深加工、医药大健康、低碳（智能）制造等主导产业，打造一批绿色工厂、低碳车间，将园区建设成为展示屯昌绿色低碳发展理念、先进技术与实践成果的重要窗口。</w:t>
      </w:r>
    </w:p>
    <w:p w14:paraId="58088611">
      <w:pPr>
        <w:pStyle w:val="3"/>
        <w:rPr>
          <w:rFonts w:hint="eastAsia"/>
          <w:b w:val="0"/>
          <w:bCs w:val="0"/>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加强生态文化交流传播。</w:t>
      </w:r>
      <w:r>
        <w:rPr>
          <w:rFonts w:hint="eastAsia"/>
          <w:b w:val="0"/>
          <w:bCs w:val="0"/>
          <w:color w:val="000000" w:themeColor="text1"/>
          <w:lang w:val="en-US" w:eastAsia="zh-CN"/>
          <w14:textFill>
            <w14:solidFill>
              <w14:schemeClr w14:val="tx1"/>
            </w14:solidFill>
          </w14:textFill>
        </w:rPr>
        <w:t>依托梦幻香山、美鹤园村、咸六油画村等本土文旅IP，建设生态文明实践教育基地与成果展示窗口，加强与省内外高校、科研机构、环保组织及企业的交流合作。深度融合屯昌红色文化、武术文化、油画文化、水晶文化等多元本土特色，创作生态主题油画、文创产品、微电影及短视频等精品力作。借助海南自贸港开放平台，深化与海内外媒体及网络达人的合作，广泛传播屯昌在生态保护、南药康养、循环经济等领域的建设智慧与成功经验。</w:t>
      </w:r>
    </w:p>
    <w:p w14:paraId="48CEA87E">
      <w:pPr>
        <w:pStyle w:val="3"/>
        <w:rPr>
          <w:rFonts w:hint="eastAsia"/>
          <w:b w:val="0"/>
          <w:bCs w:val="0"/>
          <w:color w:val="000000" w:themeColor="text1"/>
          <w:lang w:val="en-US" w:eastAsia="zh-CN"/>
          <w14:textFill>
            <w14:solidFill>
              <w14:schemeClr w14:val="tx1"/>
            </w14:solidFill>
          </w14:textFill>
        </w:rPr>
      </w:pPr>
    </w:p>
    <w:p w14:paraId="2DAF4954">
      <w:pPr>
        <w:pStyle w:val="3"/>
        <w:rPr>
          <w:rFonts w:hint="eastAsia"/>
          <w:b w:val="0"/>
          <w:bCs w:val="0"/>
          <w:color w:val="000000" w:themeColor="text1"/>
          <w:lang w:val="en-US" w:eastAsia="zh-CN"/>
          <w14:textFill>
            <w14:solidFill>
              <w14:schemeClr w14:val="tx1"/>
            </w14:solidFill>
          </w14:textFill>
        </w:rPr>
      </w:pPr>
    </w:p>
    <w:p w14:paraId="0DE5B6BD">
      <w:pPr>
        <w:pStyle w:val="3"/>
        <w:rPr>
          <w:rFonts w:hint="eastAsia"/>
          <w:b w:val="0"/>
          <w:bCs w:val="0"/>
          <w:color w:val="000000" w:themeColor="text1"/>
          <w:lang w:val="en-US" w:eastAsia="zh-CN"/>
          <w14:textFill>
            <w14:solidFill>
              <w14:schemeClr w14:val="tx1"/>
            </w14:solidFill>
          </w14:textFill>
        </w:rPr>
      </w:pPr>
    </w:p>
    <w:p w14:paraId="40214B71">
      <w:pPr>
        <w:pStyle w:val="3"/>
        <w:rPr>
          <w:rFonts w:hint="eastAsia"/>
          <w:b w:val="0"/>
          <w:bCs w:val="0"/>
          <w:color w:val="000000" w:themeColor="text1"/>
          <w:lang w:val="en-US" w:eastAsia="zh-CN"/>
          <w14:textFill>
            <w14:solidFill>
              <w14:schemeClr w14:val="tx1"/>
            </w14:solidFill>
          </w14:textFill>
        </w:rPr>
      </w:pPr>
    </w:p>
    <w:p w14:paraId="67A2B7B2">
      <w:pPr>
        <w:pStyle w:val="3"/>
        <w:rPr>
          <w:rFonts w:hint="eastAsia"/>
          <w:b w:val="0"/>
          <w:bCs w:val="0"/>
          <w:color w:val="000000" w:themeColor="text1"/>
          <w:lang w:val="en-US" w:eastAsia="zh-CN"/>
          <w14:textFill>
            <w14:solidFill>
              <w14:schemeClr w14:val="tx1"/>
            </w14:solidFill>
          </w14:textFill>
        </w:rPr>
      </w:pPr>
    </w:p>
    <w:p w14:paraId="695748B4">
      <w:pPr>
        <w:pStyle w:val="3"/>
        <w:rPr>
          <w:rFonts w:hint="eastAsia"/>
          <w:b w:val="0"/>
          <w:bCs w:val="0"/>
          <w:color w:val="000000" w:themeColor="text1"/>
          <w:lang w:val="en-US" w:eastAsia="zh-CN"/>
          <w14:textFill>
            <w14:solidFill>
              <w14:schemeClr w14:val="tx1"/>
            </w14:solidFill>
          </w14:textFill>
        </w:rPr>
      </w:pPr>
    </w:p>
    <w:p w14:paraId="5F9BF648">
      <w:pPr>
        <w:pStyle w:val="3"/>
        <w:rPr>
          <w:rFonts w:hint="eastAsia"/>
          <w:b w:val="0"/>
          <w:bCs w:val="0"/>
          <w:color w:val="000000" w:themeColor="text1"/>
          <w:lang w:val="en-US" w:eastAsia="zh-CN"/>
          <w14:textFill>
            <w14:solidFill>
              <w14:schemeClr w14:val="tx1"/>
            </w14:solidFill>
          </w14:textFill>
        </w:rPr>
      </w:pPr>
    </w:p>
    <w:p w14:paraId="66A1F7E1">
      <w:pPr>
        <w:pStyle w:val="3"/>
        <w:rPr>
          <w:rFonts w:hint="eastAsia"/>
          <w:b w:val="0"/>
          <w:bCs w:val="0"/>
          <w:color w:val="000000" w:themeColor="text1"/>
          <w:lang w:val="en-US" w:eastAsia="zh-CN"/>
          <w14:textFill>
            <w14:solidFill>
              <w14:schemeClr w14:val="tx1"/>
            </w14:solidFill>
          </w14:textFill>
        </w:rPr>
      </w:pPr>
    </w:p>
    <w:p w14:paraId="3D42EB9D">
      <w:pPr>
        <w:pStyle w:val="3"/>
        <w:rPr>
          <w:rFonts w:hint="eastAsia"/>
          <w:b w:val="0"/>
          <w:bCs w:val="0"/>
          <w:color w:val="000000" w:themeColor="text1"/>
          <w:lang w:val="en-US" w:eastAsia="zh-CN"/>
          <w14:textFill>
            <w14:solidFill>
              <w14:schemeClr w14:val="tx1"/>
            </w14:solidFill>
          </w14:textFill>
        </w:rPr>
      </w:pPr>
    </w:p>
    <w:p w14:paraId="5A5608A7">
      <w:pPr>
        <w:pStyle w:val="3"/>
        <w:rPr>
          <w:rFonts w:hint="eastAsia"/>
          <w:b w:val="0"/>
          <w:bCs w:val="0"/>
          <w:color w:val="000000" w:themeColor="text1"/>
          <w:lang w:val="en-US" w:eastAsia="zh-CN"/>
          <w14:textFill>
            <w14:solidFill>
              <w14:schemeClr w14:val="tx1"/>
            </w14:solidFill>
          </w14:textFill>
        </w:rPr>
      </w:pPr>
    </w:p>
    <w:p w14:paraId="2CFA0508">
      <w:pPr>
        <w:pStyle w:val="3"/>
        <w:rPr>
          <w:rFonts w:hint="eastAsia"/>
          <w:b w:val="0"/>
          <w:bCs w:val="0"/>
          <w:color w:val="000000" w:themeColor="text1"/>
          <w:lang w:val="en-US" w:eastAsia="zh-CN"/>
          <w14:textFill>
            <w14:solidFill>
              <w14:schemeClr w14:val="tx1"/>
            </w14:solidFill>
          </w14:textFill>
        </w:rPr>
      </w:pPr>
    </w:p>
    <w:p w14:paraId="0FEF8C24">
      <w:pPr>
        <w:pStyle w:val="3"/>
        <w:rPr>
          <w:rFonts w:hint="eastAsia"/>
          <w:b w:val="0"/>
          <w:bCs w:val="0"/>
          <w:color w:val="000000" w:themeColor="text1"/>
          <w:lang w:val="en-US" w:eastAsia="zh-CN"/>
          <w14:textFill>
            <w14:solidFill>
              <w14:schemeClr w14:val="tx1"/>
            </w14:solidFill>
          </w14:textFill>
        </w:rPr>
      </w:pPr>
    </w:p>
    <w:p w14:paraId="2E04306D">
      <w:pPr>
        <w:pStyle w:val="3"/>
        <w:rPr>
          <w:rFonts w:hint="eastAsia"/>
          <w:b w:val="0"/>
          <w:bCs w:val="0"/>
          <w:color w:val="000000" w:themeColor="text1"/>
          <w:lang w:val="en-US" w:eastAsia="zh-CN"/>
          <w14:textFill>
            <w14:solidFill>
              <w14:schemeClr w14:val="tx1"/>
            </w14:solidFill>
          </w14:textFill>
        </w:rPr>
      </w:pPr>
    </w:p>
    <w:p w14:paraId="59E52A34">
      <w:pPr>
        <w:pStyle w:val="3"/>
        <w:rPr>
          <w:rFonts w:hint="eastAsia"/>
          <w:b w:val="0"/>
          <w:bCs w:val="0"/>
          <w:color w:val="000000" w:themeColor="text1"/>
          <w:lang w:val="en-US" w:eastAsia="zh-CN"/>
          <w14:textFill>
            <w14:solidFill>
              <w14:schemeClr w14:val="tx1"/>
            </w14:solidFill>
          </w14:textFill>
        </w:rPr>
      </w:pPr>
    </w:p>
    <w:p w14:paraId="6CD6B2C1">
      <w:pPr>
        <w:pStyle w:val="3"/>
        <w:rPr>
          <w:rFonts w:hint="eastAsia"/>
          <w:b w:val="0"/>
          <w:bCs w:val="0"/>
          <w:color w:val="000000" w:themeColor="text1"/>
          <w:lang w:val="en-US" w:eastAsia="zh-CN"/>
          <w14:textFill>
            <w14:solidFill>
              <w14:schemeClr w14:val="tx1"/>
            </w14:solidFill>
          </w14:textFill>
        </w:rPr>
      </w:pPr>
    </w:p>
    <w:p w14:paraId="4709FE86">
      <w:pPr>
        <w:pStyle w:val="3"/>
        <w:rPr>
          <w:rFonts w:hint="eastAsia"/>
          <w:b w:val="0"/>
          <w:bCs w:val="0"/>
          <w:color w:val="000000" w:themeColor="text1"/>
          <w:lang w:val="en-US" w:eastAsia="zh-CN"/>
          <w14:textFill>
            <w14:solidFill>
              <w14:schemeClr w14:val="tx1"/>
            </w14:solidFill>
          </w14:textFill>
        </w:rPr>
      </w:pPr>
    </w:p>
    <w:p w14:paraId="322655A7">
      <w:pPr>
        <w:pStyle w:val="3"/>
        <w:rPr>
          <w:rFonts w:hint="eastAsia"/>
          <w:b w:val="0"/>
          <w:bCs w:val="0"/>
          <w:color w:val="000000" w:themeColor="text1"/>
          <w:lang w:val="en-US" w:eastAsia="zh-CN"/>
          <w14:textFill>
            <w14:solidFill>
              <w14:schemeClr w14:val="tx1"/>
            </w14:solidFill>
          </w14:textFill>
        </w:rPr>
      </w:pPr>
    </w:p>
    <w:p w14:paraId="1F1B3B45">
      <w:pPr>
        <w:pStyle w:val="2"/>
        <w:numPr>
          <w:ilvl w:val="0"/>
          <w:numId w:val="2"/>
        </w:numPr>
        <w:bidi w:val="0"/>
        <w:rPr>
          <w:rFonts w:hint="eastAsia"/>
          <w:color w:val="000000" w:themeColor="text1"/>
          <w14:textFill>
            <w14:solidFill>
              <w14:schemeClr w14:val="tx1"/>
            </w14:solidFill>
          </w14:textFill>
        </w:rPr>
      </w:pPr>
      <w:bookmarkStart w:id="42" w:name="_Toc17458"/>
      <w:r>
        <w:rPr>
          <w:rFonts w:hint="eastAsia"/>
          <w:color w:val="000000" w:themeColor="text1"/>
          <w14:textFill>
            <w14:solidFill>
              <w14:schemeClr w14:val="tx1"/>
            </w14:solidFill>
          </w14:textFill>
        </w:rPr>
        <w:t>健全组织实施与保障体系，完善责任考核与资金保障机制</w:t>
      </w:r>
      <w:bookmarkEnd w:id="42"/>
    </w:p>
    <w:p w14:paraId="3671AA97">
      <w:pPr>
        <w:pStyle w:val="4"/>
        <w:numPr>
          <w:ilvl w:val="1"/>
          <w:numId w:val="2"/>
        </w:numPr>
        <w:bidi w:val="0"/>
        <w:rPr>
          <w:rFonts w:hint="eastAsia"/>
          <w:color w:val="000000" w:themeColor="text1"/>
          <w14:textFill>
            <w14:solidFill>
              <w14:schemeClr w14:val="tx1"/>
            </w14:solidFill>
          </w14:textFill>
        </w:rPr>
      </w:pPr>
      <w:bookmarkStart w:id="43" w:name="_Toc18570"/>
      <w:r>
        <w:rPr>
          <w:rFonts w:hint="eastAsia"/>
          <w:color w:val="000000" w:themeColor="text1"/>
          <w14:textFill>
            <w14:solidFill>
              <w14:schemeClr w14:val="tx1"/>
            </w14:solidFill>
          </w14:textFill>
        </w:rPr>
        <w:t>加强组织领导</w:t>
      </w:r>
      <w:bookmarkEnd w:id="43"/>
    </w:p>
    <w:p w14:paraId="4D133DB2">
      <w:pPr>
        <w:pStyle w:val="3"/>
        <w:bidi w:val="0"/>
        <w:rPr>
          <w:rFonts w:hint="eastAsia"/>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全面加强党对生态文明建设和生态环境保护的领导，深入贯彻习近平生态文明思想。各级党委和政府要坚决扛起保护生态环境的政治责任，</w:t>
      </w:r>
      <w:r>
        <w:rPr>
          <w:rFonts w:hint="eastAsia"/>
          <w:color w:val="000000" w:themeColor="text1"/>
          <w:lang w:eastAsia="zh-CN"/>
          <w14:textFill>
            <w14:solidFill>
              <w14:schemeClr w14:val="tx1"/>
            </w14:solidFill>
          </w14:textFill>
        </w:rPr>
        <w:t>按照《地方党政领导干部生态环境保护责任制规定（试行）》相关规定，坚持党政同责、齐抓共管、失职追责，落实好县委、县政府及各相关部门的生态环境保护责任</w:t>
      </w:r>
      <w:r>
        <w:rPr>
          <w:rFonts w:hint="eastAsia"/>
          <w:color w:val="000000" w:themeColor="text1"/>
          <w14:textFill>
            <w14:solidFill>
              <w14:schemeClr w14:val="tx1"/>
            </w14:solidFill>
          </w14:textFill>
        </w:rPr>
        <w:t>。健全部门协作机制，坚持管发展必须管环保、管生产必须管环保、管行业必须管环保，落实相关部门责任。制定屯昌县生态环境保护责任清单，推动各部门做好生态环境保护工作，进一步完善齐抓共管、各负其责的大生态环保格局</w:t>
      </w:r>
      <w:r>
        <w:rPr>
          <w:rFonts w:hint="eastAsia"/>
          <w:color w:val="000000" w:themeColor="text1"/>
          <w:lang w:eastAsia="zh-CN"/>
          <w14:textFill>
            <w14:solidFill>
              <w14:schemeClr w14:val="tx1"/>
            </w14:solidFill>
          </w14:textFill>
        </w:rPr>
        <w:t>。</w:t>
      </w:r>
    </w:p>
    <w:p w14:paraId="3AC66876">
      <w:pPr>
        <w:pStyle w:val="4"/>
        <w:numPr>
          <w:ilvl w:val="1"/>
          <w:numId w:val="2"/>
        </w:numPr>
        <w:bidi w:val="0"/>
        <w:rPr>
          <w:rFonts w:hint="eastAsia"/>
          <w:color w:val="000000" w:themeColor="text1"/>
          <w14:textFill>
            <w14:solidFill>
              <w14:schemeClr w14:val="tx1"/>
            </w14:solidFill>
          </w14:textFill>
        </w:rPr>
      </w:pPr>
      <w:bookmarkStart w:id="44" w:name="_Toc27517"/>
      <w:r>
        <w:rPr>
          <w:rFonts w:hint="eastAsia"/>
          <w:color w:val="000000" w:themeColor="text1"/>
          <w14:textFill>
            <w14:solidFill>
              <w14:schemeClr w14:val="tx1"/>
            </w14:solidFill>
          </w14:textFill>
        </w:rPr>
        <w:t>强化责任落实</w:t>
      </w:r>
      <w:bookmarkEnd w:id="44"/>
    </w:p>
    <w:p w14:paraId="1979A353">
      <w:pPr>
        <w:pStyle w:val="3"/>
        <w:bidi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屯昌</w:t>
      </w:r>
      <w:r>
        <w:rPr>
          <w:rFonts w:hint="eastAsia"/>
          <w:color w:val="000000" w:themeColor="text1"/>
          <w14:textFill>
            <w14:solidFill>
              <w14:schemeClr w14:val="tx1"/>
            </w14:solidFill>
          </w14:textFill>
        </w:rPr>
        <w:t>县生态环境</w:t>
      </w:r>
      <w:r>
        <w:rPr>
          <w:rFonts w:hint="eastAsia"/>
          <w:color w:val="000000" w:themeColor="text1"/>
          <w:lang w:val="en-US" w:eastAsia="zh-CN"/>
          <w14:textFill>
            <w14:solidFill>
              <w14:schemeClr w14:val="tx1"/>
            </w14:solidFill>
          </w14:textFill>
        </w:rPr>
        <w:t>局</w:t>
      </w:r>
      <w:r>
        <w:rPr>
          <w:rFonts w:hint="eastAsia"/>
          <w:color w:val="000000" w:themeColor="text1"/>
          <w14:textFill>
            <w14:solidFill>
              <w14:schemeClr w14:val="tx1"/>
            </w14:solidFill>
          </w14:textFill>
        </w:rPr>
        <w:t>牵头组织做好规划的实施工作，做好任务分解，由县政府同意印发实施，落实责任。各部门之间建立规划实施的沟通协调机制，必要时召开协调会，协调解决推进规划实施过程中遇到的重大问题，有序推进规划各项任务落实。各任务事项牵头单位按照本规划确定的任务和要求，组织制订实施方案，落实规划目标、任务、工程。</w:t>
      </w:r>
    </w:p>
    <w:p w14:paraId="5838BD55">
      <w:pPr>
        <w:pStyle w:val="4"/>
        <w:numPr>
          <w:ilvl w:val="1"/>
          <w:numId w:val="2"/>
        </w:numPr>
        <w:bidi w:val="0"/>
        <w:rPr>
          <w:rFonts w:hint="eastAsia"/>
          <w:color w:val="000000" w:themeColor="text1"/>
          <w14:textFill>
            <w14:solidFill>
              <w14:schemeClr w14:val="tx1"/>
            </w14:solidFill>
          </w14:textFill>
        </w:rPr>
      </w:pPr>
      <w:bookmarkStart w:id="45" w:name="_Toc1828"/>
      <w:r>
        <w:rPr>
          <w:rFonts w:hint="eastAsia"/>
          <w:color w:val="000000" w:themeColor="text1"/>
          <w14:textFill>
            <w14:solidFill>
              <w14:schemeClr w14:val="tx1"/>
            </w14:solidFill>
          </w14:textFill>
        </w:rPr>
        <w:t>严格评估考核</w:t>
      </w:r>
      <w:bookmarkEnd w:id="45"/>
    </w:p>
    <w:p w14:paraId="15AA2F25">
      <w:pPr>
        <w:pStyle w:val="3"/>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制定规划实施评估办法，定期对规划执行情况进行考核评估。建立健全规划调度评估机制，县生态环境保护部门会同相关部门围绕本规划及各要素专项规划目标指标、重点任务、重大工程进展情况进行调度评估考核。</w:t>
      </w:r>
    </w:p>
    <w:p w14:paraId="05DF9109">
      <w:pPr>
        <w:pStyle w:val="4"/>
        <w:numPr>
          <w:ilvl w:val="1"/>
          <w:numId w:val="2"/>
        </w:numPr>
        <w:bidi w:val="0"/>
        <w:rPr>
          <w:rFonts w:hint="eastAsia"/>
          <w:color w:val="000000" w:themeColor="text1"/>
          <w14:textFill>
            <w14:solidFill>
              <w14:schemeClr w14:val="tx1"/>
            </w14:solidFill>
          </w14:textFill>
        </w:rPr>
      </w:pPr>
      <w:bookmarkStart w:id="46" w:name="_Toc10589"/>
      <w:r>
        <w:rPr>
          <w:rFonts w:hint="eastAsia"/>
          <w:color w:val="000000" w:themeColor="text1"/>
          <w14:textFill>
            <w14:solidFill>
              <w14:schemeClr w14:val="tx1"/>
            </w14:solidFill>
          </w14:textFill>
        </w:rPr>
        <w:t>加大资金投入</w:t>
      </w:r>
      <w:bookmarkEnd w:id="46"/>
    </w:p>
    <w:p w14:paraId="33D79919">
      <w:pPr>
        <w:pStyle w:val="3"/>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县政府应将环境保护“十</w:t>
      </w:r>
      <w:r>
        <w:rPr>
          <w:rFonts w:hint="eastAsia"/>
          <w:color w:val="000000" w:themeColor="text1"/>
          <w:lang w:val="en-US" w:eastAsia="zh-CN"/>
          <w14:textFill>
            <w14:solidFill>
              <w14:schemeClr w14:val="tx1"/>
            </w14:solidFill>
          </w14:textFill>
        </w:rPr>
        <w:t>五</w:t>
      </w:r>
      <w:r>
        <w:rPr>
          <w:rFonts w:hint="eastAsia"/>
          <w:color w:val="000000" w:themeColor="text1"/>
          <w14:textFill>
            <w14:solidFill>
              <w14:schemeClr w14:val="tx1"/>
            </w14:solidFill>
          </w14:textFill>
        </w:rPr>
        <w:t>五”规划列为公共财政支出的重点，逐年加大投入，重点投向重大环境基础设施建设、</w:t>
      </w:r>
      <w:r>
        <w:rPr>
          <w:rFonts w:hint="eastAsia"/>
          <w:color w:val="000000" w:themeColor="text1"/>
          <w:lang w:val="en-US" w:eastAsia="zh-CN"/>
          <w14:textFill>
            <w14:solidFill>
              <w14:schemeClr w14:val="tx1"/>
            </w14:solidFill>
          </w14:textFill>
        </w:rPr>
        <w:t>节能</w:t>
      </w:r>
      <w:r>
        <w:rPr>
          <w:rFonts w:hint="eastAsia"/>
          <w:color w:val="000000" w:themeColor="text1"/>
          <w14:textFill>
            <w14:solidFill>
              <w14:schemeClr w14:val="tx1"/>
            </w14:solidFill>
          </w14:textFill>
        </w:rPr>
        <w:t>减排、环境综合整治和生态</w:t>
      </w:r>
      <w:r>
        <w:rPr>
          <w:rFonts w:hint="eastAsia"/>
          <w:color w:val="000000" w:themeColor="text1"/>
          <w:lang w:val="en-US" w:eastAsia="zh-CN"/>
          <w14:textFill>
            <w14:solidFill>
              <w14:schemeClr w14:val="tx1"/>
            </w14:solidFill>
          </w14:textFill>
        </w:rPr>
        <w:t>修复</w:t>
      </w:r>
      <w:r>
        <w:rPr>
          <w:rFonts w:hint="eastAsia"/>
          <w:color w:val="000000" w:themeColor="text1"/>
          <w14:textFill>
            <w14:solidFill>
              <w14:schemeClr w14:val="tx1"/>
            </w14:solidFill>
          </w14:textFill>
        </w:rPr>
        <w:t>等项目。</w:t>
      </w:r>
    </w:p>
    <w:p w14:paraId="7804A463">
      <w:pPr>
        <w:pStyle w:val="3"/>
        <w:bidi w:val="0"/>
        <w:rPr>
          <w:rFonts w:hint="eastAsia"/>
          <w:color w:val="000000" w:themeColor="text1"/>
          <w:lang w:val="en-US" w:eastAsia="zh-CN"/>
          <w14:textFill>
            <w14:solidFill>
              <w14:schemeClr w14:val="tx1"/>
            </w14:solidFill>
          </w14:textFill>
        </w:rPr>
      </w:pPr>
    </w:p>
    <w:p w14:paraId="4F66C46B">
      <w:pPr>
        <w:pStyle w:val="3"/>
        <w:bidi w:val="0"/>
        <w:rPr>
          <w:rFonts w:hint="default"/>
          <w:color w:val="000000" w:themeColor="text1"/>
          <w:lang w:val="en-US" w:eastAsia="zh-CN"/>
          <w14:textFill>
            <w14:solidFill>
              <w14:schemeClr w14:val="tx1"/>
            </w14:solidFill>
          </w14:textFill>
        </w:rPr>
      </w:pPr>
    </w:p>
    <w:p w14:paraId="39A5FD4A">
      <w:pPr>
        <w:pStyle w:val="3"/>
        <w:bidi w:val="0"/>
        <w:rPr>
          <w:rFonts w:hint="eastAsia"/>
          <w:color w:val="000000" w:themeColor="text1"/>
          <w14:textFill>
            <w14:solidFill>
              <w14:schemeClr w14:val="tx1"/>
            </w14:solidFill>
          </w14:textFill>
        </w:rPr>
      </w:pPr>
    </w:p>
    <w:p w14:paraId="27D41A87">
      <w:pPr>
        <w:pStyle w:val="2"/>
        <w:bidi w:val="0"/>
        <w:rPr>
          <w:rFonts w:hint="eastAsia"/>
          <w:color w:val="000000" w:themeColor="text1"/>
          <w:lang w:val="en-US" w:eastAsia="zh-CN"/>
          <w14:textFill>
            <w14:solidFill>
              <w14:schemeClr w14:val="tx1"/>
            </w14:solidFill>
          </w14:textFill>
        </w:rPr>
        <w:sectPr>
          <w:pgSz w:w="11906" w:h="16838"/>
          <w:pgMar w:top="1440" w:right="1440" w:bottom="1440" w:left="1440" w:header="851" w:footer="992" w:gutter="0"/>
          <w:pgNumType w:fmt="decimal"/>
          <w:cols w:space="425" w:num="1"/>
          <w:docGrid w:type="lines" w:linePitch="312" w:charSpace="0"/>
        </w:sectPr>
      </w:pPr>
    </w:p>
    <w:p w14:paraId="36B02182">
      <w:pPr>
        <w:pStyle w:val="2"/>
        <w:numPr>
          <w:ilvl w:val="0"/>
          <w:numId w:val="2"/>
        </w:numPr>
        <w:bidi w:val="0"/>
        <w:rPr>
          <w:rFonts w:hint="eastAsia"/>
          <w:color w:val="000000" w:themeColor="text1"/>
          <w:lang w:val="en-US" w:eastAsia="zh-CN"/>
          <w14:textFill>
            <w14:solidFill>
              <w14:schemeClr w14:val="tx1"/>
            </w14:solidFill>
          </w14:textFill>
        </w:rPr>
      </w:pPr>
      <w:bookmarkStart w:id="47" w:name="_Toc21725"/>
      <w:r>
        <w:rPr>
          <w:rFonts w:hint="eastAsia"/>
          <w:color w:val="000000" w:themeColor="text1"/>
          <w:lang w:val="en-US" w:eastAsia="zh-CN"/>
          <w14:textFill>
            <w14:solidFill>
              <w14:schemeClr w14:val="tx1"/>
            </w14:solidFill>
          </w14:textFill>
        </w:rPr>
        <w:t>规划重点工程</w:t>
      </w:r>
      <w:bookmarkEnd w:id="47"/>
    </w:p>
    <w:p w14:paraId="67CBB198">
      <w:pPr>
        <w:pStyle w:val="4"/>
        <w:numPr>
          <w:ilvl w:val="1"/>
          <w:numId w:val="2"/>
        </w:numPr>
        <w:bidi w:val="0"/>
        <w:rPr>
          <w:rFonts w:hint="default"/>
          <w:color w:val="000000" w:themeColor="text1"/>
          <w:lang w:val="en-US" w:eastAsia="zh-CN"/>
          <w14:textFill>
            <w14:solidFill>
              <w14:schemeClr w14:val="tx1"/>
            </w14:solidFill>
          </w14:textFill>
        </w:rPr>
      </w:pPr>
      <w:bookmarkStart w:id="48" w:name="_Toc29212"/>
      <w:r>
        <w:rPr>
          <w:rFonts w:hint="eastAsia"/>
          <w:color w:val="000000" w:themeColor="text1"/>
          <w:lang w:val="en-US" w:eastAsia="zh-CN"/>
          <w14:textFill>
            <w14:solidFill>
              <w14:schemeClr w14:val="tx1"/>
            </w14:solidFill>
          </w14:textFill>
        </w:rPr>
        <w:t>重点工程筛选原则</w:t>
      </w:r>
      <w:bookmarkEnd w:id="48"/>
    </w:p>
    <w:p w14:paraId="17EA0B95">
      <w:pPr>
        <w:pStyle w:val="3"/>
        <w:bidi w:val="0"/>
        <w:rPr>
          <w:rFonts w:hint="eastAsia"/>
          <w:color w:val="000000" w:themeColor="text1"/>
          <w14:textFill>
            <w14:solidFill>
              <w14:schemeClr w14:val="tx1"/>
            </w14:solidFill>
          </w14:textFill>
        </w:rPr>
      </w:pPr>
      <w:r>
        <w:rPr>
          <w:rFonts w:hint="eastAsia"/>
          <w:b/>
          <w:bCs/>
          <w:color w:val="000000" w:themeColor="text1"/>
          <w14:textFill>
            <w14:solidFill>
              <w14:schemeClr w14:val="tx1"/>
            </w14:solidFill>
          </w14:textFill>
        </w:rPr>
        <w:t>问题导向</w:t>
      </w:r>
      <w:r>
        <w:rPr>
          <w:rFonts w:hint="eastAsia"/>
          <w:color w:val="000000" w:themeColor="text1"/>
          <w14:textFill>
            <w14:solidFill>
              <w14:schemeClr w14:val="tx1"/>
            </w14:solidFill>
          </w14:textFill>
        </w:rPr>
        <w:t>。结合县域环境改善中长期目标，以解决屯昌突出生态环境问题为导向，统筹谋划总体项目和“</w:t>
      </w:r>
      <w:r>
        <w:rPr>
          <w:rFonts w:hint="eastAsia"/>
          <w:color w:val="000000" w:themeColor="text1"/>
          <w:lang w:val="en-US" w:eastAsia="zh-CN"/>
          <w14:textFill>
            <w14:solidFill>
              <w14:schemeClr w14:val="tx1"/>
            </w14:solidFill>
          </w14:textFill>
        </w:rPr>
        <w:t>十五五</w:t>
      </w:r>
      <w:r>
        <w:rPr>
          <w:rFonts w:hint="eastAsia"/>
          <w:color w:val="000000" w:themeColor="text1"/>
          <w14:textFill>
            <w14:solidFill>
              <w14:schemeClr w14:val="tx1"/>
            </w14:solidFill>
          </w14:textFill>
        </w:rPr>
        <w:t>”时期项目，项目实施要有利于改善屯昌县域生态环境质量。</w:t>
      </w:r>
    </w:p>
    <w:p w14:paraId="54FAA0B3">
      <w:pPr>
        <w:pStyle w:val="3"/>
        <w:bidi w:val="0"/>
        <w:rPr>
          <w:rFonts w:hint="eastAsia"/>
          <w:color w:val="000000" w:themeColor="text1"/>
          <w14:textFill>
            <w14:solidFill>
              <w14:schemeClr w14:val="tx1"/>
            </w14:solidFill>
          </w14:textFill>
        </w:rPr>
      </w:pPr>
      <w:r>
        <w:rPr>
          <w:rFonts w:hint="eastAsia"/>
          <w:b/>
          <w:bCs/>
          <w:color w:val="000000" w:themeColor="text1"/>
          <w14:textFill>
            <w14:solidFill>
              <w14:schemeClr w14:val="tx1"/>
            </w14:solidFill>
          </w14:textFill>
        </w:rPr>
        <w:t>合理可行</w:t>
      </w:r>
      <w:r>
        <w:rPr>
          <w:rFonts w:hint="eastAsia"/>
          <w:color w:val="000000" w:themeColor="text1"/>
          <w14:textFill>
            <w14:solidFill>
              <w14:schemeClr w14:val="tx1"/>
            </w14:solidFill>
          </w14:textFill>
        </w:rPr>
        <w:t>。所选项目技术路线科学、核心工艺成熟、运营管理便利经济，能够可持续运行。</w:t>
      </w:r>
    </w:p>
    <w:p w14:paraId="1D7AA4F6">
      <w:pPr>
        <w:pStyle w:val="3"/>
        <w:bidi w:val="0"/>
        <w:rPr>
          <w:color w:val="000000" w:themeColor="text1"/>
          <w14:textFill>
            <w14:solidFill>
              <w14:schemeClr w14:val="tx1"/>
            </w14:solidFill>
          </w14:textFill>
        </w:rPr>
      </w:pPr>
      <w:r>
        <w:rPr>
          <w:rFonts w:hint="eastAsia"/>
          <w:b/>
          <w:bCs/>
          <w:color w:val="000000" w:themeColor="text1"/>
          <w14:textFill>
            <w14:solidFill>
              <w14:schemeClr w14:val="tx1"/>
            </w14:solidFill>
          </w14:textFill>
        </w:rPr>
        <w:t>绩效明确</w:t>
      </w:r>
      <w:r>
        <w:rPr>
          <w:rFonts w:hint="eastAsia"/>
          <w:color w:val="000000" w:themeColor="text1"/>
          <w14:textFill>
            <w14:solidFill>
              <w14:schemeClr w14:val="tx1"/>
            </w14:solidFill>
          </w14:textFill>
        </w:rPr>
        <w:t>。遵循可监测、可统计、可考核的原则，突出项目对重点污染物排放量的削减效果，以及在产业转型发展、技术革命、管理创新等领域的示范引领作用。</w:t>
      </w:r>
    </w:p>
    <w:p w14:paraId="3BABC7EF">
      <w:pPr>
        <w:pStyle w:val="4"/>
        <w:numPr>
          <w:ilvl w:val="1"/>
          <w:numId w:val="2"/>
        </w:numPr>
        <w:bidi w:val="0"/>
        <w:rPr>
          <w:rFonts w:hint="eastAsia"/>
          <w:color w:val="000000" w:themeColor="text1"/>
          <w:lang w:val="en-US" w:eastAsia="zh-CN"/>
          <w14:textFill>
            <w14:solidFill>
              <w14:schemeClr w14:val="tx1"/>
            </w14:solidFill>
          </w14:textFill>
        </w:rPr>
      </w:pPr>
      <w:bookmarkStart w:id="49" w:name="_Toc5231"/>
      <w:r>
        <w:rPr>
          <w:rFonts w:hint="eastAsia"/>
          <w:color w:val="000000" w:themeColor="text1"/>
          <w:lang w:val="en-US" w:eastAsia="zh-CN"/>
          <w14:textFill>
            <w14:solidFill>
              <w14:schemeClr w14:val="tx1"/>
            </w14:solidFill>
          </w14:textFill>
        </w:rPr>
        <w:t>重点工程项目构成</w:t>
      </w:r>
      <w:bookmarkEnd w:id="49"/>
    </w:p>
    <w:p w14:paraId="3E70460C">
      <w:pPr>
        <w:pStyle w:val="3"/>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在巩固“十四五”时期重大工程成果的基础之上，针对“十五五”时期生态环境保护新形势和新问题，组织实施以下生态环境保护重点工程。</w:t>
      </w:r>
    </w:p>
    <w:p w14:paraId="356DAB42">
      <w:pPr>
        <w:pStyle w:val="3"/>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应对气候变化重点工程。“十五五”规划项目共</w:t>
      </w:r>
      <w:r>
        <w:rPr>
          <w:rFonts w:hint="eastAsia"/>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个：屯昌县域新能源充电桩项目、生物质资源非电利用项目、低碳乡村源网荷储协同运行示范工程、海南省屯昌县交能融合示范项目、工业绿色微电网（含衍生项目）、城乡排涝能力提升工程</w:t>
      </w:r>
      <w:r>
        <w:rPr>
          <w:rFonts w:hint="eastAsia"/>
          <w:color w:val="000000" w:themeColor="text1"/>
          <w:lang w:eastAsia="zh-CN"/>
          <w14:textFill>
            <w14:solidFill>
              <w14:schemeClr w14:val="tx1"/>
            </w14:solidFill>
          </w14:textFill>
        </w:rPr>
        <w:t>、屯昌县绿色低碳循环经济产业园建设项目、屯昌县林木材精深加工产业园建设项目、新型石材建材产业园建设项目</w:t>
      </w:r>
      <w:r>
        <w:rPr>
          <w:rFonts w:hint="eastAsia"/>
          <w:color w:val="000000" w:themeColor="text1"/>
          <w14:textFill>
            <w14:solidFill>
              <w14:schemeClr w14:val="tx1"/>
            </w14:solidFill>
          </w14:textFill>
        </w:rPr>
        <w:t>。</w:t>
      </w:r>
    </w:p>
    <w:p w14:paraId="6F0CEC20">
      <w:pPr>
        <w:pStyle w:val="3"/>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水污染防治重点工程。“十五五”规划项目共10个：屯昌县新吴溪重点流域水生态修复项目、屯昌县饮用水水源地安全保障能力提升及规范化建设工程、屯昌县入河排污口整治及规范化建设、屯昌县县域污水处理厂改扩建及配套管网工程（一期）、屯昌县主城区雨污水管网升级改造项目、屯昌县产城融合示范区（大同区）水系综合整治项目、屯昌县产城融合示范区污水处理厂及配套管网工程、雷公滩及良坡水厂改扩建工程、农村生活污水治理项目、高标准农田建设项目。</w:t>
      </w:r>
    </w:p>
    <w:p w14:paraId="358BAF95">
      <w:pPr>
        <w:pStyle w:val="3"/>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固废污染防治重点工程。“十五五”规划项目共</w:t>
      </w: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个：污泥处置中心项目、废弃农膜回收利用网络建设、屯昌循环经济产业示范区项目、屯昌县生活垃圾设备更新项目、动力电池回收利用中心、废旧家电拆解中心、海洋塑料清洗与改性造粒</w:t>
      </w:r>
      <w:r>
        <w:rPr>
          <w:rFonts w:hint="eastAsia"/>
          <w:color w:val="000000" w:themeColor="text1"/>
          <w:lang w:eastAsia="zh-CN"/>
          <w14:textFill>
            <w14:solidFill>
              <w14:schemeClr w14:val="tx1"/>
            </w14:solidFill>
          </w14:textFill>
        </w:rPr>
        <w:t>、石材废料循环利用中心</w:t>
      </w:r>
      <w:r>
        <w:rPr>
          <w:rFonts w:hint="eastAsia"/>
          <w:color w:val="000000" w:themeColor="text1"/>
          <w14:textFill>
            <w14:solidFill>
              <w14:schemeClr w14:val="tx1"/>
            </w14:solidFill>
          </w14:textFill>
        </w:rPr>
        <w:t>。</w:t>
      </w:r>
    </w:p>
    <w:p w14:paraId="329534D0">
      <w:pPr>
        <w:pStyle w:val="3"/>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生态建设和修复重点工程。“十五五”规划项目共6个：外来物种专项防控工程、屯昌县生态调查评估工程、海南省屯昌县新吴溪水土流失治理项目、新吴溪美丽河湖保护与建设项目、屯昌县生活垃圾填埋场生态治理工程、生态廊道建设工程。</w:t>
      </w:r>
    </w:p>
    <w:p w14:paraId="4CC080EF">
      <w:pPr>
        <w:pStyle w:val="3"/>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生态环境制度与信息化建设重点工程。“十五五”规划项目共6个：新吴溪（屯昌段）生态监测能力提升工程、生物多样性调查与监测工程、制定《屯昌县生态产品价值转化实施方案》、数字孪生水利工程、供水物联智能感知设备和信息化平台建设项目、地下排水物联智能感知设备和信息化平台建设项目。</w:t>
      </w:r>
    </w:p>
    <w:p w14:paraId="7A093EC7">
      <w:pPr>
        <w:pStyle w:val="3"/>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人居环境重点工程。“十五五”规划项目共2个：和美乡村建设项目、农村人居环境整治提升项目。</w:t>
      </w:r>
    </w:p>
    <w:p w14:paraId="08A3950C">
      <w:pPr>
        <w:pStyle w:val="4"/>
        <w:numPr>
          <w:ilvl w:val="1"/>
          <w:numId w:val="2"/>
        </w:numPr>
        <w:bidi w:val="0"/>
        <w:rPr>
          <w:rFonts w:hint="eastAsia"/>
          <w:color w:val="000000" w:themeColor="text1"/>
          <w:lang w:val="en-US" w:eastAsia="zh-CN"/>
          <w14:textFill>
            <w14:solidFill>
              <w14:schemeClr w14:val="tx1"/>
            </w14:solidFill>
          </w14:textFill>
        </w:rPr>
      </w:pPr>
      <w:bookmarkStart w:id="50" w:name="_Toc29237"/>
      <w:r>
        <w:rPr>
          <w:rFonts w:hint="eastAsia"/>
          <w:color w:val="000000" w:themeColor="text1"/>
          <w:lang w:val="en-US" w:eastAsia="zh-CN"/>
          <w14:textFill>
            <w14:solidFill>
              <w14:schemeClr w14:val="tx1"/>
            </w14:solidFill>
          </w14:textFill>
        </w:rPr>
        <w:t>投资估算及构成</w:t>
      </w:r>
      <w:bookmarkEnd w:id="50"/>
    </w:p>
    <w:p w14:paraId="738FC1BD">
      <w:pPr>
        <w:pStyle w:val="3"/>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表</w:t>
      </w: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-1至表</w:t>
      </w: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-6为屯昌县生态环境保护“十五五”规划项目清单。工程项目共</w:t>
      </w:r>
      <w:r>
        <w:rPr>
          <w:rFonts w:hint="eastAsia"/>
          <w:color w:val="000000" w:themeColor="text1"/>
          <w:lang w:val="en-US" w:eastAsia="zh-CN"/>
          <w14:textFill>
            <w14:solidFill>
              <w14:schemeClr w14:val="tx1"/>
            </w14:solidFill>
          </w14:textFill>
        </w:rPr>
        <w:t>41</w:t>
      </w:r>
      <w:r>
        <w:rPr>
          <w:rFonts w:hint="eastAsia"/>
          <w:color w:val="000000" w:themeColor="text1"/>
          <w:lang w:eastAsia="zh-CN"/>
          <w14:textFill>
            <w14:solidFill>
              <w14:schemeClr w14:val="tx1"/>
            </w14:solidFill>
          </w14:textFill>
        </w:rPr>
        <w:t>项</w:t>
      </w:r>
      <w:r>
        <w:rPr>
          <w:rFonts w:hint="eastAsia"/>
          <w:color w:val="000000" w:themeColor="text1"/>
          <w14:textFill>
            <w14:solidFill>
              <w14:schemeClr w14:val="tx1"/>
            </w14:solidFill>
          </w14:textFill>
        </w:rPr>
        <w:t>，预计总投资为</w:t>
      </w:r>
      <w:r>
        <w:rPr>
          <w:rFonts w:hint="eastAsia"/>
          <w:color w:val="000000" w:themeColor="text1"/>
          <w:lang w:val="en-US" w:eastAsia="zh-CN"/>
          <w14:textFill>
            <w14:solidFill>
              <w14:schemeClr w14:val="tx1"/>
            </w14:solidFill>
          </w14:textFill>
        </w:rPr>
        <w:t>1196215.87</w:t>
      </w:r>
      <w:r>
        <w:rPr>
          <w:rFonts w:hint="eastAsia"/>
          <w:color w:val="000000" w:themeColor="text1"/>
          <w14:textFill>
            <w14:solidFill>
              <w14:schemeClr w14:val="tx1"/>
            </w14:solidFill>
          </w14:textFill>
        </w:rPr>
        <w:t>万元，其中：</w:t>
      </w:r>
    </w:p>
    <w:p w14:paraId="79177399">
      <w:pPr>
        <w:pStyle w:val="3"/>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（1）应对气候变化</w:t>
      </w:r>
      <w:r>
        <w:rPr>
          <w:rFonts w:hint="eastAsia"/>
          <w:color w:val="000000" w:themeColor="text1"/>
          <w:lang w:eastAsia="zh-CN"/>
          <w14:textFill>
            <w14:solidFill>
              <w14:schemeClr w14:val="tx1"/>
            </w14:solidFill>
          </w14:textFill>
        </w:rPr>
        <w:t>与大气污染防治</w:t>
      </w:r>
      <w:r>
        <w:rPr>
          <w:rFonts w:hint="eastAsia"/>
          <w:color w:val="000000" w:themeColor="text1"/>
          <w14:textFill>
            <w14:solidFill>
              <w14:schemeClr w14:val="tx1"/>
            </w14:solidFill>
          </w14:textFill>
        </w:rPr>
        <w:t>重点工程项目</w:t>
      </w:r>
      <w:r>
        <w:rPr>
          <w:rFonts w:hint="eastAsia"/>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个，投资</w:t>
      </w:r>
      <w:r>
        <w:rPr>
          <w:rFonts w:hint="eastAsia"/>
          <w:color w:val="000000" w:themeColor="text1"/>
          <w:lang w:val="en-US" w:eastAsia="zh-CN"/>
          <w14:textFill>
            <w14:solidFill>
              <w14:schemeClr w14:val="tx1"/>
            </w14:solidFill>
          </w14:textFill>
        </w:rPr>
        <w:t>448686</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18</w:t>
      </w:r>
      <w:r>
        <w:rPr>
          <w:rFonts w:hint="eastAsia"/>
          <w:color w:val="000000" w:themeColor="text1"/>
          <w14:textFill>
            <w14:solidFill>
              <w14:schemeClr w14:val="tx1"/>
            </w14:solidFill>
          </w14:textFill>
        </w:rPr>
        <w:t>万元；</w:t>
      </w:r>
    </w:p>
    <w:p w14:paraId="140E27DF">
      <w:pPr>
        <w:pStyle w:val="3"/>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（2）水污染防治重点工程项目10个，投资</w:t>
      </w:r>
      <w:r>
        <w:rPr>
          <w:rFonts w:hint="eastAsia"/>
          <w:color w:val="000000" w:themeColor="text1"/>
          <w:lang w:val="en-US" w:eastAsia="zh-CN"/>
          <w14:textFill>
            <w14:solidFill>
              <w14:schemeClr w14:val="tx1"/>
            </w14:solidFill>
          </w14:textFill>
        </w:rPr>
        <w:t>237881.8</w:t>
      </w:r>
      <w:r>
        <w:rPr>
          <w:rFonts w:hint="eastAsia"/>
          <w:color w:val="000000" w:themeColor="text1"/>
          <w14:textFill>
            <w14:solidFill>
              <w14:schemeClr w14:val="tx1"/>
            </w14:solidFill>
          </w14:textFill>
        </w:rPr>
        <w:t>万元；</w:t>
      </w:r>
    </w:p>
    <w:p w14:paraId="7AA95817">
      <w:pPr>
        <w:pStyle w:val="3"/>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（3）固废污染防治重点工程项目</w:t>
      </w: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个，投资</w:t>
      </w:r>
      <w:r>
        <w:rPr>
          <w:rFonts w:hint="eastAsia"/>
          <w:color w:val="000000" w:themeColor="text1"/>
          <w:lang w:val="en-US" w:eastAsia="zh-CN"/>
          <w14:textFill>
            <w14:solidFill>
              <w14:schemeClr w14:val="tx1"/>
            </w14:solidFill>
          </w14:textFill>
        </w:rPr>
        <w:t>393147.89</w:t>
      </w:r>
      <w:r>
        <w:rPr>
          <w:rFonts w:hint="eastAsia"/>
          <w:color w:val="000000" w:themeColor="text1"/>
          <w14:textFill>
            <w14:solidFill>
              <w14:schemeClr w14:val="tx1"/>
            </w14:solidFill>
          </w14:textFill>
        </w:rPr>
        <w:t>万元；</w:t>
      </w:r>
    </w:p>
    <w:p w14:paraId="7C9C9AE1">
      <w:pPr>
        <w:pStyle w:val="3"/>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（4）生态建设和修复重点工程项目6个，投资49000.00万元；</w:t>
      </w:r>
    </w:p>
    <w:p w14:paraId="6A822FC3">
      <w:pPr>
        <w:pStyle w:val="3"/>
        <w:bidi w:val="0"/>
        <w:rPr>
          <w:rFonts w:hint="eastAsia" w:eastAsia="仿宋_GB2312"/>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（5）生态环境制度与信息化建设重点工程项目6个，投资2</w:t>
      </w:r>
      <w:r>
        <w:rPr>
          <w:rFonts w:hint="eastAsia"/>
          <w:color w:val="000000" w:themeColor="text1"/>
          <w:lang w:val="en-US" w:eastAsia="zh-CN"/>
          <w14:textFill>
            <w14:solidFill>
              <w14:schemeClr w14:val="tx1"/>
            </w14:solidFill>
          </w14:textFill>
        </w:rPr>
        <w:t>0000</w:t>
      </w:r>
      <w:r>
        <w:rPr>
          <w:rFonts w:hint="eastAsia"/>
          <w:color w:val="000000" w:themeColor="text1"/>
          <w14:textFill>
            <w14:solidFill>
              <w14:schemeClr w14:val="tx1"/>
            </w14:solidFill>
          </w14:textFill>
        </w:rPr>
        <w:t>.00万元</w:t>
      </w:r>
      <w:r>
        <w:rPr>
          <w:rFonts w:hint="eastAsia"/>
          <w:color w:val="000000" w:themeColor="text1"/>
          <w:lang w:eastAsia="zh-CN"/>
          <w14:textFill>
            <w14:solidFill>
              <w14:schemeClr w14:val="tx1"/>
            </w14:solidFill>
          </w14:textFill>
        </w:rPr>
        <w:t>；</w:t>
      </w:r>
    </w:p>
    <w:p w14:paraId="19BADFDF">
      <w:pPr>
        <w:pStyle w:val="3"/>
        <w:bidi w:val="0"/>
        <w:rPr>
          <w:rFonts w:hint="default"/>
          <w:color w:val="000000" w:themeColor="text1"/>
          <w:lang w:val="en-US" w:eastAsia="zh-CN"/>
          <w14:textFill>
            <w14:solidFill>
              <w14:schemeClr w14:val="tx1"/>
            </w14:solidFill>
          </w14:textFill>
        </w:rPr>
        <w:sectPr>
          <w:pgSz w:w="11906" w:h="16838"/>
          <w:pgMar w:top="1440" w:right="1440" w:bottom="1440" w:left="1440" w:header="851" w:footer="992" w:gutter="0"/>
          <w:pgNumType w:fmt="decimal"/>
          <w:cols w:space="425" w:num="1"/>
          <w:docGrid w:type="lines" w:linePitch="312" w:charSpace="0"/>
        </w:sectPr>
      </w:pPr>
      <w:r>
        <w:rPr>
          <w:rFonts w:hint="eastAsia"/>
          <w:color w:val="000000" w:themeColor="text1"/>
          <w14:textFill>
            <w14:solidFill>
              <w14:schemeClr w14:val="tx1"/>
            </w14:solidFill>
          </w14:textFill>
        </w:rPr>
        <w:t>（6）人居环境重点工程2个，投资47500.00万元。</w:t>
      </w:r>
    </w:p>
    <w:p w14:paraId="17D3CE92">
      <w:pPr>
        <w:pStyle w:val="25"/>
        <w:keepNext w:val="0"/>
        <w:keepLines w:val="0"/>
        <w:pageBreakBefore w:val="0"/>
        <w:widowControl w:val="0"/>
        <w:kinsoku/>
        <w:wordWrap/>
        <w:overflowPunct/>
        <w:topLinePunct w:val="0"/>
        <w:autoSpaceDE/>
        <w:autoSpaceDN/>
        <w:bidi w:val="0"/>
        <w:adjustRightInd/>
        <w:snapToGrid/>
        <w:textAlignment w:val="auto"/>
        <w:outlineLvl w:val="9"/>
        <w:rPr>
          <w:rFonts w:hint="default" w:eastAsia="仿宋_GB2312"/>
          <w:color w:val="181717" w:themeColor="background2" w:themeShade="1A"/>
          <w:lang w:val="en-US" w:eastAsia="zh-CN"/>
        </w:rPr>
      </w:pPr>
      <w:r>
        <w:rPr>
          <w:color w:val="181717" w:themeColor="background2" w:themeShade="1A"/>
        </w:rPr>
        <w:t>表</w:t>
      </w:r>
      <w:r>
        <w:rPr>
          <w:rFonts w:hint="eastAsia"/>
          <w:color w:val="181717" w:themeColor="background2" w:themeShade="1A"/>
          <w:lang w:val="en-US" w:eastAsia="zh-CN"/>
        </w:rPr>
        <w:t>10-1 “十五五”应对气候变化与大气污染防治重点工程</w:t>
      </w:r>
    </w:p>
    <w:tbl>
      <w:tblPr>
        <w:tblStyle w:val="20"/>
        <w:tblW w:w="505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0"/>
        <w:gridCol w:w="1760"/>
        <w:gridCol w:w="5402"/>
        <w:gridCol w:w="2700"/>
        <w:gridCol w:w="1669"/>
        <w:gridCol w:w="1246"/>
        <w:gridCol w:w="1530"/>
      </w:tblGrid>
      <w:tr w14:paraId="21086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74647">
            <w:pPr>
              <w:pStyle w:val="16"/>
              <w:bidi w:val="0"/>
              <w:rPr>
                <w:rFonts w:hint="eastAsia"/>
                <w:b/>
                <w:bCs/>
                <w:color w:val="181717" w:themeColor="background2" w:themeShade="1A"/>
              </w:rPr>
            </w:pPr>
            <w:r>
              <w:rPr>
                <w:rFonts w:hint="eastAsia"/>
                <w:b/>
                <w:bCs/>
                <w:color w:val="181717" w:themeColor="background2" w:themeShade="1A"/>
                <w:lang w:val="en-US" w:eastAsia="zh-CN"/>
              </w:rPr>
              <w:t>序号</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BC5E1">
            <w:pPr>
              <w:pStyle w:val="16"/>
              <w:bidi w:val="0"/>
              <w:rPr>
                <w:rFonts w:hint="eastAsia"/>
                <w:b/>
                <w:bCs/>
                <w:color w:val="181717" w:themeColor="background2" w:themeShade="1A"/>
              </w:rPr>
            </w:pPr>
            <w:r>
              <w:rPr>
                <w:rFonts w:hint="eastAsia"/>
                <w:b/>
                <w:bCs/>
                <w:color w:val="181717" w:themeColor="background2" w:themeShade="1A"/>
                <w:lang w:val="en-US" w:eastAsia="zh-CN"/>
              </w:rPr>
              <w:t>工程名称</w:t>
            </w:r>
          </w:p>
        </w:tc>
        <w:tc>
          <w:tcPr>
            <w:tcW w:w="17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EBDDB">
            <w:pPr>
              <w:pStyle w:val="16"/>
              <w:bidi w:val="0"/>
              <w:jc w:val="center"/>
              <w:rPr>
                <w:rFonts w:hint="eastAsia"/>
                <w:b/>
                <w:bCs/>
                <w:color w:val="181717" w:themeColor="background2" w:themeShade="1A"/>
              </w:rPr>
            </w:pPr>
            <w:r>
              <w:rPr>
                <w:rFonts w:hint="eastAsia"/>
                <w:b/>
                <w:bCs/>
                <w:color w:val="181717" w:themeColor="background2" w:themeShade="1A"/>
                <w:lang w:val="en-US" w:eastAsia="zh-CN"/>
              </w:rPr>
              <w:t>建设内容</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DDBE8">
            <w:pPr>
              <w:pStyle w:val="16"/>
              <w:bidi w:val="0"/>
              <w:jc w:val="center"/>
              <w:rPr>
                <w:rFonts w:hint="eastAsia"/>
                <w:b/>
                <w:bCs/>
                <w:color w:val="181717" w:themeColor="background2" w:themeShade="1A"/>
              </w:rPr>
            </w:pPr>
            <w:r>
              <w:rPr>
                <w:rFonts w:hint="eastAsia"/>
                <w:b/>
                <w:bCs/>
                <w:color w:val="181717" w:themeColor="background2" w:themeShade="1A"/>
                <w:lang w:val="en-US" w:eastAsia="zh-CN"/>
              </w:rPr>
              <w:t>策划依据</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12FFE">
            <w:pPr>
              <w:pStyle w:val="16"/>
              <w:bidi w:val="0"/>
              <w:rPr>
                <w:rFonts w:hint="eastAsia"/>
                <w:b/>
                <w:bCs/>
                <w:color w:val="181717" w:themeColor="background2" w:themeShade="1A"/>
              </w:rPr>
            </w:pPr>
            <w:r>
              <w:rPr>
                <w:rFonts w:hint="eastAsia"/>
                <w:b/>
                <w:bCs/>
                <w:color w:val="181717" w:themeColor="background2" w:themeShade="1A"/>
                <w:lang w:val="en-US" w:eastAsia="zh-CN"/>
              </w:rPr>
              <w:t>起止年限</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F5CED">
            <w:pPr>
              <w:pStyle w:val="16"/>
              <w:bidi w:val="0"/>
              <w:rPr>
                <w:rFonts w:hint="eastAsia"/>
                <w:b/>
                <w:bCs/>
                <w:color w:val="181717" w:themeColor="background2" w:themeShade="1A"/>
              </w:rPr>
            </w:pPr>
            <w:r>
              <w:rPr>
                <w:rFonts w:hint="eastAsia"/>
                <w:b/>
                <w:bCs/>
                <w:color w:val="181717" w:themeColor="background2" w:themeShade="1A"/>
                <w:lang w:val="en-US" w:eastAsia="zh-CN"/>
              </w:rPr>
              <w:t>投资预算（万元）</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1ED29">
            <w:pPr>
              <w:pStyle w:val="16"/>
              <w:bidi w:val="0"/>
              <w:rPr>
                <w:rFonts w:hint="eastAsia"/>
                <w:b/>
                <w:bCs/>
                <w:color w:val="181717" w:themeColor="background2" w:themeShade="1A"/>
              </w:rPr>
            </w:pPr>
            <w:r>
              <w:rPr>
                <w:rFonts w:hint="eastAsia"/>
                <w:b/>
                <w:bCs/>
                <w:color w:val="181717" w:themeColor="background2" w:themeShade="1A"/>
                <w:lang w:val="en-US" w:eastAsia="zh-CN"/>
              </w:rPr>
              <w:t>责任单位</w:t>
            </w:r>
          </w:p>
        </w:tc>
      </w:tr>
      <w:tr w14:paraId="4E254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B0317">
            <w:pPr>
              <w:pStyle w:val="16"/>
              <w:bidi w:val="0"/>
              <w:rPr>
                <w:rFonts w:hint="eastAsia" w:eastAsia="仿宋_GB2312"/>
                <w:color w:val="181717" w:themeColor="background2" w:themeShade="1A"/>
                <w:lang w:val="en-US" w:eastAsia="zh-CN"/>
              </w:rPr>
            </w:pPr>
            <w:r>
              <w:rPr>
                <w:rFonts w:hint="eastAsia"/>
                <w:color w:val="181717" w:themeColor="background2" w:themeShade="1A"/>
                <w:lang w:val="en-US" w:eastAsia="zh-CN"/>
              </w:rPr>
              <w:t>1</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20C20">
            <w:pPr>
              <w:pStyle w:val="16"/>
              <w:bidi w:val="0"/>
              <w:rPr>
                <w:rFonts w:hint="eastAsia"/>
                <w:color w:val="181717" w:themeColor="background2" w:themeShade="1A"/>
              </w:rPr>
            </w:pPr>
            <w:r>
              <w:rPr>
                <w:rFonts w:hint="eastAsia"/>
                <w:color w:val="181717" w:themeColor="background2" w:themeShade="1A"/>
                <w:lang w:val="en-US" w:eastAsia="zh-CN"/>
              </w:rPr>
              <w:t>生物质资源非电利用项目</w:t>
            </w:r>
          </w:p>
        </w:tc>
        <w:tc>
          <w:tcPr>
            <w:tcW w:w="17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A1DC7">
            <w:pPr>
              <w:pStyle w:val="16"/>
              <w:bidi w:val="0"/>
              <w:jc w:val="left"/>
              <w:rPr>
                <w:rFonts w:hint="eastAsia"/>
                <w:color w:val="181717" w:themeColor="background2" w:themeShade="1A"/>
              </w:rPr>
            </w:pPr>
            <w:r>
              <w:rPr>
                <w:rFonts w:hint="eastAsia"/>
                <w:color w:val="181717" w:themeColor="background2" w:themeShade="1A"/>
                <w:lang w:val="en-US" w:eastAsia="zh-CN"/>
              </w:rPr>
              <w:t>建设年处理秸秆、粪污、餐厨垃圾等有机废弃物11万吨，年产600万m³天然气，有机肥3万吨的“气肥联产”项目，规划用地约130亩，建设内容包括沼气发酵系统、固态有机肥生产线工程、畜禽粪污等农业废弃物收储运体系及附属设施，并协同配置病死畜禽处理工艺。</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7046F">
            <w:pPr>
              <w:pStyle w:val="16"/>
              <w:bidi w:val="0"/>
              <w:jc w:val="left"/>
              <w:rPr>
                <w:rFonts w:hint="eastAsia"/>
                <w:color w:val="181717" w:themeColor="background2" w:themeShade="1A"/>
              </w:rPr>
            </w:pPr>
            <w:r>
              <w:rPr>
                <w:rFonts w:hint="eastAsia"/>
                <w:color w:val="181717" w:themeColor="background2" w:themeShade="1A"/>
                <w:lang w:val="en-US" w:eastAsia="zh-CN"/>
              </w:rPr>
              <w:t>《国家能源局 生态环境部 农业农村部 国家乡村振兴局关于组织开展农村能源革命试点县建设的通知》（国能发新能〔2023〕23号）</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E97B7">
            <w:pPr>
              <w:pStyle w:val="16"/>
              <w:bidi w:val="0"/>
              <w:rPr>
                <w:rFonts w:hint="eastAsia"/>
                <w:color w:val="181717" w:themeColor="background2" w:themeShade="1A"/>
              </w:rPr>
            </w:pPr>
            <w:r>
              <w:rPr>
                <w:rFonts w:hint="eastAsia"/>
                <w:color w:val="181717" w:themeColor="background2" w:themeShade="1A"/>
                <w:lang w:val="en-US" w:eastAsia="zh-CN"/>
              </w:rPr>
              <w:t>2026-2027年</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85176">
            <w:pPr>
              <w:pStyle w:val="16"/>
              <w:bidi w:val="0"/>
              <w:rPr>
                <w:rFonts w:hint="eastAsia"/>
                <w:color w:val="181717" w:themeColor="background2" w:themeShade="1A"/>
              </w:rPr>
            </w:pPr>
            <w:r>
              <w:rPr>
                <w:rFonts w:hint="eastAsia"/>
                <w:color w:val="181717" w:themeColor="background2" w:themeShade="1A"/>
                <w:lang w:val="en-US" w:eastAsia="zh-CN"/>
              </w:rPr>
              <w:t>9000</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7AE42">
            <w:pPr>
              <w:pStyle w:val="16"/>
              <w:bidi w:val="0"/>
              <w:rPr>
                <w:rFonts w:hint="eastAsia"/>
                <w:color w:val="181717" w:themeColor="background2" w:themeShade="1A"/>
              </w:rPr>
            </w:pPr>
            <w:r>
              <w:rPr>
                <w:rFonts w:hint="eastAsia"/>
                <w:color w:val="181717" w:themeColor="background2" w:themeShade="1A"/>
                <w:lang w:val="en-US" w:eastAsia="zh-CN"/>
              </w:rPr>
              <w:t>县科工信局</w:t>
            </w:r>
          </w:p>
        </w:tc>
      </w:tr>
      <w:tr w14:paraId="45CDE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2B219">
            <w:pPr>
              <w:pStyle w:val="16"/>
              <w:bidi w:val="0"/>
              <w:rPr>
                <w:rFonts w:hint="eastAsia"/>
                <w:color w:val="181717" w:themeColor="background2" w:themeShade="1A"/>
              </w:rPr>
            </w:pPr>
            <w:r>
              <w:rPr>
                <w:rFonts w:hint="eastAsia"/>
                <w:color w:val="181717" w:themeColor="background2" w:themeShade="1A"/>
                <w:lang w:val="en-US" w:eastAsia="zh-CN"/>
              </w:rPr>
              <w:t>2</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1E670">
            <w:pPr>
              <w:pStyle w:val="16"/>
              <w:bidi w:val="0"/>
              <w:rPr>
                <w:rFonts w:hint="eastAsia"/>
                <w:color w:val="181717" w:themeColor="background2" w:themeShade="1A"/>
              </w:rPr>
            </w:pPr>
            <w:r>
              <w:rPr>
                <w:rFonts w:hint="eastAsia"/>
                <w:color w:val="181717" w:themeColor="background2" w:themeShade="1A"/>
                <w:lang w:val="en-US" w:eastAsia="zh-CN"/>
              </w:rPr>
              <w:t>低碳乡村源网荷储协同运行示范工程</w:t>
            </w:r>
          </w:p>
        </w:tc>
        <w:tc>
          <w:tcPr>
            <w:tcW w:w="17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5BFAE">
            <w:pPr>
              <w:pStyle w:val="16"/>
              <w:bidi w:val="0"/>
              <w:jc w:val="left"/>
              <w:rPr>
                <w:rFonts w:hint="eastAsia"/>
                <w:color w:val="181717" w:themeColor="background2" w:themeShade="1A"/>
              </w:rPr>
            </w:pPr>
            <w:r>
              <w:rPr>
                <w:rFonts w:hint="eastAsia"/>
                <w:color w:val="181717" w:themeColor="background2" w:themeShade="1A"/>
                <w:lang w:val="en-US" w:eastAsia="zh-CN"/>
              </w:rPr>
              <w:t>1.高效利用行政村的闲置屋顶、运动场所及产业设施资源，部署先进光伏技术实现最大化发电效能。2.配套分布式台区储能，协同光伏运行，通过削峰填谷优化电网负荷曲线、提升供电可靠性，同步开展构网型高效储能关键技术攻关；3.建设乡村智慧能源服务站，以充放电服务为核心，辅以专业团队提供设备诊断检修、节能技术推广，构建多元化能源补给节点。</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73EE4">
            <w:pPr>
              <w:pStyle w:val="16"/>
              <w:bidi w:val="0"/>
              <w:jc w:val="left"/>
              <w:rPr>
                <w:rFonts w:hint="eastAsia"/>
                <w:color w:val="181717" w:themeColor="background2" w:themeShade="1A"/>
              </w:rPr>
            </w:pPr>
            <w:r>
              <w:rPr>
                <w:rFonts w:hint="eastAsia"/>
                <w:color w:val="181717" w:themeColor="background2" w:themeShade="1A"/>
                <w:lang w:val="en-US" w:eastAsia="zh-CN"/>
              </w:rPr>
              <w:t>海南省人民政府关于印发《海南低碳岛建设方案》的通知（琼府〔2025〕37号）</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82221">
            <w:pPr>
              <w:pStyle w:val="16"/>
              <w:bidi w:val="0"/>
              <w:rPr>
                <w:rFonts w:hint="eastAsia"/>
                <w:color w:val="181717" w:themeColor="background2" w:themeShade="1A"/>
              </w:rPr>
            </w:pPr>
            <w:r>
              <w:rPr>
                <w:rFonts w:hint="eastAsia"/>
                <w:color w:val="181717" w:themeColor="background2" w:themeShade="1A"/>
                <w:lang w:val="en-US" w:eastAsia="zh-CN"/>
              </w:rPr>
              <w:t>2026-2028年</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A1621">
            <w:pPr>
              <w:pStyle w:val="16"/>
              <w:bidi w:val="0"/>
              <w:rPr>
                <w:rFonts w:hint="eastAsia"/>
                <w:color w:val="181717" w:themeColor="background2" w:themeShade="1A"/>
              </w:rPr>
            </w:pPr>
            <w:r>
              <w:rPr>
                <w:rFonts w:hint="eastAsia"/>
                <w:color w:val="181717" w:themeColor="background2" w:themeShade="1A"/>
                <w:lang w:val="en-US" w:eastAsia="zh-CN"/>
              </w:rPr>
              <w:t>3300</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C9230">
            <w:pPr>
              <w:pStyle w:val="16"/>
              <w:bidi w:val="0"/>
              <w:rPr>
                <w:rFonts w:hint="eastAsia"/>
                <w:color w:val="181717" w:themeColor="background2" w:themeShade="1A"/>
              </w:rPr>
            </w:pPr>
            <w:r>
              <w:rPr>
                <w:rFonts w:hint="eastAsia"/>
                <w:color w:val="181717" w:themeColor="background2" w:themeShade="1A"/>
                <w:lang w:val="en-US" w:eastAsia="zh-CN"/>
              </w:rPr>
              <w:t>县科工信局</w:t>
            </w:r>
          </w:p>
        </w:tc>
      </w:tr>
      <w:tr w14:paraId="2BB7F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8D4CD">
            <w:pPr>
              <w:pStyle w:val="16"/>
              <w:bidi w:val="0"/>
              <w:rPr>
                <w:rFonts w:hint="eastAsia"/>
                <w:color w:val="181717" w:themeColor="background2" w:themeShade="1A"/>
              </w:rPr>
            </w:pPr>
            <w:r>
              <w:rPr>
                <w:rFonts w:hint="eastAsia"/>
                <w:color w:val="181717" w:themeColor="background2" w:themeShade="1A"/>
                <w:lang w:val="en-US" w:eastAsia="zh-CN"/>
              </w:rPr>
              <w:t>3</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8253A">
            <w:pPr>
              <w:pStyle w:val="16"/>
              <w:bidi w:val="0"/>
              <w:rPr>
                <w:rFonts w:hint="eastAsia"/>
                <w:color w:val="181717" w:themeColor="background2" w:themeShade="1A"/>
              </w:rPr>
            </w:pPr>
            <w:r>
              <w:rPr>
                <w:rFonts w:hint="eastAsia"/>
                <w:color w:val="181717" w:themeColor="background2" w:themeShade="1A"/>
                <w:lang w:val="en-US" w:eastAsia="zh-CN"/>
              </w:rPr>
              <w:t>海南省屯昌县交能融合示范项目</w:t>
            </w:r>
          </w:p>
        </w:tc>
        <w:tc>
          <w:tcPr>
            <w:tcW w:w="17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F8477">
            <w:pPr>
              <w:pStyle w:val="16"/>
              <w:bidi w:val="0"/>
              <w:jc w:val="left"/>
              <w:rPr>
                <w:rFonts w:hint="eastAsia"/>
                <w:color w:val="181717" w:themeColor="background2" w:themeShade="1A"/>
              </w:rPr>
            </w:pPr>
            <w:r>
              <w:rPr>
                <w:rFonts w:hint="eastAsia"/>
                <w:color w:val="181717" w:themeColor="background2" w:themeShade="1A"/>
                <w:lang w:val="en-US" w:eastAsia="zh-CN"/>
              </w:rPr>
              <w:t>1.在各公共停车场（含规划）建设“光储充放”一体化充换电站（含场地硬化、基础服务场所）。结合公共停车场智慧化转型升级，构建“分布式光伏+储能+微电网”的交通能源系统；建立基于构网型技术的绿色交通应急电力系统，提高交通运输能源供应的安全性、可靠性；建设具备智能有序充电及V2G功能的快充和慢充；配建二轮/三轮充电桩，覆盖更多车型；提供充电设备检修、维护等服务，保障设施正常运行；建设V2G（车网互动）示范项目，探索新能源汽车与电网互动新模式。2.在矿区（坡心镇大月岭、南吕镇东岭、南坤镇长心岭等花岗岩矿区）建设新能源重卡充换电场站。结合矿区实际适度配建光伏、储能；为矿区新能源重卡提供充电、维护等一站式服务。</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BC825">
            <w:pPr>
              <w:pStyle w:val="16"/>
              <w:bidi w:val="0"/>
              <w:jc w:val="left"/>
              <w:rPr>
                <w:rFonts w:hint="eastAsia"/>
                <w:color w:val="181717" w:themeColor="background2" w:themeShade="1A"/>
              </w:rPr>
            </w:pPr>
            <w:r>
              <w:rPr>
                <w:rFonts w:hint="eastAsia"/>
                <w:color w:val="181717" w:themeColor="background2" w:themeShade="1A"/>
                <w:lang w:val="en-US" w:eastAsia="zh-CN"/>
              </w:rPr>
              <w:t>《中共中央 国务院关于加快经济社会发展全面绿色转型的意见》；《交通运输部等十部门关于推动交通运输与能源融合发展的指导意见》；《国家能源局综合司关于加强农村能源革命试点建设调度工作的通知》；《中国共产党海南省第八次代表大会上的报告》；《海南低碳岛建设方案》</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2386F">
            <w:pPr>
              <w:pStyle w:val="16"/>
              <w:bidi w:val="0"/>
              <w:rPr>
                <w:rFonts w:hint="eastAsia"/>
                <w:color w:val="181717" w:themeColor="background2" w:themeShade="1A"/>
              </w:rPr>
            </w:pPr>
            <w:r>
              <w:rPr>
                <w:rFonts w:hint="eastAsia"/>
                <w:color w:val="181717" w:themeColor="background2" w:themeShade="1A"/>
                <w:lang w:val="en-US" w:eastAsia="zh-CN"/>
              </w:rPr>
              <w:t>2025-2027年</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72D76">
            <w:pPr>
              <w:pStyle w:val="16"/>
              <w:bidi w:val="0"/>
              <w:rPr>
                <w:rFonts w:hint="eastAsia"/>
                <w:color w:val="181717" w:themeColor="background2" w:themeShade="1A"/>
              </w:rPr>
            </w:pPr>
            <w:r>
              <w:rPr>
                <w:rFonts w:hint="eastAsia"/>
                <w:color w:val="181717" w:themeColor="background2" w:themeShade="1A"/>
                <w:lang w:val="en-US" w:eastAsia="zh-CN"/>
              </w:rPr>
              <w:t>7000</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5B06A">
            <w:pPr>
              <w:pStyle w:val="16"/>
              <w:bidi w:val="0"/>
              <w:rPr>
                <w:rFonts w:hint="eastAsia"/>
                <w:color w:val="181717" w:themeColor="background2" w:themeShade="1A"/>
              </w:rPr>
            </w:pPr>
            <w:r>
              <w:rPr>
                <w:rFonts w:hint="eastAsia"/>
                <w:color w:val="181717" w:themeColor="background2" w:themeShade="1A"/>
                <w:lang w:val="en-US" w:eastAsia="zh-CN"/>
              </w:rPr>
              <w:t>县科工信局</w:t>
            </w:r>
          </w:p>
        </w:tc>
      </w:tr>
      <w:tr w14:paraId="09C48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41E1A">
            <w:pPr>
              <w:pStyle w:val="16"/>
              <w:bidi w:val="0"/>
              <w:rPr>
                <w:rFonts w:hint="eastAsia"/>
                <w:color w:val="181717" w:themeColor="background2" w:themeShade="1A"/>
              </w:rPr>
            </w:pPr>
            <w:r>
              <w:rPr>
                <w:rFonts w:hint="eastAsia"/>
                <w:color w:val="181717" w:themeColor="background2" w:themeShade="1A"/>
                <w:lang w:val="en-US" w:eastAsia="zh-CN"/>
              </w:rPr>
              <w:t>4</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9816B">
            <w:pPr>
              <w:pStyle w:val="16"/>
              <w:bidi w:val="0"/>
              <w:rPr>
                <w:rFonts w:hint="eastAsia"/>
                <w:color w:val="181717" w:themeColor="background2" w:themeShade="1A"/>
              </w:rPr>
            </w:pPr>
            <w:r>
              <w:rPr>
                <w:rFonts w:hint="eastAsia"/>
                <w:color w:val="181717" w:themeColor="background2" w:themeShade="1A"/>
                <w:lang w:val="en-US" w:eastAsia="zh-CN"/>
              </w:rPr>
              <w:t>工业绿色微电网（含衍生项目）</w:t>
            </w:r>
          </w:p>
        </w:tc>
        <w:tc>
          <w:tcPr>
            <w:tcW w:w="17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DF862">
            <w:pPr>
              <w:pStyle w:val="16"/>
              <w:bidi w:val="0"/>
              <w:jc w:val="left"/>
              <w:rPr>
                <w:rFonts w:hint="eastAsia"/>
                <w:color w:val="181717" w:themeColor="background2" w:themeShade="1A"/>
              </w:rPr>
            </w:pPr>
            <w:r>
              <w:rPr>
                <w:rFonts w:hint="eastAsia"/>
                <w:color w:val="181717" w:themeColor="background2" w:themeShade="1A"/>
                <w:lang w:val="en-US" w:eastAsia="zh-CN"/>
              </w:rPr>
              <w:t>围绕以下四个方面谋划并开展项目建设：1.开展分布式能源涉网技术研究，包括功率预测、自同步控制、震荡抑制、防孤岛保护等涉网技术攻关，形成企业标准；2.研发自主可控构网型逆变器技术，提升新能源对电力系统的主动支撑能力。3.研究新型混合通信及网络安全技术与分布式能源融合，实现“四可”支撑灵活互动；4.研制安全增强模块和流量摆渡网关，适配新型电力系统控制业务，降低成本、提高资源利用率。</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AC44F">
            <w:pPr>
              <w:pStyle w:val="16"/>
              <w:bidi w:val="0"/>
              <w:jc w:val="left"/>
              <w:rPr>
                <w:rFonts w:hint="eastAsia"/>
                <w:color w:val="181717" w:themeColor="background2" w:themeShade="1A"/>
              </w:rPr>
            </w:pPr>
            <w:r>
              <w:rPr>
                <w:rFonts w:hint="eastAsia"/>
                <w:color w:val="181717" w:themeColor="background2" w:themeShade="1A"/>
                <w:lang w:val="en-US" w:eastAsia="zh-CN"/>
              </w:rPr>
              <w:t>《海南省加快推进新型工业化实施方案》（琼发〔2024〕4号）</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ED425">
            <w:pPr>
              <w:pStyle w:val="16"/>
              <w:bidi w:val="0"/>
              <w:rPr>
                <w:rFonts w:hint="eastAsia"/>
                <w:color w:val="181717" w:themeColor="background2" w:themeShade="1A"/>
              </w:rPr>
            </w:pPr>
            <w:r>
              <w:rPr>
                <w:rFonts w:hint="eastAsia"/>
                <w:color w:val="181717" w:themeColor="background2" w:themeShade="1A"/>
                <w:lang w:val="en-US" w:eastAsia="zh-CN"/>
              </w:rPr>
              <w:t>2026-2030年</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47E2A">
            <w:pPr>
              <w:pStyle w:val="16"/>
              <w:bidi w:val="0"/>
              <w:rPr>
                <w:rFonts w:hint="default" w:eastAsia="仿宋_GB2312"/>
                <w:color w:val="181717" w:themeColor="background2" w:themeShade="1A"/>
                <w:lang w:val="en-US" w:eastAsia="zh-CN"/>
              </w:rPr>
            </w:pPr>
            <w:r>
              <w:rPr>
                <w:rFonts w:hint="eastAsia"/>
                <w:color w:val="181717" w:themeColor="background2" w:themeShade="1A"/>
                <w:lang w:val="en-US" w:eastAsia="zh-CN"/>
              </w:rPr>
              <w:t>14100</w:t>
            </w: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18950">
            <w:pPr>
              <w:pStyle w:val="16"/>
              <w:bidi w:val="0"/>
              <w:rPr>
                <w:rFonts w:hint="eastAsia"/>
                <w:color w:val="181717" w:themeColor="background2" w:themeShade="1A"/>
              </w:rPr>
            </w:pPr>
            <w:r>
              <w:rPr>
                <w:rFonts w:hint="eastAsia"/>
                <w:color w:val="181717" w:themeColor="background2" w:themeShade="1A"/>
                <w:lang w:val="en-US" w:eastAsia="zh-CN"/>
              </w:rPr>
              <w:t>县科工信局</w:t>
            </w:r>
          </w:p>
        </w:tc>
      </w:tr>
      <w:tr w14:paraId="39248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F0FF7">
            <w:pPr>
              <w:pStyle w:val="16"/>
              <w:rPr>
                <w:rFonts w:hint="default"/>
                <w:color w:val="181717" w:themeColor="background2" w:themeShade="1A"/>
                <w:lang w:val="en-US" w:eastAsia="zh-CN"/>
              </w:rPr>
            </w:pPr>
            <w:r>
              <w:rPr>
                <w:rFonts w:hint="eastAsia"/>
                <w:color w:val="181717" w:themeColor="background2" w:themeShade="1A"/>
                <w:lang w:val="en-US" w:eastAsia="zh-CN"/>
              </w:rPr>
              <w:t>5</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70389">
            <w:pPr>
              <w:pStyle w:val="16"/>
              <w:rPr>
                <w:rFonts w:hint="default"/>
                <w:color w:val="181717" w:themeColor="background2" w:themeShade="1A"/>
                <w:lang w:val="en-US" w:eastAsia="zh-CN"/>
              </w:rPr>
            </w:pPr>
            <w:r>
              <w:rPr>
                <w:rFonts w:hint="default"/>
                <w:color w:val="181717" w:themeColor="background2" w:themeShade="1A"/>
                <w:lang w:val="en-US" w:eastAsia="zh-CN"/>
              </w:rPr>
              <w:t>城乡排涝能力提升工程</w:t>
            </w:r>
          </w:p>
        </w:tc>
        <w:tc>
          <w:tcPr>
            <w:tcW w:w="17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BF70B">
            <w:pPr>
              <w:pStyle w:val="16"/>
              <w:jc w:val="left"/>
              <w:rPr>
                <w:rFonts w:hint="default"/>
                <w:color w:val="181717" w:themeColor="background2" w:themeShade="1A"/>
                <w:lang w:val="en-US" w:eastAsia="zh-CN"/>
              </w:rPr>
            </w:pPr>
            <w:r>
              <w:rPr>
                <w:rFonts w:hint="default"/>
                <w:color w:val="181717" w:themeColor="background2" w:themeShade="1A"/>
                <w:lang w:val="en-US" w:eastAsia="zh-CN"/>
              </w:rPr>
              <w:t>实施新吴溪涝区、青梯水涝区、西昌河涝区3个涝区11处涝片治理工程，包括新建撇洪沟8条，扩建撇洪沟1条，扩建排水沟，新建排水涵闸4座，新建排涝泵站6座，以及补充排水抢险车等应急物资储备，建立应急物资管理机制，加强应急队伍建设等。</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6B8EA">
            <w:pPr>
              <w:pStyle w:val="16"/>
              <w:jc w:val="left"/>
              <w:rPr>
                <w:rFonts w:hint="default"/>
                <w:color w:val="181717" w:themeColor="background2" w:themeShade="1A"/>
                <w:lang w:val="en-US" w:eastAsia="zh-CN"/>
              </w:rPr>
            </w:pPr>
            <w:r>
              <w:rPr>
                <w:rFonts w:hint="default"/>
                <w:color w:val="181717" w:themeColor="background2" w:themeShade="1A"/>
                <w:lang w:val="en-US" w:eastAsia="zh-CN"/>
              </w:rPr>
              <w:t>《海南省适应气候变化行动方案2035》（琼环科字〔2023〕16号）提出：推动适应型城市建设，保障设施安全运行</w:t>
            </w:r>
            <w:r>
              <w:rPr>
                <w:rFonts w:hint="default"/>
                <w:color w:val="181717" w:themeColor="background2" w:themeShade="1A"/>
                <w:lang w:val="en-US" w:eastAsia="zh-CN"/>
              </w:rPr>
              <w:br w:type="textWrapping"/>
            </w:r>
            <w:r>
              <w:rPr>
                <w:rFonts w:hint="default"/>
                <w:color w:val="181717" w:themeColor="background2" w:themeShade="1A"/>
                <w:lang w:val="en-US" w:eastAsia="zh-CN"/>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52F1B">
            <w:pPr>
              <w:pStyle w:val="16"/>
              <w:rPr>
                <w:rFonts w:hint="default"/>
                <w:color w:val="181717" w:themeColor="background2" w:themeShade="1A"/>
                <w:lang w:val="en-US" w:eastAsia="zh-CN"/>
              </w:rPr>
            </w:pPr>
            <w:r>
              <w:rPr>
                <w:rFonts w:hint="default"/>
                <w:color w:val="181717" w:themeColor="background2" w:themeShade="1A"/>
                <w:lang w:val="en-US" w:eastAsia="zh-CN"/>
              </w:rPr>
              <w:t>2028-2030年</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60765">
            <w:pPr>
              <w:pStyle w:val="16"/>
              <w:rPr>
                <w:rFonts w:hint="eastAsia"/>
                <w:color w:val="181717" w:themeColor="background2" w:themeShade="1A"/>
              </w:rPr>
            </w:pPr>
            <w:r>
              <w:rPr>
                <w:rFonts w:hint="default"/>
                <w:color w:val="181717" w:themeColor="background2" w:themeShade="1A"/>
                <w:lang w:val="en-US" w:eastAsia="zh-CN"/>
              </w:rPr>
              <w:t>42000</w:t>
            </w: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19247">
            <w:pPr>
              <w:pStyle w:val="16"/>
              <w:rPr>
                <w:rFonts w:hint="default"/>
                <w:color w:val="181717" w:themeColor="background2" w:themeShade="1A"/>
                <w:lang w:val="en-US" w:eastAsia="zh-CN"/>
              </w:rPr>
            </w:pPr>
            <w:r>
              <w:rPr>
                <w:rFonts w:hint="default"/>
                <w:color w:val="181717" w:themeColor="background2" w:themeShade="1A"/>
                <w:lang w:val="en-US" w:eastAsia="zh-CN"/>
              </w:rPr>
              <w:t>县水务局</w:t>
            </w:r>
          </w:p>
        </w:tc>
      </w:tr>
      <w:tr w14:paraId="36D96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8F422">
            <w:pPr>
              <w:pStyle w:val="16"/>
              <w:rPr>
                <w:rFonts w:hint="default"/>
                <w:color w:val="181717" w:themeColor="background2" w:themeShade="1A"/>
                <w:lang w:val="en-US" w:eastAsia="zh-CN"/>
              </w:rPr>
            </w:pPr>
            <w:r>
              <w:rPr>
                <w:rFonts w:hint="eastAsia"/>
                <w:color w:val="181717" w:themeColor="background2" w:themeShade="1A"/>
                <w:lang w:val="en-US" w:eastAsia="zh-CN"/>
              </w:rPr>
              <w:t>6</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74F27">
            <w:pPr>
              <w:pStyle w:val="16"/>
              <w:bidi w:val="0"/>
              <w:ind w:left="0" w:leftChars="0" w:firstLine="0" w:firstLineChars="0"/>
              <w:rPr>
                <w:rFonts w:hint="default" w:ascii="Times New Roman" w:hAnsi="Times New Roman" w:eastAsia="仿宋_GB2312" w:cstheme="minorBidi"/>
                <w:color w:val="181717" w:themeColor="background2" w:themeShade="1A"/>
                <w:kern w:val="2"/>
                <w:sz w:val="24"/>
                <w:szCs w:val="22"/>
                <w:lang w:val="en-US" w:eastAsia="zh-CN" w:bidi="ar-SA"/>
              </w:rPr>
            </w:pPr>
            <w:r>
              <w:rPr>
                <w:rFonts w:hint="eastAsia"/>
                <w:color w:val="181717" w:themeColor="background2" w:themeShade="1A"/>
                <w:lang w:val="en-US" w:eastAsia="zh-CN"/>
              </w:rPr>
              <w:t>屯昌县域新能源充电桩项目</w:t>
            </w:r>
          </w:p>
        </w:tc>
        <w:tc>
          <w:tcPr>
            <w:tcW w:w="17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CC447">
            <w:pPr>
              <w:pStyle w:val="16"/>
              <w:bidi w:val="0"/>
              <w:ind w:left="0" w:leftChars="0" w:firstLine="0" w:firstLineChars="0"/>
              <w:jc w:val="left"/>
              <w:rPr>
                <w:rFonts w:hint="default" w:ascii="Times New Roman" w:hAnsi="Times New Roman" w:eastAsia="仿宋_GB2312" w:cstheme="minorBidi"/>
                <w:color w:val="181717" w:themeColor="background2" w:themeShade="1A"/>
                <w:kern w:val="2"/>
                <w:sz w:val="24"/>
                <w:szCs w:val="22"/>
                <w:lang w:val="en-US" w:eastAsia="zh-CN" w:bidi="ar-SA"/>
              </w:rPr>
            </w:pPr>
            <w:r>
              <w:rPr>
                <w:rFonts w:hint="eastAsia"/>
                <w:color w:val="181717" w:themeColor="background2" w:themeShade="1A"/>
                <w:lang w:val="en-US" w:eastAsia="zh-CN"/>
              </w:rPr>
              <w:t>在屯昌县城及各镇公共区域、居民区（如新建住宅小区、老旧小区改造区域）、工业园区（如大同产业园）等场所，规划建设不同类型的新能源充电桩。</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48460">
            <w:pPr>
              <w:pStyle w:val="16"/>
              <w:bidi w:val="0"/>
              <w:ind w:left="0" w:leftChars="0" w:firstLine="0" w:firstLineChars="0"/>
              <w:jc w:val="left"/>
              <w:rPr>
                <w:rFonts w:hint="default" w:ascii="Times New Roman" w:hAnsi="Times New Roman" w:eastAsia="仿宋_GB2312" w:cstheme="minorBidi"/>
                <w:color w:val="181717" w:themeColor="background2" w:themeShade="1A"/>
                <w:kern w:val="2"/>
                <w:sz w:val="24"/>
                <w:szCs w:val="22"/>
                <w:lang w:val="en-US" w:eastAsia="zh-CN" w:bidi="ar-SA"/>
              </w:rPr>
            </w:pPr>
            <w:r>
              <w:rPr>
                <w:rFonts w:hint="eastAsia"/>
                <w:color w:val="181717" w:themeColor="background2" w:themeShade="1A"/>
                <w:lang w:val="en-US" w:eastAsia="zh-CN"/>
              </w:rPr>
              <w:t>《海南省屯昌县生态文明建设示范区规划（2025—2030年）》；</w:t>
            </w:r>
            <w:r>
              <w:rPr>
                <w:rFonts w:hint="eastAsia"/>
                <w:color w:val="181717" w:themeColor="background2" w:themeShade="1A"/>
                <w:lang w:val="en-US" w:eastAsia="zh-CN"/>
              </w:rPr>
              <w:br w:type="textWrapping"/>
            </w:r>
            <w:r>
              <w:rPr>
                <w:rFonts w:hint="eastAsia"/>
                <w:color w:val="181717" w:themeColor="background2" w:themeShade="1A"/>
                <w:lang w:val="en-US" w:eastAsia="zh-CN"/>
              </w:rPr>
              <w:t>海南省新能源汽车推广应用工作联席会议办公室关于印发《海南省新能源汽车推广中长期行动方案（2023-2030年）》的通知（琼新汽办〔2023〕11号）</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B9090">
            <w:pPr>
              <w:pStyle w:val="16"/>
              <w:bidi w:val="0"/>
              <w:ind w:left="0" w:leftChars="0" w:firstLine="0" w:firstLineChars="0"/>
              <w:rPr>
                <w:rFonts w:hint="default" w:ascii="Times New Roman" w:hAnsi="Times New Roman" w:eastAsia="仿宋_GB2312" w:cstheme="minorBidi"/>
                <w:color w:val="181717" w:themeColor="background2" w:themeShade="1A"/>
                <w:kern w:val="2"/>
                <w:sz w:val="24"/>
                <w:szCs w:val="22"/>
                <w:lang w:val="en-US" w:eastAsia="zh-CN" w:bidi="ar-SA"/>
              </w:rPr>
            </w:pPr>
            <w:r>
              <w:rPr>
                <w:rFonts w:hint="eastAsia"/>
                <w:color w:val="181717" w:themeColor="background2" w:themeShade="1A"/>
                <w:lang w:val="en-US" w:eastAsia="zh-CN"/>
              </w:rPr>
              <w:t>2025-2030年</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7E4B4">
            <w:pPr>
              <w:pStyle w:val="16"/>
              <w:bidi w:val="0"/>
              <w:ind w:left="0" w:leftChars="0" w:firstLine="0" w:firstLineChars="0"/>
              <w:rPr>
                <w:rFonts w:hint="default" w:ascii="Times New Roman" w:hAnsi="Times New Roman" w:eastAsia="仿宋_GB2312" w:cstheme="minorBidi"/>
                <w:color w:val="181717" w:themeColor="background2" w:themeShade="1A"/>
                <w:kern w:val="2"/>
                <w:sz w:val="24"/>
                <w:szCs w:val="22"/>
                <w:lang w:val="en-US" w:eastAsia="zh-CN" w:bidi="ar-SA"/>
              </w:rPr>
            </w:pPr>
            <w:r>
              <w:rPr>
                <w:rFonts w:hint="eastAsia"/>
                <w:color w:val="181717" w:themeColor="background2" w:themeShade="1A"/>
                <w:lang w:val="en-US" w:eastAsia="zh-CN"/>
              </w:rPr>
              <w:t>1000</w:t>
            </w: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397B5">
            <w:pPr>
              <w:pStyle w:val="16"/>
              <w:bidi w:val="0"/>
              <w:ind w:left="0" w:leftChars="0" w:firstLine="0" w:firstLineChars="0"/>
              <w:rPr>
                <w:rFonts w:hint="default" w:ascii="Times New Roman" w:hAnsi="Times New Roman" w:eastAsia="仿宋_GB2312" w:cstheme="minorBidi"/>
                <w:color w:val="181717" w:themeColor="background2" w:themeShade="1A"/>
                <w:kern w:val="2"/>
                <w:sz w:val="24"/>
                <w:szCs w:val="22"/>
                <w:lang w:val="en-US" w:eastAsia="zh-CN" w:bidi="ar-SA"/>
              </w:rPr>
            </w:pPr>
            <w:r>
              <w:rPr>
                <w:rFonts w:hint="eastAsia"/>
                <w:color w:val="181717" w:themeColor="background2" w:themeShade="1A"/>
                <w:lang w:val="en-US" w:eastAsia="zh-CN"/>
              </w:rPr>
              <w:t>屯发控公司</w:t>
            </w:r>
          </w:p>
        </w:tc>
      </w:tr>
      <w:tr w14:paraId="43165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74BAD">
            <w:pPr>
              <w:pStyle w:val="16"/>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7</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CCACA">
            <w:pPr>
              <w:pStyle w:val="16"/>
              <w:ind w:left="0" w:leftChars="0" w:firstLine="0" w:firstLineChars="0"/>
              <w:jc w:val="center"/>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stheme="minorBidi"/>
                <w:color w:val="000000" w:themeColor="text1"/>
                <w:kern w:val="2"/>
                <w:sz w:val="24"/>
                <w:szCs w:val="22"/>
                <w:lang w:val="en-US" w:eastAsia="zh-CN" w:bidi="ar-SA"/>
                <w14:textFill>
                  <w14:solidFill>
                    <w14:schemeClr w14:val="tx1"/>
                  </w14:solidFill>
                </w14:textFill>
              </w:rPr>
              <w:t>屯昌县绿色低碳循环经济产业园建设项目</w:t>
            </w:r>
          </w:p>
        </w:tc>
        <w:tc>
          <w:tcPr>
            <w:tcW w:w="17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7B47C">
            <w:pPr>
              <w:pStyle w:val="16"/>
              <w:ind w:left="0" w:leftChars="0" w:firstLine="0" w:firstLineChars="0"/>
              <w:jc w:val="left"/>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屯昌县“无废城市”建设基础设施项目，建设绿色分拣中心，建筑面积10040平方米；再生资源高值化利用基地，建筑面积130044平方米；建设道路、给排水管网等基础配套设施。</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704A0">
            <w:pPr>
              <w:pStyle w:val="16"/>
              <w:ind w:left="0" w:leftChars="0" w:firstLine="0" w:firstLineChars="0"/>
              <w:jc w:val="both"/>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《海南省深化推进 “无废岛” 建设工作方案（2025—2030 年）》</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BBBDB">
            <w:pPr>
              <w:pStyle w:val="16"/>
              <w:ind w:left="0" w:leftChars="0" w:firstLine="0" w:firstLineChars="0"/>
              <w:jc w:val="center"/>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202</w:t>
            </w:r>
            <w:r>
              <w:rPr>
                <w:rFonts w:hint="eastAsia"/>
                <w:color w:val="000000" w:themeColor="text1"/>
                <w:lang w:val="en-US" w:eastAsia="zh-CN"/>
                <w14:textFill>
                  <w14:solidFill>
                    <w14:schemeClr w14:val="tx1"/>
                  </w14:solidFill>
                </w14:textFill>
              </w:rPr>
              <w:t>6</w:t>
            </w:r>
            <w:r>
              <w:rPr>
                <w:rFonts w:hint="eastAsia" w:ascii="Times New Roman" w:hAnsi="Times New Roman"/>
                <w:color w:val="000000" w:themeColor="text1"/>
                <w:lang w:val="en-US" w:eastAsia="zh-CN"/>
                <w14:textFill>
                  <w14:solidFill>
                    <w14:schemeClr w14:val="tx1"/>
                  </w14:solidFill>
                </w14:textFill>
              </w:rPr>
              <w:t>-2030年</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7F763">
            <w:pPr>
              <w:pStyle w:val="16"/>
              <w:jc w:val="left"/>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137286.18</w:t>
            </w: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AD4D8">
            <w:pPr>
              <w:pStyle w:val="16"/>
              <w:ind w:left="0" w:leftChars="0" w:firstLine="0" w:firstLineChars="0"/>
              <w:jc w:val="left"/>
              <w:rPr>
                <w:rFonts w:hint="eastAsia" w:ascii="Times New Roman" w:hAnsi="Times New Roman" w:eastAsia="仿宋_GB2312" w:cstheme="minorBidi"/>
                <w:color w:val="000000" w:themeColor="text1"/>
                <w:kern w:val="2"/>
                <w:sz w:val="24"/>
                <w:szCs w:val="22"/>
                <w:lang w:val="en-US" w:eastAsia="zh-CN" w:bidi="ar-SA"/>
                <w14:textFill>
                  <w14:solidFill>
                    <w14:schemeClr w14:val="tx1"/>
                  </w14:solidFill>
                </w14:textFill>
              </w:rPr>
            </w:pPr>
            <w:r>
              <w:rPr>
                <w:rFonts w:hint="default"/>
                <w:color w:val="000000" w:themeColor="text1"/>
                <w:lang w:val="en-US" w:eastAsia="zh-CN"/>
                <w14:textFill>
                  <w14:solidFill>
                    <w14:schemeClr w14:val="tx1"/>
                  </w14:solidFill>
                </w14:textFill>
              </w:rPr>
              <w:t>县发展和改革委员会</w:t>
            </w:r>
          </w:p>
        </w:tc>
      </w:tr>
      <w:tr w14:paraId="1A3B6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1D423">
            <w:pPr>
              <w:pStyle w:val="16"/>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8</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39A5B">
            <w:pPr>
              <w:pStyle w:val="16"/>
              <w:bidi w:val="0"/>
              <w:ind w:left="0" w:leftChars="0" w:firstLine="0" w:firstLineChars="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屯昌县林木材精深加工产业园建设项目</w:t>
            </w:r>
          </w:p>
        </w:tc>
        <w:tc>
          <w:tcPr>
            <w:tcW w:w="17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43B10">
            <w:pPr>
              <w:pStyle w:val="16"/>
              <w:bidi w:val="0"/>
              <w:ind w:left="0" w:leftChars="0" w:firstLine="0" w:firstLineChars="0"/>
              <w:jc w:val="left"/>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建设园区配套基础设施，包括热电站、道路、给排水等配套设施。</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62D23">
            <w:pPr>
              <w:pStyle w:val="16"/>
              <w:bidi w:val="0"/>
              <w:ind w:left="0" w:leftChars="0" w:firstLine="0" w:firstLineChars="0"/>
              <w:jc w:val="left"/>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《屯昌县国民经济和社会发展第十五个五年规划纲要（2026-2030）》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94C30">
            <w:pPr>
              <w:pStyle w:val="16"/>
              <w:ind w:left="0" w:leftChars="0" w:firstLine="0" w:firstLineChars="0"/>
              <w:jc w:val="center"/>
              <w:rPr>
                <w:rFonts w:hint="eastAsia" w:ascii="Times New Roman" w:hAnsi="Times New Roman"/>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202</w:t>
            </w:r>
            <w:r>
              <w:rPr>
                <w:rFonts w:hint="eastAsia"/>
                <w:color w:val="000000" w:themeColor="text1"/>
                <w:lang w:val="en-US" w:eastAsia="zh-CN"/>
                <w14:textFill>
                  <w14:solidFill>
                    <w14:schemeClr w14:val="tx1"/>
                  </w14:solidFill>
                </w14:textFill>
              </w:rPr>
              <w:t>6</w:t>
            </w:r>
            <w:r>
              <w:rPr>
                <w:rFonts w:hint="eastAsia" w:ascii="Times New Roman" w:hAnsi="Times New Roman"/>
                <w:color w:val="000000" w:themeColor="text1"/>
                <w:lang w:val="en-US" w:eastAsia="zh-CN"/>
                <w14:textFill>
                  <w14:solidFill>
                    <w14:schemeClr w14:val="tx1"/>
                  </w14:solidFill>
                </w14:textFill>
              </w:rPr>
              <w:t>-2030年</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3F74D">
            <w:pPr>
              <w:pStyle w:val="16"/>
              <w:bidi w:val="0"/>
              <w:ind w:left="0" w:leftChars="0" w:firstLine="0" w:firstLineChars="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85000</w:t>
            </w: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993E0">
            <w:pPr>
              <w:pStyle w:val="16"/>
              <w:bidi w:val="0"/>
              <w:ind w:left="0" w:leftChars="0" w:firstLine="0" w:firstLineChars="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县资规局</w:t>
            </w:r>
          </w:p>
        </w:tc>
      </w:tr>
      <w:tr w14:paraId="6AB15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A72F8">
            <w:pPr>
              <w:pStyle w:val="16"/>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9</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BC6AC">
            <w:pPr>
              <w:pStyle w:val="16"/>
              <w:bidi w:val="0"/>
              <w:ind w:left="0" w:leftChars="0" w:firstLine="0" w:firstLineChars="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新型石材建材产业园建设项目</w:t>
            </w:r>
          </w:p>
        </w:tc>
        <w:tc>
          <w:tcPr>
            <w:tcW w:w="17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AFF04">
            <w:pPr>
              <w:pStyle w:val="16"/>
              <w:bidi w:val="0"/>
              <w:ind w:left="0" w:leftChars="0" w:firstLine="0" w:firstLineChars="0"/>
              <w:jc w:val="left"/>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建设内容主要包括项目用地收储、场地平整、园区道路、给排水、电力、污水处理等基础设施；建设新型建材生产及中试转化空间，重点承载绿色建材、环保砖、透水砖、人造石、再生骨料、机制砂等低碳建材转化功能；配套建设分布式光伏、储能、充电设施及源网荷储一体化系统。</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E2DD2">
            <w:pPr>
              <w:pStyle w:val="16"/>
              <w:bidi w:val="0"/>
              <w:ind w:left="0" w:leftChars="0" w:firstLine="0" w:firstLineChars="0"/>
              <w:jc w:val="left"/>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《屯昌县国民经济和社会发展第十五个五年规划纲要（2026-2030）》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1FBE1">
            <w:pPr>
              <w:pStyle w:val="16"/>
              <w:ind w:left="0" w:leftChars="0" w:firstLine="0" w:firstLineChars="0"/>
              <w:jc w:val="center"/>
              <w:rPr>
                <w:rFonts w:hint="eastAsia" w:ascii="Times New Roman" w:hAnsi="Times New Roman"/>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202</w:t>
            </w:r>
            <w:r>
              <w:rPr>
                <w:rFonts w:hint="eastAsia"/>
                <w:color w:val="000000" w:themeColor="text1"/>
                <w:lang w:val="en-US" w:eastAsia="zh-CN"/>
                <w14:textFill>
                  <w14:solidFill>
                    <w14:schemeClr w14:val="tx1"/>
                  </w14:solidFill>
                </w14:textFill>
              </w:rPr>
              <w:t>6</w:t>
            </w:r>
            <w:r>
              <w:rPr>
                <w:rFonts w:hint="eastAsia" w:ascii="Times New Roman" w:hAnsi="Times New Roman"/>
                <w:color w:val="000000" w:themeColor="text1"/>
                <w:lang w:val="en-US" w:eastAsia="zh-CN"/>
                <w14:textFill>
                  <w14:solidFill>
                    <w14:schemeClr w14:val="tx1"/>
                  </w14:solidFill>
                </w14:textFill>
              </w:rPr>
              <w:t>-2030年</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1A5E5">
            <w:pPr>
              <w:pStyle w:val="16"/>
              <w:bidi w:val="0"/>
              <w:ind w:left="0" w:leftChars="0" w:firstLine="0" w:firstLineChars="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150000</w:t>
            </w: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06DA0">
            <w:pPr>
              <w:pStyle w:val="16"/>
              <w:bidi w:val="0"/>
              <w:ind w:left="0" w:leftChars="0" w:firstLine="0" w:firstLineChars="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县科工信局</w:t>
            </w:r>
          </w:p>
        </w:tc>
      </w:tr>
    </w:tbl>
    <w:p w14:paraId="0919F688">
      <w:pPr>
        <w:pStyle w:val="2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color w:val="181717" w:themeColor="background2" w:themeShade="1A"/>
          <w:lang w:val="en-US" w:eastAsia="zh-CN"/>
        </w:rPr>
      </w:pPr>
    </w:p>
    <w:p w14:paraId="4FBC9192">
      <w:pPr>
        <w:pStyle w:val="2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color w:val="181717" w:themeColor="background2" w:themeShade="1A"/>
          <w:lang w:val="en-US" w:eastAsia="zh-CN"/>
        </w:rPr>
      </w:pPr>
    </w:p>
    <w:p w14:paraId="5BA91306">
      <w:pPr>
        <w:pStyle w:val="2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color w:val="181717" w:themeColor="background2" w:themeShade="1A"/>
          <w:lang w:val="en-US" w:eastAsia="zh-CN"/>
        </w:rPr>
      </w:pPr>
    </w:p>
    <w:p w14:paraId="25FCC0C0">
      <w:pPr>
        <w:pStyle w:val="2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color w:val="181717" w:themeColor="background2" w:themeShade="1A"/>
          <w:lang w:val="en-US" w:eastAsia="zh-CN"/>
        </w:rPr>
      </w:pPr>
    </w:p>
    <w:p w14:paraId="500BF5EA">
      <w:pPr>
        <w:pStyle w:val="2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color w:val="181717" w:themeColor="background2" w:themeShade="1A"/>
          <w:lang w:val="en-US" w:eastAsia="zh-CN"/>
        </w:rPr>
      </w:pPr>
    </w:p>
    <w:p w14:paraId="7B53C9E8">
      <w:pPr>
        <w:pStyle w:val="2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color w:val="181717" w:themeColor="background2" w:themeShade="1A"/>
          <w:lang w:val="en-US" w:eastAsia="zh-CN"/>
        </w:rPr>
      </w:pPr>
    </w:p>
    <w:p w14:paraId="2D718B42">
      <w:pPr>
        <w:pStyle w:val="2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color w:val="181717" w:themeColor="background2" w:themeShade="1A"/>
          <w:lang w:val="en-US" w:eastAsia="zh-CN"/>
        </w:rPr>
      </w:pPr>
    </w:p>
    <w:p w14:paraId="7401B889">
      <w:pPr>
        <w:pStyle w:val="2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color w:val="181717" w:themeColor="background2" w:themeShade="1A"/>
          <w:lang w:val="en-US" w:eastAsia="zh-CN"/>
        </w:rPr>
      </w:pPr>
      <w:r>
        <w:rPr>
          <w:rFonts w:hint="eastAsia"/>
          <w:color w:val="181717" w:themeColor="background2" w:themeShade="1A"/>
          <w:lang w:val="en-US" w:eastAsia="zh-CN"/>
        </w:rPr>
        <w:t>表10-2 “十五五”水污染防治重点工程</w:t>
      </w:r>
    </w:p>
    <w:tbl>
      <w:tblPr>
        <w:tblStyle w:val="20"/>
        <w:tblW w:w="502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5"/>
        <w:gridCol w:w="1758"/>
        <w:gridCol w:w="5418"/>
        <w:gridCol w:w="2692"/>
        <w:gridCol w:w="1384"/>
        <w:gridCol w:w="1261"/>
        <w:gridCol w:w="1710"/>
      </w:tblGrid>
      <w:tr w14:paraId="41F48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DFABC">
            <w:pPr>
              <w:pStyle w:val="16"/>
              <w:bidi w:val="0"/>
              <w:rPr>
                <w:rFonts w:hint="eastAsia"/>
                <w:b/>
                <w:bCs/>
                <w:color w:val="181717" w:themeColor="background2" w:themeShade="1A"/>
              </w:rPr>
            </w:pPr>
            <w:r>
              <w:rPr>
                <w:rFonts w:hint="eastAsia"/>
                <w:b/>
                <w:bCs/>
                <w:color w:val="181717" w:themeColor="background2" w:themeShade="1A"/>
                <w:lang w:val="en-US" w:eastAsia="zh-CN"/>
              </w:rPr>
              <w:t>序号</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4AA42">
            <w:pPr>
              <w:pStyle w:val="16"/>
              <w:bidi w:val="0"/>
              <w:rPr>
                <w:rFonts w:hint="eastAsia"/>
                <w:b/>
                <w:bCs/>
                <w:color w:val="181717" w:themeColor="background2" w:themeShade="1A"/>
              </w:rPr>
            </w:pPr>
            <w:r>
              <w:rPr>
                <w:rFonts w:hint="eastAsia"/>
                <w:b/>
                <w:bCs/>
                <w:color w:val="181717" w:themeColor="background2" w:themeShade="1A"/>
                <w:lang w:val="en-US" w:eastAsia="zh-CN"/>
              </w:rPr>
              <w:t>工程名称</w:t>
            </w:r>
          </w:p>
        </w:tc>
        <w:tc>
          <w:tcPr>
            <w:tcW w:w="1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7E594">
            <w:pPr>
              <w:pStyle w:val="16"/>
              <w:bidi w:val="0"/>
              <w:rPr>
                <w:rFonts w:hint="eastAsia"/>
                <w:b/>
                <w:bCs/>
                <w:color w:val="181717" w:themeColor="background2" w:themeShade="1A"/>
              </w:rPr>
            </w:pPr>
            <w:r>
              <w:rPr>
                <w:rFonts w:hint="eastAsia"/>
                <w:b/>
                <w:bCs/>
                <w:color w:val="181717" w:themeColor="background2" w:themeShade="1A"/>
                <w:lang w:val="en-US" w:eastAsia="zh-CN"/>
              </w:rPr>
              <w:t>建设内容</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B435E">
            <w:pPr>
              <w:pStyle w:val="16"/>
              <w:bidi w:val="0"/>
              <w:rPr>
                <w:rFonts w:hint="eastAsia"/>
                <w:b/>
                <w:bCs/>
                <w:color w:val="181717" w:themeColor="background2" w:themeShade="1A"/>
              </w:rPr>
            </w:pPr>
            <w:r>
              <w:rPr>
                <w:rFonts w:hint="eastAsia"/>
                <w:b/>
                <w:bCs/>
                <w:color w:val="181717" w:themeColor="background2" w:themeShade="1A"/>
                <w:lang w:val="en-US" w:eastAsia="zh-CN"/>
              </w:rPr>
              <w:t>策划依据</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A7B2B">
            <w:pPr>
              <w:pStyle w:val="16"/>
              <w:bidi w:val="0"/>
              <w:rPr>
                <w:rFonts w:hint="eastAsia"/>
                <w:b/>
                <w:bCs/>
                <w:color w:val="181717" w:themeColor="background2" w:themeShade="1A"/>
              </w:rPr>
            </w:pPr>
            <w:r>
              <w:rPr>
                <w:rFonts w:hint="eastAsia"/>
                <w:b/>
                <w:bCs/>
                <w:color w:val="181717" w:themeColor="background2" w:themeShade="1A"/>
                <w:lang w:val="en-US" w:eastAsia="zh-CN"/>
              </w:rPr>
              <w:t>起止年限</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8715C">
            <w:pPr>
              <w:pStyle w:val="16"/>
              <w:bidi w:val="0"/>
              <w:rPr>
                <w:rFonts w:hint="eastAsia"/>
                <w:b/>
                <w:bCs/>
                <w:color w:val="181717" w:themeColor="background2" w:themeShade="1A"/>
              </w:rPr>
            </w:pPr>
            <w:r>
              <w:rPr>
                <w:rFonts w:hint="eastAsia"/>
                <w:b/>
                <w:bCs/>
                <w:color w:val="181717" w:themeColor="background2" w:themeShade="1A"/>
                <w:lang w:val="en-US" w:eastAsia="zh-CN"/>
              </w:rPr>
              <w:t>投资预算（万元）</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03409">
            <w:pPr>
              <w:pStyle w:val="16"/>
              <w:bidi w:val="0"/>
              <w:rPr>
                <w:rFonts w:hint="eastAsia"/>
                <w:b/>
                <w:bCs/>
                <w:color w:val="181717" w:themeColor="background2" w:themeShade="1A"/>
              </w:rPr>
            </w:pPr>
            <w:r>
              <w:rPr>
                <w:rFonts w:hint="eastAsia"/>
                <w:b/>
                <w:bCs/>
                <w:color w:val="181717" w:themeColor="background2" w:themeShade="1A"/>
                <w:lang w:val="en-US" w:eastAsia="zh-CN"/>
              </w:rPr>
              <w:t>责任单位</w:t>
            </w:r>
          </w:p>
        </w:tc>
      </w:tr>
      <w:tr w14:paraId="0B5EC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A189F">
            <w:pPr>
              <w:pStyle w:val="16"/>
              <w:rPr>
                <w:rFonts w:hint="eastAsia"/>
                <w:color w:val="181717" w:themeColor="background2" w:themeShade="1A"/>
              </w:rPr>
            </w:pPr>
            <w:r>
              <w:rPr>
                <w:rFonts w:hint="eastAsia"/>
                <w:color w:val="181717" w:themeColor="background2" w:themeShade="1A"/>
                <w:lang w:val="en-US" w:eastAsia="zh-CN"/>
              </w:rPr>
              <w:t>1</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2C906">
            <w:pPr>
              <w:pStyle w:val="16"/>
              <w:bidi w:val="0"/>
              <w:jc w:val="left"/>
              <w:rPr>
                <w:rFonts w:hint="default"/>
                <w:color w:val="181717" w:themeColor="background2" w:themeShade="1A"/>
                <w:lang w:val="en-US" w:eastAsia="zh-CN"/>
              </w:rPr>
            </w:pPr>
            <w:r>
              <w:rPr>
                <w:rFonts w:hint="eastAsia"/>
                <w:color w:val="181717" w:themeColor="background2" w:themeShade="1A"/>
                <w:lang w:val="en-US" w:eastAsia="zh-CN"/>
              </w:rPr>
              <w:t>龙州河流域（屯昌段）农业面源污染治理工程</w:t>
            </w:r>
          </w:p>
          <w:p w14:paraId="48CD0452">
            <w:pPr>
              <w:pStyle w:val="16"/>
              <w:bidi w:val="0"/>
              <w:jc w:val="left"/>
              <w:rPr>
                <w:rFonts w:hint="eastAsia"/>
                <w:color w:val="181717" w:themeColor="background2" w:themeShade="1A"/>
                <w:lang w:val="en-US" w:eastAsia="zh-CN"/>
              </w:rPr>
            </w:pPr>
          </w:p>
        </w:tc>
        <w:tc>
          <w:tcPr>
            <w:tcW w:w="5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CD081">
            <w:pPr>
              <w:pStyle w:val="16"/>
              <w:bidi w:val="0"/>
              <w:jc w:val="left"/>
              <w:rPr>
                <w:rFonts w:hint="default"/>
                <w:color w:val="181717" w:themeColor="background2" w:themeShade="1A"/>
                <w:lang w:val="en-US" w:eastAsia="zh-CN"/>
              </w:rPr>
            </w:pPr>
            <w:r>
              <w:rPr>
                <w:rFonts w:hint="eastAsia"/>
                <w:color w:val="181717" w:themeColor="background2" w:themeShade="1A"/>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7620" cy="22860"/>
                  <wp:effectExtent l="0" t="0" r="11430" b="5715"/>
                  <wp:wrapNone/>
                  <wp:docPr id="5" name="图片_1"/>
                  <wp:cNvGraphicFramePr/>
                  <a:graphic xmlns:a="http://schemas.openxmlformats.org/drawingml/2006/main">
                    <a:graphicData uri="http://schemas.openxmlformats.org/drawingml/2006/picture">
                      <pic:pic xmlns:pic="http://schemas.openxmlformats.org/drawingml/2006/picture">
                        <pic:nvPicPr>
                          <pic:cNvPr id="5" name="图片_1"/>
                          <pic:cNvPicPr/>
                        </pic:nvPicPr>
                        <pic:blipFill>
                          <a:blip r:embed="rId14"/>
                          <a:stretch>
                            <a:fillRect/>
                          </a:stretch>
                        </pic:blipFill>
                        <pic:spPr>
                          <a:xfrm>
                            <a:off x="0" y="0"/>
                            <a:ext cx="7620" cy="22860"/>
                          </a:xfrm>
                          <a:prstGeom prst="rect">
                            <a:avLst/>
                          </a:prstGeom>
                          <a:noFill/>
                          <a:ln>
                            <a:noFill/>
                          </a:ln>
                        </pic:spPr>
                      </pic:pic>
                    </a:graphicData>
                  </a:graphic>
                </wp:anchor>
              </w:drawing>
            </w:r>
            <w:r>
              <w:rPr>
                <w:rFonts w:hint="eastAsia"/>
                <w:color w:val="181717" w:themeColor="background2" w:themeShade="1A"/>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7620" cy="30480"/>
                  <wp:effectExtent l="0" t="0" r="11430" b="7620"/>
                  <wp:wrapNone/>
                  <wp:docPr id="6" name="图片_2"/>
                  <wp:cNvGraphicFramePr/>
                  <a:graphic xmlns:a="http://schemas.openxmlformats.org/drawingml/2006/main">
                    <a:graphicData uri="http://schemas.openxmlformats.org/drawingml/2006/picture">
                      <pic:pic xmlns:pic="http://schemas.openxmlformats.org/drawingml/2006/picture">
                        <pic:nvPicPr>
                          <pic:cNvPr id="6" name="图片_2"/>
                          <pic:cNvPicPr/>
                        </pic:nvPicPr>
                        <pic:blipFill>
                          <a:blip r:embed="rId15"/>
                          <a:stretch>
                            <a:fillRect/>
                          </a:stretch>
                        </pic:blipFill>
                        <pic:spPr>
                          <a:xfrm>
                            <a:off x="0" y="0"/>
                            <a:ext cx="7620" cy="30480"/>
                          </a:xfrm>
                          <a:prstGeom prst="rect">
                            <a:avLst/>
                          </a:prstGeom>
                          <a:noFill/>
                          <a:ln>
                            <a:noFill/>
                          </a:ln>
                        </pic:spPr>
                      </pic:pic>
                    </a:graphicData>
                  </a:graphic>
                </wp:anchor>
              </w:drawing>
            </w:r>
            <w:r>
              <w:rPr>
                <w:rFonts w:hint="default"/>
                <w:color w:val="181717" w:themeColor="background2" w:themeShade="1A"/>
                <w:lang w:val="en-US" w:eastAsia="zh-CN"/>
              </w:rPr>
              <w:t>海南省屯昌县枫木镇北</w:t>
            </w:r>
            <w:r>
              <w:rPr>
                <w:rFonts w:hint="eastAsia"/>
                <w:color w:val="181717" w:themeColor="background2" w:themeShade="1A"/>
                <w:lang w:val="en-US" w:eastAsia="zh-CN"/>
              </w:rPr>
              <w:t>边</w:t>
            </w:r>
            <w:r>
              <w:rPr>
                <w:rFonts w:hint="default"/>
                <w:color w:val="181717" w:themeColor="background2" w:themeShade="1A"/>
                <w:lang w:val="en-US" w:eastAsia="zh-CN"/>
              </w:rPr>
              <w:t>、古史、后村、石岩、白石、红大岭、南台等村及良坡水库周边区域</w:t>
            </w:r>
            <w:r>
              <w:rPr>
                <w:rFonts w:hint="eastAsia"/>
                <w:color w:val="181717" w:themeColor="background2" w:themeShade="1A"/>
                <w:lang w:val="en-US" w:eastAsia="zh-CN"/>
              </w:rPr>
              <w:t>开展</w:t>
            </w:r>
            <w:r>
              <w:rPr>
                <w:rFonts w:hint="default"/>
                <w:color w:val="181717" w:themeColor="background2" w:themeShade="1A"/>
                <w:lang w:val="en-US" w:eastAsia="zh-CN"/>
              </w:rPr>
              <w:t>生态沟渠</w:t>
            </w:r>
            <w:r>
              <w:rPr>
                <w:rFonts w:hint="eastAsia"/>
                <w:color w:val="181717" w:themeColor="background2" w:themeShade="1A"/>
                <w:lang w:val="en-US" w:eastAsia="zh-CN"/>
              </w:rPr>
              <w:t>改造</w:t>
            </w:r>
            <w:r>
              <w:rPr>
                <w:rFonts w:hint="default"/>
                <w:color w:val="181717" w:themeColor="background2" w:themeShade="1A"/>
                <w:lang w:val="en-US" w:eastAsia="zh-CN"/>
              </w:rPr>
              <w:t>：总长</w:t>
            </w:r>
            <w:r>
              <w:rPr>
                <w:rFonts w:hint="eastAsia"/>
                <w:color w:val="181717" w:themeColor="background2" w:themeShade="1A"/>
                <w:lang w:val="en-US" w:eastAsia="zh-CN"/>
              </w:rPr>
              <w:t>29.33公里</w:t>
            </w:r>
            <w:r>
              <w:rPr>
                <w:rFonts w:hint="default"/>
                <w:color w:val="181717" w:themeColor="background2" w:themeShade="1A"/>
                <w:lang w:val="en-US" w:eastAsia="zh-CN"/>
              </w:rPr>
              <w:t>。生态塘</w:t>
            </w:r>
            <w:r>
              <w:rPr>
                <w:rFonts w:hint="eastAsia"/>
                <w:color w:val="181717" w:themeColor="background2" w:themeShade="1A"/>
                <w:lang w:val="en-US" w:eastAsia="zh-CN"/>
              </w:rPr>
              <w:t>建设</w:t>
            </w:r>
            <w:r>
              <w:rPr>
                <w:rFonts w:hint="default"/>
                <w:color w:val="181717" w:themeColor="background2" w:themeShade="1A"/>
                <w:lang w:val="en-US" w:eastAsia="zh-CN"/>
              </w:rPr>
              <w:t>：13个，总面积</w:t>
            </w:r>
            <w:r>
              <w:rPr>
                <w:rFonts w:hint="eastAsia"/>
                <w:color w:val="181717" w:themeColor="background2" w:themeShade="1A"/>
                <w:lang w:val="en-US" w:eastAsia="zh-CN"/>
              </w:rPr>
              <w:t>11.55</w:t>
            </w:r>
            <w:r>
              <w:rPr>
                <w:rFonts w:hint="default"/>
                <w:color w:val="181717" w:themeColor="background2" w:themeShade="1A"/>
                <w:lang w:val="en-US" w:eastAsia="zh-CN"/>
              </w:rPr>
              <w:t>万平方米。</w:t>
            </w:r>
          </w:p>
          <w:p w14:paraId="1A1996F5">
            <w:pPr>
              <w:pStyle w:val="16"/>
              <w:bidi w:val="0"/>
              <w:jc w:val="left"/>
              <w:rPr>
                <w:rFonts w:hint="eastAsia"/>
                <w:color w:val="181717" w:themeColor="background2" w:themeShade="1A"/>
                <w:lang w:val="en-US" w:eastAsia="zh-CN"/>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0EDBE">
            <w:pPr>
              <w:pStyle w:val="16"/>
              <w:jc w:val="left"/>
              <w:rPr>
                <w:rFonts w:hint="default"/>
                <w:color w:val="181717" w:themeColor="background2" w:themeShade="1A"/>
                <w:lang w:val="en-US" w:eastAsia="zh-CN"/>
              </w:rPr>
            </w:pPr>
            <w:r>
              <w:rPr>
                <w:rFonts w:hint="eastAsia"/>
                <w:color w:val="181717" w:themeColor="background2" w:themeShade="1A"/>
              </w:rPr>
              <w:t>《屯昌县国民经济和社会发展第十五个五年规划纲要》深化流域共治，落实南渡江联防联控机制，谋划推进万泉河流域（屯昌段）整治、迈湾水源地生态治理等生态治理、生态修复工程</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1561B">
            <w:pPr>
              <w:pStyle w:val="16"/>
              <w:rPr>
                <w:rFonts w:hint="eastAsia"/>
                <w:color w:val="181717" w:themeColor="background2" w:themeShade="1A"/>
              </w:rPr>
            </w:pPr>
            <w:r>
              <w:rPr>
                <w:rFonts w:hint="eastAsia"/>
                <w:color w:val="181717" w:themeColor="background2" w:themeShade="1A"/>
                <w:lang w:val="en-US" w:eastAsia="zh-CN"/>
              </w:rPr>
              <w:t>2027-2030年</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BA710">
            <w:pPr>
              <w:pStyle w:val="16"/>
              <w:rPr>
                <w:rFonts w:hint="eastAsia"/>
                <w:color w:val="181717" w:themeColor="background2" w:themeShade="1A"/>
              </w:rPr>
            </w:pPr>
            <w:r>
              <w:rPr>
                <w:rFonts w:hint="eastAsia" w:ascii="Times New Roman" w:hAnsi="Times New Roman" w:cs="Times New Roman"/>
                <w:color w:val="000000" w:themeColor="text1"/>
                <w:lang w:val="en-US" w:eastAsia="zh-CN"/>
                <w14:textFill>
                  <w14:solidFill>
                    <w14:schemeClr w14:val="tx1"/>
                  </w14:solidFill>
                </w14:textFill>
              </w:rPr>
              <w:t>2763.22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158A6">
            <w:pPr>
              <w:pStyle w:val="16"/>
              <w:rPr>
                <w:rFonts w:hint="eastAsia"/>
                <w:color w:val="181717" w:themeColor="background2" w:themeShade="1A"/>
              </w:rPr>
            </w:pPr>
            <w:r>
              <w:rPr>
                <w:rFonts w:hint="eastAsia"/>
                <w:color w:val="181717" w:themeColor="background2" w:themeShade="1A"/>
                <w:lang w:val="en-US" w:eastAsia="zh-CN"/>
              </w:rPr>
              <w:t>县生态环境局</w:t>
            </w:r>
          </w:p>
        </w:tc>
      </w:tr>
      <w:tr w14:paraId="7ED98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FF17D">
            <w:pPr>
              <w:pStyle w:val="16"/>
              <w:bidi w:val="0"/>
              <w:rPr>
                <w:rFonts w:hint="eastAsia"/>
                <w:color w:val="181717" w:themeColor="background2" w:themeShade="1A"/>
              </w:rPr>
            </w:pPr>
            <w:r>
              <w:rPr>
                <w:rFonts w:hint="eastAsia"/>
                <w:color w:val="181717" w:themeColor="background2" w:themeShade="1A"/>
                <w:lang w:val="en-US" w:eastAsia="zh-CN"/>
              </w:rPr>
              <w:t>2</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1D57F">
            <w:pPr>
              <w:pStyle w:val="16"/>
              <w:rPr>
                <w:rFonts w:hint="default"/>
                <w:color w:val="181717" w:themeColor="background2" w:themeShade="1A"/>
                <w:lang w:val="en-US" w:eastAsia="zh-CN"/>
              </w:rPr>
            </w:pPr>
            <w:r>
              <w:rPr>
                <w:rFonts w:hint="eastAsia"/>
                <w:color w:val="181717" w:themeColor="background2" w:themeShade="1A"/>
                <w:lang w:val="en-US" w:eastAsia="zh-CN"/>
              </w:rPr>
              <w:t>龙州河流域（屯昌段）水环境综合治理与水生态修复工程</w:t>
            </w:r>
          </w:p>
          <w:p w14:paraId="6BFD406E">
            <w:pPr>
              <w:pStyle w:val="16"/>
              <w:rPr>
                <w:rFonts w:hint="eastAsia"/>
                <w:color w:val="181717" w:themeColor="background2" w:themeShade="1A"/>
                <w:lang w:val="en-US" w:eastAsia="zh-CN"/>
              </w:rPr>
            </w:pPr>
          </w:p>
        </w:tc>
        <w:tc>
          <w:tcPr>
            <w:tcW w:w="1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CFC86">
            <w:pPr>
              <w:pStyle w:val="16"/>
              <w:jc w:val="left"/>
              <w:rPr>
                <w:rFonts w:hint="default"/>
                <w:color w:val="181717" w:themeColor="background2" w:themeShade="1A"/>
                <w:lang w:val="en-US" w:eastAsia="zh-CN"/>
              </w:rPr>
            </w:pPr>
            <w:r>
              <w:rPr>
                <w:rFonts w:hint="eastAsia"/>
                <w:color w:val="181717" w:themeColor="background2" w:themeShade="1A"/>
                <w:lang w:val="en-US" w:eastAsia="zh-CN"/>
              </w:rPr>
              <w:t>（1）</w:t>
            </w:r>
            <w:r>
              <w:rPr>
                <w:rFonts w:hint="default"/>
                <w:color w:val="181717" w:themeColor="background2" w:themeShade="1A"/>
                <w:lang w:val="en-US" w:eastAsia="zh-CN"/>
              </w:rPr>
              <w:t>饮用水源地规范化治理工程</w:t>
            </w:r>
            <w:r>
              <w:rPr>
                <w:rFonts w:hint="eastAsia"/>
                <w:color w:val="181717" w:themeColor="background2" w:themeShade="1A"/>
                <w:lang w:val="en-US" w:eastAsia="zh-CN"/>
              </w:rPr>
              <w:t>：</w:t>
            </w:r>
            <w:r>
              <w:rPr>
                <w:rFonts w:hint="default"/>
                <w:color w:val="181717" w:themeColor="background2" w:themeShade="1A"/>
                <w:lang w:val="en-US" w:eastAsia="zh-CN"/>
              </w:rPr>
              <w:t>开展良坡水库区、高山片区以及雷公滩片区饮用水源地的规范化治理。具体包括：新建及修缮宣传牌</w:t>
            </w:r>
            <w:r>
              <w:rPr>
                <w:rFonts w:hint="eastAsia"/>
                <w:color w:val="181717" w:themeColor="background2" w:themeShade="1A"/>
                <w:lang w:val="en-US" w:eastAsia="zh-CN"/>
              </w:rPr>
              <w:t>16</w:t>
            </w:r>
            <w:r>
              <w:rPr>
                <w:rFonts w:hint="default"/>
                <w:color w:val="181717" w:themeColor="background2" w:themeShade="1A"/>
                <w:lang w:val="en-US" w:eastAsia="zh-CN"/>
              </w:rPr>
              <w:t>块、界标28块、交通警示牌7</w:t>
            </w:r>
            <w:r>
              <w:rPr>
                <w:rFonts w:hint="eastAsia"/>
                <w:color w:val="181717" w:themeColor="background2" w:themeShade="1A"/>
                <w:lang w:val="en-US" w:eastAsia="zh-CN"/>
              </w:rPr>
              <w:t>个</w:t>
            </w:r>
            <w:r>
              <w:rPr>
                <w:rFonts w:hint="default"/>
                <w:color w:val="181717" w:themeColor="background2" w:themeShade="1A"/>
                <w:lang w:val="en-US" w:eastAsia="zh-CN"/>
              </w:rPr>
              <w:t>、界桩99座、保护隔离网800米、导流渠</w:t>
            </w:r>
            <w:r>
              <w:rPr>
                <w:rFonts w:hint="eastAsia"/>
                <w:color w:val="181717" w:themeColor="background2" w:themeShade="1A"/>
                <w:lang w:val="en-US" w:eastAsia="zh-CN"/>
              </w:rPr>
              <w:t>（</w:t>
            </w:r>
            <w:r>
              <w:rPr>
                <w:rFonts w:hint="default"/>
                <w:color w:val="181717" w:themeColor="background2" w:themeShade="1A"/>
                <w:lang w:val="en-US" w:eastAsia="zh-CN"/>
              </w:rPr>
              <w:t>沟</w:t>
            </w:r>
            <w:r>
              <w:rPr>
                <w:rFonts w:hint="eastAsia"/>
                <w:color w:val="181717" w:themeColor="background2" w:themeShade="1A"/>
                <w:lang w:val="en-US" w:eastAsia="zh-CN"/>
              </w:rPr>
              <w:t>）</w:t>
            </w:r>
            <w:r>
              <w:rPr>
                <w:rFonts w:hint="default"/>
                <w:color w:val="181717" w:themeColor="background2" w:themeShade="1A"/>
                <w:lang w:val="en-US" w:eastAsia="zh-CN"/>
              </w:rPr>
              <w:t>4720米，事故应急池3座。</w:t>
            </w:r>
          </w:p>
          <w:p w14:paraId="77F06BB3">
            <w:pPr>
              <w:pStyle w:val="16"/>
              <w:jc w:val="left"/>
              <w:rPr>
                <w:rFonts w:hint="eastAsia"/>
                <w:color w:val="181717" w:themeColor="background2" w:themeShade="1A"/>
              </w:rPr>
            </w:pPr>
            <w:r>
              <w:rPr>
                <w:rFonts w:hint="eastAsia"/>
                <w:color w:val="181717" w:themeColor="background2" w:themeShade="1A"/>
                <w:lang w:val="en-US" w:eastAsia="zh-CN"/>
              </w:rPr>
              <w:t>（2）</w:t>
            </w:r>
            <w:r>
              <w:rPr>
                <w:rFonts w:hint="default"/>
                <w:color w:val="181717" w:themeColor="background2" w:themeShade="1A"/>
                <w:lang w:val="en-US" w:eastAsia="zh-CN"/>
              </w:rPr>
              <w:t>内河湖生态治理工程</w:t>
            </w:r>
            <w:r>
              <w:rPr>
                <w:rFonts w:hint="eastAsia"/>
                <w:color w:val="181717" w:themeColor="background2" w:themeShade="1A"/>
                <w:lang w:val="en-US" w:eastAsia="zh-CN"/>
              </w:rPr>
              <w:t>：</w:t>
            </w:r>
            <w:r>
              <w:rPr>
                <w:rFonts w:hint="default"/>
                <w:color w:val="181717" w:themeColor="background2" w:themeShade="1A"/>
                <w:lang w:val="en-US" w:eastAsia="zh-CN"/>
              </w:rPr>
              <w:t>开展红花溪、吉安河、文赞湖河道生态治理。实施环保清淤15万m</w:t>
            </w:r>
            <w:r>
              <w:rPr>
                <w:rFonts w:hint="default"/>
                <w:color w:val="181717" w:themeColor="background2" w:themeShade="1A"/>
                <w:sz w:val="24"/>
                <w:vertAlign w:val="superscript"/>
                <w:lang w:val="en-US" w:eastAsia="zh-CN"/>
              </w:rPr>
              <w:t>3</w:t>
            </w:r>
            <w:r>
              <w:rPr>
                <w:rFonts w:hint="eastAsia"/>
                <w:color w:val="181717" w:themeColor="background2" w:themeShade="1A"/>
                <w:lang w:val="en-US" w:eastAsia="zh-CN"/>
              </w:rPr>
              <w:t>，</w:t>
            </w:r>
            <w:r>
              <w:rPr>
                <w:rFonts w:hint="default"/>
                <w:color w:val="181717" w:themeColor="background2" w:themeShade="1A"/>
                <w:lang w:val="en-US" w:eastAsia="zh-CN"/>
              </w:rPr>
              <w:t>建设生态浮岛</w:t>
            </w:r>
            <w:r>
              <w:rPr>
                <w:rFonts w:hint="eastAsia"/>
                <w:color w:val="181717" w:themeColor="background2" w:themeShade="1A"/>
                <w:lang w:val="en-US" w:eastAsia="zh-CN"/>
              </w:rPr>
              <w:t>2</w:t>
            </w:r>
            <w:r>
              <w:rPr>
                <w:rFonts w:hint="default"/>
                <w:color w:val="181717" w:themeColor="background2" w:themeShade="1A"/>
                <w:lang w:val="en-US" w:eastAsia="zh-CN"/>
              </w:rPr>
              <w:t>5套，修建生态岸坡长度3830米，恢复水生植被9.23万m</w:t>
            </w:r>
            <w:r>
              <w:rPr>
                <w:rFonts w:hint="default"/>
                <w:color w:val="181717" w:themeColor="background2" w:themeShade="1A"/>
                <w:sz w:val="24"/>
                <w:vertAlign w:val="superscript"/>
                <w:lang w:val="en-US" w:eastAsia="zh-CN"/>
              </w:rPr>
              <w:t>2</w:t>
            </w:r>
            <w:r>
              <w:rPr>
                <w:rFonts w:hint="default"/>
                <w:color w:val="181717" w:themeColor="background2" w:themeShade="1A"/>
                <w:lang w:val="en-US" w:eastAsia="zh-CN"/>
              </w:rPr>
              <w:t>。</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43A2C">
            <w:pPr>
              <w:pStyle w:val="16"/>
              <w:bidi w:val="0"/>
              <w:jc w:val="left"/>
              <w:rPr>
                <w:rFonts w:hint="eastAsia"/>
                <w:color w:val="181717" w:themeColor="background2" w:themeShade="1A"/>
              </w:rPr>
            </w:pPr>
            <w:r>
              <w:rPr>
                <w:rFonts w:hint="eastAsia"/>
                <w:color w:val="181717" w:themeColor="background2" w:themeShade="1A"/>
                <w:lang w:val="en-US" w:eastAsia="zh-CN"/>
              </w:rPr>
              <w:t>《屯昌县国民经济和社会发展第十五个五年规划纲要》中</w:t>
            </w:r>
            <w:r>
              <w:rPr>
                <w:rFonts w:hint="eastAsia"/>
                <w:color w:val="181717" w:themeColor="background2" w:themeShade="1A"/>
              </w:rPr>
              <w:t>屯昌县水环境综合治理与水生态修复工程</w:t>
            </w:r>
            <w:r>
              <w:rPr>
                <w:rFonts w:hint="eastAsia"/>
                <w:color w:val="181717" w:themeColor="background2" w:themeShade="1A"/>
                <w:lang w:val="en-US" w:eastAsia="zh-CN"/>
              </w:rPr>
              <w:t>要求</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33EAC">
            <w:pPr>
              <w:pStyle w:val="16"/>
              <w:bidi w:val="0"/>
              <w:rPr>
                <w:rFonts w:hint="default"/>
                <w:color w:val="181717" w:themeColor="background2" w:themeShade="1A"/>
                <w:lang w:val="en-US"/>
              </w:rPr>
            </w:pPr>
            <w:r>
              <w:rPr>
                <w:rFonts w:hint="eastAsia"/>
                <w:color w:val="181717" w:themeColor="background2" w:themeShade="1A"/>
                <w:lang w:val="en-US" w:eastAsia="zh-CN"/>
              </w:rPr>
              <w:t>2027年-2030年</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63BA1">
            <w:pPr>
              <w:pStyle w:val="16"/>
              <w:bidi w:val="0"/>
              <w:rPr>
                <w:rFonts w:hint="eastAsia"/>
                <w:color w:val="181717" w:themeColor="background2" w:themeShade="1A"/>
              </w:rPr>
            </w:pPr>
            <w:r>
              <w:rPr>
                <w:rFonts w:hint="eastAsia" w:cs="Times New Roman"/>
                <w:color w:val="auto"/>
                <w:highlight w:val="none"/>
                <w:lang w:val="en-US" w:eastAsia="zh-CN"/>
              </w:rPr>
              <w:t>4565.58</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6DE8B">
            <w:pPr>
              <w:pStyle w:val="16"/>
              <w:bidi w:val="0"/>
              <w:rPr>
                <w:rFonts w:hint="eastAsia"/>
                <w:color w:val="181717" w:themeColor="background2" w:themeShade="1A"/>
              </w:rPr>
            </w:pPr>
            <w:r>
              <w:rPr>
                <w:rFonts w:hint="eastAsia"/>
                <w:color w:val="181717" w:themeColor="background2" w:themeShade="1A"/>
                <w:lang w:val="en-US" w:eastAsia="zh-CN"/>
              </w:rPr>
              <w:t>县生态环境局</w:t>
            </w:r>
          </w:p>
        </w:tc>
      </w:tr>
      <w:tr w14:paraId="3100F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72F39">
            <w:pPr>
              <w:pStyle w:val="16"/>
              <w:bidi w:val="0"/>
              <w:rPr>
                <w:rFonts w:hint="eastAsia"/>
                <w:color w:val="auto"/>
              </w:rPr>
            </w:pPr>
            <w:r>
              <w:rPr>
                <w:rFonts w:hint="eastAsia"/>
                <w:color w:val="auto"/>
                <w:lang w:val="en-US" w:eastAsia="zh-CN"/>
              </w:rPr>
              <w:t>3</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F954D">
            <w:pPr>
              <w:pStyle w:val="16"/>
              <w:bidi w:val="0"/>
              <w:rPr>
                <w:rFonts w:hint="eastAsia"/>
                <w:color w:val="auto"/>
              </w:rPr>
            </w:pPr>
            <w:r>
              <w:rPr>
                <w:rFonts w:hint="eastAsia"/>
                <w:color w:val="auto"/>
                <w:lang w:val="en-US" w:eastAsia="zh-CN"/>
              </w:rPr>
              <w:t>屯昌县入河排污口整治及规范化建设</w:t>
            </w:r>
          </w:p>
        </w:tc>
        <w:tc>
          <w:tcPr>
            <w:tcW w:w="1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7B5CB">
            <w:pPr>
              <w:pStyle w:val="16"/>
              <w:bidi w:val="0"/>
              <w:jc w:val="left"/>
              <w:rPr>
                <w:rFonts w:hint="eastAsia"/>
                <w:color w:val="auto"/>
              </w:rPr>
            </w:pPr>
            <w:r>
              <w:rPr>
                <w:rFonts w:hint="eastAsia"/>
                <w:color w:val="auto"/>
                <w:lang w:val="en-US" w:eastAsia="zh-CN"/>
              </w:rPr>
              <w:t>开展入河排污口整治，分类推进入河排污口规范整治的要求，对新吴溪流域未完成整治的排污口进行整治及规范化建设。</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D3F7C">
            <w:pPr>
              <w:pStyle w:val="16"/>
              <w:bidi w:val="0"/>
              <w:jc w:val="left"/>
              <w:rPr>
                <w:rFonts w:hint="eastAsia"/>
                <w:color w:val="auto"/>
              </w:rPr>
            </w:pPr>
            <w:r>
              <w:rPr>
                <w:rFonts w:hint="eastAsia"/>
                <w:color w:val="auto"/>
                <w:lang w:val="en-US" w:eastAsia="zh-CN"/>
              </w:rPr>
              <w:t>《谱写新征程美丽海南新篇章争当美丽中国示范样板实施方案》（琼发〔2024〕8号）</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6DB9A">
            <w:pPr>
              <w:pStyle w:val="16"/>
              <w:bidi w:val="0"/>
              <w:rPr>
                <w:rFonts w:hint="default"/>
                <w:color w:val="auto"/>
                <w:lang w:val="en-US"/>
              </w:rPr>
            </w:pPr>
            <w:r>
              <w:rPr>
                <w:rFonts w:hint="eastAsia"/>
                <w:color w:val="181717" w:themeColor="background2" w:themeShade="1A"/>
                <w:lang w:val="en-US" w:eastAsia="zh-CN"/>
              </w:rPr>
              <w:t>2027年-2030年</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A6F5A">
            <w:pPr>
              <w:pStyle w:val="16"/>
              <w:bidi w:val="0"/>
              <w:rPr>
                <w:rFonts w:hint="eastAsia"/>
                <w:color w:val="auto"/>
              </w:rPr>
            </w:pPr>
            <w:r>
              <w:rPr>
                <w:rFonts w:hint="eastAsia"/>
                <w:color w:val="auto"/>
                <w:lang w:val="en-US" w:eastAsia="zh-CN"/>
              </w:rPr>
              <w:t>800</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BCA5F">
            <w:pPr>
              <w:pStyle w:val="16"/>
              <w:bidi w:val="0"/>
              <w:rPr>
                <w:rFonts w:hint="eastAsia"/>
                <w:color w:val="auto"/>
              </w:rPr>
            </w:pPr>
            <w:r>
              <w:rPr>
                <w:rFonts w:hint="eastAsia"/>
                <w:color w:val="auto"/>
                <w:lang w:val="en-US" w:eastAsia="zh-CN"/>
              </w:rPr>
              <w:t>县生态环境局</w:t>
            </w:r>
          </w:p>
        </w:tc>
      </w:tr>
      <w:tr w14:paraId="01ADE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2F100">
            <w:pPr>
              <w:pStyle w:val="16"/>
              <w:bidi w:val="0"/>
              <w:rPr>
                <w:rFonts w:hint="eastAsia"/>
                <w:color w:val="181717" w:themeColor="background2" w:themeShade="1A"/>
              </w:rPr>
            </w:pPr>
            <w:r>
              <w:rPr>
                <w:rFonts w:hint="eastAsia"/>
                <w:color w:val="181717" w:themeColor="background2" w:themeShade="1A"/>
                <w:lang w:val="en-US" w:eastAsia="zh-CN"/>
              </w:rPr>
              <w:t>4</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30B32">
            <w:pPr>
              <w:pStyle w:val="16"/>
              <w:bidi w:val="0"/>
              <w:rPr>
                <w:rFonts w:hint="eastAsia"/>
                <w:color w:val="181717" w:themeColor="background2" w:themeShade="1A"/>
              </w:rPr>
            </w:pPr>
            <w:r>
              <w:rPr>
                <w:rFonts w:hint="eastAsia"/>
                <w:color w:val="181717" w:themeColor="background2" w:themeShade="1A"/>
                <w:lang w:val="en-US" w:eastAsia="zh-CN"/>
              </w:rPr>
              <w:t>屯昌县县域污水处理厂改扩建及配套管网工程（一期）</w:t>
            </w:r>
          </w:p>
        </w:tc>
        <w:tc>
          <w:tcPr>
            <w:tcW w:w="1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3BF00">
            <w:pPr>
              <w:pStyle w:val="16"/>
              <w:bidi w:val="0"/>
              <w:jc w:val="left"/>
              <w:rPr>
                <w:rFonts w:hint="eastAsia"/>
                <w:color w:val="181717" w:themeColor="background2" w:themeShade="1A"/>
              </w:rPr>
            </w:pPr>
            <w:r>
              <w:rPr>
                <w:rFonts w:hint="eastAsia"/>
                <w:color w:val="181717" w:themeColor="background2" w:themeShade="1A"/>
                <w:lang w:val="en-US" w:eastAsia="zh-CN"/>
              </w:rPr>
              <w:t>完善3个镇域污水收集处理系统，其中乌坡镇污水厂规模由400m³/d扩至800m³/d，新建4座一体化污水提升泵站，规模分别为150、60、20、30m³/d，配套约12.2km污水管道、0.5km雨水盖板沟。枫木镇污水处理厂提标至一级A标准，配套5km南吕农场管网改造。新兴镇新建3座一体化污水提升泵站，规模分别为20、15、10m³/d，铺设6206m各类污水管线（渠），拓宽/清淤各290m盖板沟（B*H=250*250mm）</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DF894">
            <w:pPr>
              <w:pStyle w:val="16"/>
              <w:bidi w:val="0"/>
              <w:jc w:val="left"/>
              <w:rPr>
                <w:rFonts w:hint="eastAsia"/>
                <w:color w:val="181717" w:themeColor="background2" w:themeShade="1A"/>
              </w:rPr>
            </w:pPr>
            <w:r>
              <w:rPr>
                <w:rFonts w:hint="eastAsia"/>
                <w:color w:val="181717" w:themeColor="background2" w:themeShade="1A"/>
                <w:lang w:eastAsia="zh-CN"/>
              </w:rPr>
              <w:t>《</w:t>
            </w:r>
            <w:r>
              <w:rPr>
                <w:rFonts w:hint="eastAsia"/>
                <w:color w:val="181717" w:themeColor="background2" w:themeShade="1A"/>
              </w:rPr>
              <w:t>屯昌县水安全保障总体规划方案（2026-2030年）</w:t>
            </w:r>
            <w:r>
              <w:rPr>
                <w:rFonts w:hint="eastAsia"/>
                <w:color w:val="181717" w:themeColor="background2" w:themeShade="1A"/>
                <w:lang w:eastAsia="zh-CN"/>
              </w:rPr>
              <w:t>》</w:t>
            </w:r>
            <w:r>
              <w:rPr>
                <w:rFonts w:hint="eastAsia"/>
                <w:color w:val="181717" w:themeColor="background2" w:themeShade="1A"/>
                <w:lang w:val="en-US" w:eastAsia="zh-CN"/>
              </w:rPr>
              <w:t>草案</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0D3F0">
            <w:pPr>
              <w:pStyle w:val="16"/>
              <w:bidi w:val="0"/>
              <w:rPr>
                <w:rFonts w:hint="eastAsia"/>
                <w:color w:val="181717" w:themeColor="background2" w:themeShade="1A"/>
              </w:rPr>
            </w:pPr>
            <w:r>
              <w:rPr>
                <w:rFonts w:hint="eastAsia"/>
                <w:color w:val="181717" w:themeColor="background2" w:themeShade="1A"/>
                <w:lang w:val="en-US" w:eastAsia="zh-CN"/>
              </w:rPr>
              <w:t>2026-2030年</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79EF4">
            <w:pPr>
              <w:pStyle w:val="16"/>
              <w:bidi w:val="0"/>
              <w:rPr>
                <w:rFonts w:hint="default"/>
                <w:color w:val="181717" w:themeColor="background2" w:themeShade="1A"/>
                <w:lang w:val="en-US"/>
              </w:rPr>
            </w:pPr>
            <w:r>
              <w:rPr>
                <w:rFonts w:hint="eastAsia"/>
                <w:color w:val="181717" w:themeColor="background2" w:themeShade="1A"/>
                <w:lang w:val="en-US" w:eastAsia="zh-CN"/>
              </w:rPr>
              <w:t>7030</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4DA5F">
            <w:pPr>
              <w:pStyle w:val="16"/>
              <w:bidi w:val="0"/>
              <w:rPr>
                <w:rFonts w:hint="eastAsia"/>
                <w:color w:val="181717" w:themeColor="background2" w:themeShade="1A"/>
              </w:rPr>
            </w:pPr>
            <w:r>
              <w:rPr>
                <w:rFonts w:hint="eastAsia"/>
                <w:color w:val="181717" w:themeColor="background2" w:themeShade="1A"/>
                <w:lang w:val="en-US" w:eastAsia="zh-CN"/>
              </w:rPr>
              <w:t>县水务局</w:t>
            </w:r>
          </w:p>
        </w:tc>
      </w:tr>
      <w:tr w14:paraId="6B5B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F88B7">
            <w:pPr>
              <w:pStyle w:val="16"/>
              <w:bidi w:val="0"/>
              <w:rPr>
                <w:rFonts w:hint="eastAsia"/>
                <w:color w:val="181717" w:themeColor="background2" w:themeShade="1A"/>
              </w:rPr>
            </w:pPr>
            <w:r>
              <w:rPr>
                <w:rFonts w:hint="eastAsia"/>
                <w:color w:val="181717" w:themeColor="background2" w:themeShade="1A"/>
                <w:lang w:val="en-US" w:eastAsia="zh-CN"/>
              </w:rPr>
              <w:t>5</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2BCC4">
            <w:pPr>
              <w:pStyle w:val="16"/>
              <w:bidi w:val="0"/>
              <w:rPr>
                <w:rFonts w:hint="eastAsia"/>
                <w:color w:val="181717" w:themeColor="background2" w:themeShade="1A"/>
              </w:rPr>
            </w:pPr>
            <w:r>
              <w:rPr>
                <w:rFonts w:hint="eastAsia"/>
                <w:color w:val="181717" w:themeColor="background2" w:themeShade="1A"/>
                <w:lang w:val="en-US" w:eastAsia="zh-CN"/>
              </w:rPr>
              <w:t>屯昌县主城区雨污水管网升级改造项目</w:t>
            </w:r>
          </w:p>
        </w:tc>
        <w:tc>
          <w:tcPr>
            <w:tcW w:w="1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6043A">
            <w:pPr>
              <w:pStyle w:val="16"/>
              <w:bidi w:val="0"/>
              <w:jc w:val="left"/>
              <w:rPr>
                <w:rFonts w:hint="eastAsia"/>
                <w:color w:val="181717" w:themeColor="background2" w:themeShade="1A"/>
              </w:rPr>
            </w:pPr>
            <w:r>
              <w:rPr>
                <w:rFonts w:hint="eastAsia"/>
                <w:color w:val="181717" w:themeColor="background2" w:themeShade="1A"/>
                <w:lang w:val="en-US" w:eastAsia="zh-CN"/>
              </w:rPr>
              <w:t>（1）修复改建：修缮DN600-DN1000雨水管/方沟约6.4km、DN300雨水连管2.5km，修复雨水检查井956座、DN400-DN500污水管9.1km及污水检查井216座；（2）雨污分流改造：新建DN600-DN1200雨水管10.2km、连管8.0km及检查井610座；新建DN500污水管1.7km、检查井120座、截流井10座，整改58处混接点；（3）管道清淤：清淤雨水管/方沟11.2km、污水管5.9 km；（4）接户完善：新增DN110-DN200入户管15.5km。</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5201B">
            <w:pPr>
              <w:pStyle w:val="16"/>
              <w:bidi w:val="0"/>
              <w:jc w:val="left"/>
              <w:rPr>
                <w:rFonts w:hint="eastAsia"/>
                <w:color w:val="181717" w:themeColor="background2" w:themeShade="1A"/>
              </w:rPr>
            </w:pPr>
            <w:r>
              <w:rPr>
                <w:rFonts w:hint="eastAsia"/>
                <w:color w:val="181717" w:themeColor="background2" w:themeShade="1A"/>
                <w:lang w:eastAsia="zh-CN"/>
              </w:rPr>
              <w:t>《</w:t>
            </w:r>
            <w:r>
              <w:rPr>
                <w:rFonts w:hint="eastAsia"/>
                <w:color w:val="181717" w:themeColor="background2" w:themeShade="1A"/>
              </w:rPr>
              <w:t>屯昌县水安全保障总体规划方案（2026-2030年）</w:t>
            </w:r>
            <w:r>
              <w:rPr>
                <w:rFonts w:hint="eastAsia"/>
                <w:color w:val="181717" w:themeColor="background2" w:themeShade="1A"/>
                <w:lang w:eastAsia="zh-CN"/>
              </w:rPr>
              <w:t>》</w:t>
            </w:r>
            <w:r>
              <w:rPr>
                <w:rFonts w:hint="eastAsia"/>
                <w:color w:val="181717" w:themeColor="background2" w:themeShade="1A"/>
                <w:lang w:val="en-US" w:eastAsia="zh-CN"/>
              </w:rPr>
              <w:t>草案</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05578">
            <w:pPr>
              <w:pStyle w:val="16"/>
              <w:bidi w:val="0"/>
              <w:rPr>
                <w:rFonts w:hint="eastAsia"/>
                <w:color w:val="181717" w:themeColor="background2" w:themeShade="1A"/>
              </w:rPr>
            </w:pPr>
            <w:r>
              <w:rPr>
                <w:rFonts w:hint="eastAsia"/>
                <w:color w:val="181717" w:themeColor="background2" w:themeShade="1A"/>
                <w:lang w:val="en-US" w:eastAsia="zh-CN"/>
              </w:rPr>
              <w:t>2026-2027年</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E8238">
            <w:pPr>
              <w:pStyle w:val="16"/>
              <w:bidi w:val="0"/>
              <w:rPr>
                <w:rFonts w:hint="default"/>
                <w:color w:val="181717" w:themeColor="background2" w:themeShade="1A"/>
                <w:lang w:val="en-US"/>
              </w:rPr>
            </w:pPr>
            <w:r>
              <w:rPr>
                <w:rFonts w:hint="eastAsia"/>
                <w:color w:val="181717" w:themeColor="background2" w:themeShade="1A"/>
                <w:lang w:val="en-US" w:eastAsia="zh-CN"/>
              </w:rPr>
              <w:t>24723</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F81FE">
            <w:pPr>
              <w:pStyle w:val="16"/>
              <w:bidi w:val="0"/>
              <w:rPr>
                <w:rFonts w:hint="eastAsia"/>
                <w:color w:val="181717" w:themeColor="background2" w:themeShade="1A"/>
              </w:rPr>
            </w:pPr>
            <w:r>
              <w:rPr>
                <w:rFonts w:hint="eastAsia"/>
                <w:color w:val="181717" w:themeColor="background2" w:themeShade="1A"/>
                <w:lang w:val="en-US" w:eastAsia="zh-CN"/>
              </w:rPr>
              <w:t>县水务局</w:t>
            </w:r>
          </w:p>
        </w:tc>
      </w:tr>
      <w:tr w14:paraId="5B6D9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719BC">
            <w:pPr>
              <w:pStyle w:val="16"/>
              <w:rPr>
                <w:rFonts w:hint="default"/>
                <w:color w:val="181717" w:themeColor="background2" w:themeShade="1A"/>
                <w:lang w:val="en-US" w:eastAsia="zh-CN"/>
              </w:rPr>
            </w:pPr>
            <w:r>
              <w:rPr>
                <w:rFonts w:hint="eastAsia"/>
                <w:color w:val="181717" w:themeColor="background2" w:themeShade="1A"/>
                <w:lang w:val="en-US" w:eastAsia="zh-CN"/>
              </w:rPr>
              <w:t>6</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7E1AE">
            <w:pPr>
              <w:pStyle w:val="16"/>
              <w:rPr>
                <w:rFonts w:hint="default"/>
                <w:color w:val="181717" w:themeColor="background2" w:themeShade="1A"/>
                <w:lang w:val="en-US" w:eastAsia="zh-CN"/>
              </w:rPr>
            </w:pPr>
            <w:r>
              <w:rPr>
                <w:rFonts w:hint="default"/>
                <w:color w:val="181717" w:themeColor="background2" w:themeShade="1A"/>
                <w:lang w:val="en-US" w:eastAsia="zh-CN"/>
              </w:rPr>
              <w:t>屯昌县产城融合示范区（大同区）水系综合整治项目</w:t>
            </w:r>
          </w:p>
        </w:tc>
        <w:tc>
          <w:tcPr>
            <w:tcW w:w="1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94AE5">
            <w:pPr>
              <w:pStyle w:val="16"/>
              <w:jc w:val="left"/>
              <w:rPr>
                <w:rFonts w:hint="default"/>
                <w:color w:val="181717" w:themeColor="background2" w:themeShade="1A"/>
                <w:lang w:val="en-US" w:eastAsia="zh-CN"/>
              </w:rPr>
            </w:pPr>
            <w:r>
              <w:rPr>
                <w:rFonts w:hint="default"/>
                <w:color w:val="181717" w:themeColor="background2" w:themeShade="1A"/>
                <w:lang w:val="en-US" w:eastAsia="zh-CN"/>
              </w:rPr>
              <w:t>包括大同水库渠道改线工程、三发沟治理工程、水石沟治理工程及应急工程等。大同水库渠道改线工程改线渠道约2.1km；三发沟治理工程治理河长约4.3km，堤防护岸约8.6km；水石沟治理工程治理河长约3.0km，堤防护岸约6.0km；应急工程治理河长约1.0km，堤防护岸约2km。</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5931F">
            <w:pPr>
              <w:pStyle w:val="16"/>
              <w:jc w:val="left"/>
              <w:rPr>
                <w:rFonts w:hint="default"/>
                <w:color w:val="181717" w:themeColor="background2" w:themeShade="1A"/>
                <w:lang w:val="en-US" w:eastAsia="zh-CN"/>
              </w:rPr>
            </w:pPr>
            <w:r>
              <w:rPr>
                <w:rFonts w:hint="default"/>
                <w:color w:val="181717" w:themeColor="background2" w:themeShade="1A"/>
                <w:lang w:eastAsia="zh-CN"/>
              </w:rPr>
              <w:t>《</w:t>
            </w:r>
            <w:r>
              <w:rPr>
                <w:rFonts w:hint="eastAsia"/>
                <w:color w:val="181717" w:themeColor="background2" w:themeShade="1A"/>
              </w:rPr>
              <w:t>屯昌县水安全保障总体规划方案（2026-2030年）</w:t>
            </w:r>
            <w:r>
              <w:rPr>
                <w:rFonts w:hint="default"/>
                <w:color w:val="181717" w:themeColor="background2" w:themeShade="1A"/>
                <w:lang w:eastAsia="zh-CN"/>
              </w:rPr>
              <w:t>》</w:t>
            </w:r>
            <w:r>
              <w:rPr>
                <w:rFonts w:hint="default"/>
                <w:color w:val="181717" w:themeColor="background2" w:themeShade="1A"/>
                <w:lang w:val="en-US" w:eastAsia="zh-CN"/>
              </w:rPr>
              <w:t>草案</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1DAFA">
            <w:pPr>
              <w:pStyle w:val="16"/>
              <w:rPr>
                <w:rFonts w:hint="default"/>
                <w:color w:val="181717" w:themeColor="background2" w:themeShade="1A"/>
                <w:lang w:val="en-US" w:eastAsia="zh-CN"/>
              </w:rPr>
            </w:pPr>
            <w:r>
              <w:rPr>
                <w:rFonts w:hint="default"/>
                <w:color w:val="181717" w:themeColor="background2" w:themeShade="1A"/>
                <w:lang w:val="en-US" w:eastAsia="zh-CN"/>
              </w:rPr>
              <w:t>2027-2030年</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CE8BD">
            <w:pPr>
              <w:pStyle w:val="16"/>
              <w:rPr>
                <w:rFonts w:hint="default"/>
                <w:color w:val="181717" w:themeColor="background2" w:themeShade="1A"/>
                <w:lang w:val="en-US" w:eastAsia="zh-CN"/>
              </w:rPr>
            </w:pPr>
            <w:r>
              <w:rPr>
                <w:rFonts w:hint="default"/>
                <w:color w:val="181717" w:themeColor="background2" w:themeShade="1A"/>
                <w:lang w:val="en-US" w:eastAsia="zh-CN"/>
              </w:rPr>
              <w:t>71000</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1BF41">
            <w:pPr>
              <w:pStyle w:val="16"/>
              <w:rPr>
                <w:rFonts w:hint="default"/>
                <w:color w:val="181717" w:themeColor="background2" w:themeShade="1A"/>
                <w:lang w:val="en-US" w:eastAsia="zh-CN"/>
              </w:rPr>
            </w:pPr>
            <w:r>
              <w:rPr>
                <w:rFonts w:hint="default"/>
                <w:color w:val="181717" w:themeColor="background2" w:themeShade="1A"/>
                <w:lang w:val="en-US" w:eastAsia="zh-CN"/>
              </w:rPr>
              <w:t>县水务局</w:t>
            </w:r>
          </w:p>
        </w:tc>
      </w:tr>
      <w:tr w14:paraId="34027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F9975">
            <w:pPr>
              <w:pStyle w:val="16"/>
              <w:bidi w:val="0"/>
              <w:rPr>
                <w:rFonts w:hint="eastAsia"/>
                <w:color w:val="181717" w:themeColor="background2" w:themeShade="1A"/>
              </w:rPr>
            </w:pPr>
            <w:r>
              <w:rPr>
                <w:rFonts w:hint="eastAsia"/>
                <w:color w:val="181717" w:themeColor="background2" w:themeShade="1A"/>
                <w:lang w:val="en-US" w:eastAsia="zh-CN"/>
              </w:rPr>
              <w:t>7</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6CECF">
            <w:pPr>
              <w:pStyle w:val="16"/>
              <w:bidi w:val="0"/>
              <w:rPr>
                <w:rFonts w:hint="eastAsia"/>
                <w:color w:val="181717" w:themeColor="background2" w:themeShade="1A"/>
              </w:rPr>
            </w:pPr>
            <w:r>
              <w:rPr>
                <w:rFonts w:hint="eastAsia"/>
                <w:color w:val="181717" w:themeColor="background2" w:themeShade="1A"/>
                <w:lang w:val="en-US" w:eastAsia="zh-CN"/>
              </w:rPr>
              <w:t>屯昌县产城融合示范区污水处理厂及配套管网工程</w:t>
            </w:r>
          </w:p>
        </w:tc>
        <w:tc>
          <w:tcPr>
            <w:tcW w:w="1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64F90">
            <w:pPr>
              <w:pStyle w:val="16"/>
              <w:bidi w:val="0"/>
              <w:jc w:val="left"/>
              <w:rPr>
                <w:rFonts w:hint="eastAsia" w:ascii="Times New Roman" w:hAnsi="Times New Roman"/>
                <w:color w:val="181717" w:themeColor="background2" w:themeShade="1A"/>
                <w:lang w:val="en-US" w:eastAsia="zh-CN"/>
              </w:rPr>
            </w:pPr>
            <w:r>
              <w:rPr>
                <w:rFonts w:hint="eastAsia"/>
                <w:color w:val="181717" w:themeColor="background2" w:themeShade="1A"/>
              </w:rPr>
              <w:t>屯昌县产城融合示范区污水</w:t>
            </w:r>
            <w:r>
              <w:rPr>
                <w:rFonts w:hint="eastAsia"/>
                <w:color w:val="181717" w:themeColor="background2" w:themeShade="1A"/>
                <w:lang w:eastAsia="zh-CN"/>
              </w:rPr>
              <w:t>处理</w:t>
            </w:r>
            <w:r>
              <w:rPr>
                <w:rFonts w:hint="eastAsia"/>
                <w:color w:val="181717" w:themeColor="background2" w:themeShade="1A"/>
              </w:rPr>
              <w:t>厂项目，包括新建污水处理厂1座（总规模3.0万m³/d）及其配套污水管网，其中本次实施1.5万m³/d，配套污水管网建设约29km，泵站1座。</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6DD26">
            <w:pPr>
              <w:pStyle w:val="16"/>
              <w:bidi w:val="0"/>
              <w:jc w:val="left"/>
              <w:rPr>
                <w:rFonts w:hint="eastAsia" w:ascii="Times New Roman" w:hAnsi="Times New Roman"/>
                <w:color w:val="181717" w:themeColor="background2" w:themeShade="1A"/>
                <w:lang w:val="en-US" w:eastAsia="zh-CN"/>
              </w:rPr>
            </w:pPr>
            <w:r>
              <w:rPr>
                <w:rFonts w:hint="eastAsia"/>
                <w:color w:val="181717" w:themeColor="background2" w:themeShade="1A"/>
                <w:lang w:eastAsia="zh-CN"/>
              </w:rPr>
              <w:t>《</w:t>
            </w:r>
            <w:r>
              <w:rPr>
                <w:rFonts w:hint="eastAsia"/>
                <w:color w:val="181717" w:themeColor="background2" w:themeShade="1A"/>
              </w:rPr>
              <w:t>屯昌县水安全保障总体规划方案（2026-2030年）</w:t>
            </w:r>
            <w:r>
              <w:rPr>
                <w:rFonts w:hint="eastAsia"/>
                <w:color w:val="181717" w:themeColor="background2" w:themeShade="1A"/>
                <w:lang w:eastAsia="zh-CN"/>
              </w:rPr>
              <w:t>》</w:t>
            </w:r>
            <w:r>
              <w:rPr>
                <w:rFonts w:hint="eastAsia"/>
                <w:color w:val="181717" w:themeColor="background2" w:themeShade="1A"/>
                <w:lang w:val="en-US" w:eastAsia="zh-CN"/>
              </w:rPr>
              <w:t>草案</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F178B">
            <w:pPr>
              <w:pStyle w:val="16"/>
              <w:bidi w:val="0"/>
              <w:rPr>
                <w:rFonts w:hint="eastAsia"/>
                <w:color w:val="181717" w:themeColor="background2" w:themeShade="1A"/>
              </w:rPr>
            </w:pPr>
            <w:r>
              <w:rPr>
                <w:rFonts w:hint="eastAsia"/>
                <w:color w:val="181717" w:themeColor="background2" w:themeShade="1A"/>
                <w:lang w:val="en-US" w:eastAsia="zh-CN"/>
              </w:rPr>
              <w:t>2026-2030年</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43F84">
            <w:pPr>
              <w:pStyle w:val="16"/>
              <w:bidi w:val="0"/>
              <w:rPr>
                <w:rFonts w:hint="eastAsia"/>
                <w:color w:val="181717" w:themeColor="background2" w:themeShade="1A"/>
              </w:rPr>
            </w:pPr>
            <w:r>
              <w:rPr>
                <w:rFonts w:hint="eastAsia"/>
                <w:color w:val="181717" w:themeColor="background2" w:themeShade="1A"/>
                <w:lang w:val="en-US" w:eastAsia="zh-CN"/>
              </w:rPr>
              <w:t>23000</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440C7">
            <w:pPr>
              <w:pStyle w:val="16"/>
              <w:bidi w:val="0"/>
              <w:rPr>
                <w:rFonts w:hint="eastAsia"/>
                <w:color w:val="181717" w:themeColor="background2" w:themeShade="1A"/>
              </w:rPr>
            </w:pPr>
            <w:r>
              <w:rPr>
                <w:rFonts w:hint="eastAsia"/>
                <w:color w:val="181717" w:themeColor="background2" w:themeShade="1A"/>
                <w:lang w:val="en-US" w:eastAsia="zh-CN"/>
              </w:rPr>
              <w:t>县水务局</w:t>
            </w:r>
          </w:p>
        </w:tc>
      </w:tr>
      <w:tr w14:paraId="6A1B5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D99FC">
            <w:pPr>
              <w:pStyle w:val="16"/>
              <w:bidi w:val="0"/>
              <w:rPr>
                <w:rFonts w:hint="default"/>
                <w:color w:val="181717" w:themeColor="background2" w:themeShade="1A"/>
                <w:lang w:val="en-US" w:eastAsia="zh-CN"/>
              </w:rPr>
            </w:pPr>
            <w:r>
              <w:rPr>
                <w:rFonts w:hint="eastAsia"/>
                <w:color w:val="181717" w:themeColor="background2" w:themeShade="1A"/>
                <w:lang w:val="en-US" w:eastAsia="zh-CN"/>
              </w:rPr>
              <w:t>8</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7E552">
            <w:pPr>
              <w:pStyle w:val="16"/>
              <w:bidi w:val="0"/>
              <w:jc w:val="both"/>
              <w:rPr>
                <w:rFonts w:hint="eastAsia" w:ascii="Times New Roman" w:hAnsi="Times New Roman"/>
                <w:color w:val="181717" w:themeColor="background2" w:themeShade="1A"/>
                <w:lang w:val="en-US" w:eastAsia="zh-CN"/>
              </w:rPr>
            </w:pPr>
            <w:r>
              <w:rPr>
                <w:rFonts w:hint="eastAsia" w:ascii="Times New Roman" w:hAnsi="Times New Roman"/>
                <w:color w:val="181717" w:themeColor="background2" w:themeShade="1A"/>
                <w:lang w:val="en-US" w:eastAsia="zh-CN"/>
              </w:rPr>
              <w:t>雷公滩及良坡水厂改扩建工程</w:t>
            </w:r>
          </w:p>
        </w:tc>
        <w:tc>
          <w:tcPr>
            <w:tcW w:w="1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515C9">
            <w:pPr>
              <w:pStyle w:val="16"/>
              <w:bidi w:val="0"/>
              <w:jc w:val="left"/>
              <w:rPr>
                <w:rFonts w:hint="eastAsia" w:ascii="Times New Roman" w:hAnsi="Times New Roman"/>
                <w:color w:val="181717" w:themeColor="background2" w:themeShade="1A"/>
                <w:lang w:val="en-US" w:eastAsia="zh-CN"/>
              </w:rPr>
            </w:pPr>
            <w:r>
              <w:rPr>
                <w:rFonts w:hint="eastAsia" w:ascii="Times New Roman" w:hAnsi="Times New Roman"/>
                <w:color w:val="181717" w:themeColor="background2" w:themeShade="1A"/>
                <w:lang w:val="en-US" w:eastAsia="zh-CN"/>
              </w:rPr>
              <w:t>延伸供水管网覆盖乡村，完成水源保护区划定及违建拆除，强化水质监测与管理，解决饮水问题，实现城乡供水一体化。</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E9FE7">
            <w:pPr>
              <w:pStyle w:val="16"/>
              <w:bidi w:val="0"/>
              <w:jc w:val="left"/>
              <w:rPr>
                <w:rFonts w:hint="eastAsia" w:ascii="Times New Roman" w:hAnsi="Times New Roman"/>
                <w:color w:val="181717" w:themeColor="background2" w:themeShade="1A"/>
                <w:lang w:val="en-US" w:eastAsia="zh-CN"/>
              </w:rPr>
            </w:pPr>
            <w:r>
              <w:rPr>
                <w:rFonts w:hint="eastAsia"/>
                <w:color w:val="181717" w:themeColor="background2" w:themeShade="1A"/>
              </w:rPr>
              <w:t>《屯昌县国民经济和社会发展第十五个五年规划纲要》</w:t>
            </w:r>
            <w:r>
              <w:rPr>
                <w:rFonts w:hint="eastAsia" w:ascii="Times New Roman" w:hAnsi="Times New Roman"/>
                <w:color w:val="181717" w:themeColor="background2" w:themeShade="1A"/>
                <w:lang w:val="en-US" w:eastAsia="zh-CN"/>
              </w:rPr>
              <w:t>水网建设重点项目</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44758">
            <w:pPr>
              <w:pStyle w:val="16"/>
              <w:bidi w:val="0"/>
              <w:jc w:val="both"/>
              <w:rPr>
                <w:rFonts w:hint="default" w:ascii="Times New Roman" w:hAnsi="Times New Roman"/>
                <w:color w:val="181717" w:themeColor="background2" w:themeShade="1A"/>
                <w:lang w:val="en-US" w:eastAsia="zh-CN"/>
              </w:rPr>
            </w:pPr>
            <w:r>
              <w:rPr>
                <w:rFonts w:hint="eastAsia" w:ascii="Times New Roman" w:hAnsi="Times New Roman"/>
                <w:color w:val="181717" w:themeColor="background2" w:themeShade="1A"/>
                <w:lang w:val="en-US" w:eastAsia="zh-CN"/>
              </w:rPr>
              <w:t>2026-2030</w:t>
            </w:r>
            <w:r>
              <w:rPr>
                <w:rFonts w:hint="eastAsia"/>
                <w:color w:val="181717" w:themeColor="background2" w:themeShade="1A"/>
                <w:lang w:val="en-US" w:eastAsia="zh-CN"/>
              </w:rPr>
              <w:t>年</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12ED6">
            <w:pPr>
              <w:pStyle w:val="16"/>
              <w:bidi w:val="0"/>
              <w:ind w:firstLine="240" w:firstLineChars="100"/>
              <w:jc w:val="both"/>
              <w:rPr>
                <w:rFonts w:hint="default" w:ascii="Times New Roman" w:hAnsi="Times New Roman"/>
                <w:color w:val="181717" w:themeColor="background2" w:themeShade="1A"/>
                <w:lang w:val="en-US" w:eastAsia="zh-CN"/>
              </w:rPr>
            </w:pPr>
            <w:r>
              <w:rPr>
                <w:rFonts w:hint="eastAsia" w:ascii="Times New Roman" w:hAnsi="Times New Roman"/>
                <w:color w:val="181717" w:themeColor="background2" w:themeShade="1A"/>
                <w:lang w:val="en-US" w:eastAsia="zh-CN"/>
              </w:rPr>
              <w:t>12000</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C8FB7">
            <w:pPr>
              <w:pStyle w:val="16"/>
              <w:bidi w:val="0"/>
              <w:ind w:firstLine="240" w:firstLineChars="100"/>
              <w:jc w:val="both"/>
              <w:rPr>
                <w:rFonts w:hint="eastAsia" w:ascii="Times New Roman" w:hAnsi="Times New Roman"/>
                <w:color w:val="181717" w:themeColor="background2" w:themeShade="1A"/>
                <w:lang w:val="en-US" w:eastAsia="zh-CN"/>
              </w:rPr>
            </w:pPr>
            <w:r>
              <w:rPr>
                <w:rFonts w:hint="eastAsia"/>
                <w:color w:val="181717" w:themeColor="background2" w:themeShade="1A"/>
                <w:lang w:val="en-US" w:eastAsia="zh-CN"/>
              </w:rPr>
              <w:t>县水务局</w:t>
            </w:r>
          </w:p>
        </w:tc>
      </w:tr>
      <w:tr w14:paraId="53135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95C84">
            <w:pPr>
              <w:pStyle w:val="16"/>
              <w:rPr>
                <w:rFonts w:hint="default"/>
                <w:color w:val="181717" w:themeColor="background2" w:themeShade="1A"/>
                <w:lang w:val="en-US" w:eastAsia="zh-CN"/>
              </w:rPr>
            </w:pPr>
            <w:r>
              <w:rPr>
                <w:rFonts w:hint="eastAsia"/>
                <w:color w:val="181717" w:themeColor="background2" w:themeShade="1A"/>
                <w:lang w:val="en-US" w:eastAsia="zh-CN"/>
              </w:rPr>
              <w:t>9</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DBDCC">
            <w:pPr>
              <w:pStyle w:val="16"/>
              <w:rPr>
                <w:rFonts w:hint="default"/>
                <w:color w:val="181717" w:themeColor="background2" w:themeShade="1A"/>
                <w:lang w:val="en-US" w:eastAsia="zh-CN"/>
              </w:rPr>
            </w:pPr>
            <w:r>
              <w:rPr>
                <w:rFonts w:hint="default"/>
                <w:color w:val="181717" w:themeColor="background2" w:themeShade="1A"/>
                <w:lang w:val="en-US" w:eastAsia="zh-CN"/>
              </w:rPr>
              <w:t>农村生活污水治理项目</w:t>
            </w:r>
          </w:p>
        </w:tc>
        <w:tc>
          <w:tcPr>
            <w:tcW w:w="1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AC627">
            <w:pPr>
              <w:pStyle w:val="16"/>
              <w:jc w:val="left"/>
              <w:rPr>
                <w:rFonts w:hint="default"/>
                <w:color w:val="181717" w:themeColor="background2" w:themeShade="1A"/>
                <w:lang w:val="en-US" w:eastAsia="zh-CN"/>
              </w:rPr>
            </w:pPr>
            <w:r>
              <w:rPr>
                <w:rFonts w:hint="default"/>
                <w:color w:val="181717" w:themeColor="background2" w:themeShade="1A"/>
                <w:lang w:val="en-US" w:eastAsia="zh-CN"/>
              </w:rPr>
              <w:t>主要包括全县8个镇域内涉及的农村生活污水处理设施建设、污水管网配套工程、黑臭水体治理、其他附属工程及设施维护等；以8个建制镇分别为基本单元进行项目谋划，以乡镇为基本整治单元，开展农村环境整治和黑臭水体治理。</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0D77D">
            <w:pPr>
              <w:pStyle w:val="16"/>
              <w:jc w:val="left"/>
              <w:rPr>
                <w:rFonts w:hint="eastAsia" w:asciiTheme="minorHAnsi" w:hAnsiTheme="minorHAnsi"/>
                <w:color w:val="181717" w:themeColor="background2" w:themeShade="1A"/>
                <w:lang w:val="en-US" w:eastAsia="zh-CN"/>
              </w:rPr>
            </w:pPr>
            <w:r>
              <w:rPr>
                <w:rFonts w:hint="eastAsia" w:asciiTheme="minorHAnsi" w:hAnsiTheme="minorHAnsi"/>
                <w:color w:val="181717" w:themeColor="background2" w:themeShade="1A"/>
                <w:lang w:val="en-US" w:eastAsia="zh-CN"/>
              </w:rPr>
              <w:t>《美丽乡村建设实施方案》《中央生态环境资金项目储备库入库指南（2025年）》《海南省治水攻坚工作方案》</w:t>
            </w:r>
          </w:p>
          <w:p w14:paraId="058847D5">
            <w:pPr>
              <w:pStyle w:val="16"/>
              <w:jc w:val="left"/>
              <w:rPr>
                <w:rFonts w:hint="default"/>
                <w:color w:val="181717" w:themeColor="background2" w:themeShade="1A"/>
                <w:lang w:val="en-US" w:eastAsia="zh-CN"/>
              </w:rPr>
            </w:pPr>
            <w:r>
              <w:rPr>
                <w:rFonts w:hint="eastAsia" w:asciiTheme="minorHAnsi" w:hAnsiTheme="minorHAnsi"/>
                <w:color w:val="181717" w:themeColor="background2" w:themeShade="1A"/>
                <w:lang w:val="en-US" w:eastAsia="zh-CN"/>
              </w:rPr>
              <w:t>《海南省“六水共治”实施方案（2023-2026年）》</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32FCD">
            <w:pPr>
              <w:pStyle w:val="16"/>
              <w:rPr>
                <w:rFonts w:hint="default"/>
                <w:color w:val="181717" w:themeColor="background2" w:themeShade="1A"/>
                <w:lang w:val="en-US" w:eastAsia="zh-CN"/>
              </w:rPr>
            </w:pPr>
            <w:r>
              <w:rPr>
                <w:rFonts w:hint="default"/>
                <w:color w:val="181717" w:themeColor="background2" w:themeShade="1A"/>
                <w:lang w:val="en-US" w:eastAsia="zh-CN"/>
              </w:rPr>
              <w:t>2026-2030年</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D288E">
            <w:pPr>
              <w:pStyle w:val="16"/>
              <w:rPr>
                <w:rFonts w:hint="default"/>
                <w:color w:val="181717" w:themeColor="background2" w:themeShade="1A"/>
                <w:lang w:val="en-US" w:eastAsia="zh-CN"/>
              </w:rPr>
            </w:pPr>
            <w:r>
              <w:rPr>
                <w:rFonts w:hint="default"/>
                <w:color w:val="181717" w:themeColor="background2" w:themeShade="1A"/>
                <w:lang w:val="en-US" w:eastAsia="zh-CN"/>
              </w:rPr>
              <w:t>74000</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47367">
            <w:pPr>
              <w:pStyle w:val="16"/>
              <w:rPr>
                <w:rFonts w:hint="default"/>
                <w:color w:val="181717" w:themeColor="background2" w:themeShade="1A"/>
                <w:lang w:val="en-US" w:eastAsia="zh-CN"/>
              </w:rPr>
            </w:pPr>
            <w:r>
              <w:rPr>
                <w:rFonts w:hint="default"/>
                <w:color w:val="181717" w:themeColor="background2" w:themeShade="1A"/>
                <w:lang w:val="en-US" w:eastAsia="zh-CN"/>
              </w:rPr>
              <w:t>县水务局</w:t>
            </w:r>
          </w:p>
        </w:tc>
      </w:tr>
      <w:tr w14:paraId="4ACB4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A3243">
            <w:pPr>
              <w:pStyle w:val="16"/>
              <w:rPr>
                <w:rFonts w:hint="default"/>
                <w:color w:val="181717" w:themeColor="background2" w:themeShade="1A"/>
                <w:lang w:val="en-US" w:eastAsia="zh-CN"/>
              </w:rPr>
            </w:pPr>
            <w:r>
              <w:rPr>
                <w:rFonts w:hint="default"/>
                <w:color w:val="181717" w:themeColor="background2" w:themeShade="1A"/>
                <w:lang w:val="en-US" w:eastAsia="zh-CN"/>
              </w:rPr>
              <w:t>10</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2AAC0">
            <w:pPr>
              <w:pStyle w:val="16"/>
              <w:rPr>
                <w:rFonts w:hint="default"/>
                <w:color w:val="181717" w:themeColor="background2" w:themeShade="1A"/>
                <w:lang w:val="en-US" w:eastAsia="zh-CN"/>
              </w:rPr>
            </w:pPr>
            <w:r>
              <w:rPr>
                <w:rFonts w:hint="default"/>
                <w:color w:val="181717" w:themeColor="background2" w:themeShade="1A"/>
                <w:lang w:val="en-US" w:eastAsia="zh-CN"/>
              </w:rPr>
              <w:t>高标准农田建设项目</w:t>
            </w:r>
          </w:p>
        </w:tc>
        <w:tc>
          <w:tcPr>
            <w:tcW w:w="1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2307D">
            <w:pPr>
              <w:pStyle w:val="16"/>
              <w:jc w:val="left"/>
              <w:rPr>
                <w:rFonts w:hint="default" w:asciiTheme="minorHAnsi" w:hAnsiTheme="minorHAnsi"/>
                <w:color w:val="181717" w:themeColor="background2" w:themeShade="1A"/>
                <w:lang w:val="en-US" w:eastAsia="zh-CN"/>
              </w:rPr>
            </w:pPr>
            <w:r>
              <w:rPr>
                <w:rFonts w:hint="default" w:asciiTheme="minorHAnsi" w:hAnsiTheme="minorHAnsi"/>
                <w:color w:val="181717" w:themeColor="background2" w:themeShade="1A"/>
                <w:lang w:val="en-US" w:eastAsia="zh-CN"/>
              </w:rPr>
              <w:t>因地制宜推进田、土、水、路、林、电、技、管系统治理，实施生态型田块整治与田间灌排体系，完善田间路网及电力配套。着力提升农田水土保持与生态涵养能力，增强抵御旱涝灾害韧性，提高绿色生产与管护水平。新建高标准农田1万亩，改造提升3万亩。</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4ACFF">
            <w:pPr>
              <w:pStyle w:val="16"/>
              <w:jc w:val="left"/>
              <w:rPr>
                <w:rFonts w:hint="default" w:asciiTheme="minorHAnsi" w:hAnsiTheme="minorHAnsi"/>
                <w:color w:val="181717" w:themeColor="background2" w:themeShade="1A"/>
                <w:lang w:val="en-US" w:eastAsia="zh-CN"/>
              </w:rPr>
            </w:pPr>
            <w:r>
              <w:rPr>
                <w:rFonts w:hint="default" w:asciiTheme="minorHAnsi" w:hAnsiTheme="minorHAnsi"/>
                <w:color w:val="181717" w:themeColor="background2" w:themeShade="1A"/>
                <w:lang w:val="en-US" w:eastAsia="zh-CN"/>
              </w:rPr>
              <w:t>《海南省逐步把永久基本农田建成高标准实施方案（</w:t>
            </w:r>
            <w:r>
              <w:rPr>
                <w:rFonts w:hint="default" w:ascii="Times New Roman" w:hAnsi="Times New Roman" w:cs="Times New Roman"/>
                <w:color w:val="181717" w:themeColor="background2" w:themeShade="1A"/>
                <w:lang w:val="en-US" w:eastAsia="zh-CN"/>
              </w:rPr>
              <w:t>2025-2035</w:t>
            </w:r>
            <w:r>
              <w:rPr>
                <w:rFonts w:hint="default" w:asciiTheme="minorHAnsi" w:hAnsiTheme="minorHAnsi"/>
                <w:color w:val="181717" w:themeColor="background2" w:themeShade="1A"/>
                <w:lang w:val="en-US" w:eastAsia="zh-CN"/>
              </w:rPr>
              <w:t>年）》</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73A93">
            <w:pPr>
              <w:pStyle w:val="16"/>
              <w:rPr>
                <w:rFonts w:hint="default" w:asciiTheme="minorHAnsi" w:hAnsiTheme="minorHAnsi"/>
                <w:color w:val="181717" w:themeColor="background2" w:themeShade="1A"/>
                <w:lang w:val="en-US" w:eastAsia="zh-CN"/>
              </w:rPr>
            </w:pPr>
            <w:r>
              <w:rPr>
                <w:rFonts w:hint="default" w:asciiTheme="minorHAnsi" w:hAnsiTheme="minorHAnsi" w:cstheme="minorBidi"/>
                <w:color w:val="181717" w:themeColor="background2" w:themeShade="1A"/>
                <w:lang w:val="en-US" w:eastAsia="zh-CN"/>
              </w:rPr>
              <w:t>2026-2030</w:t>
            </w:r>
            <w:r>
              <w:rPr>
                <w:rFonts w:hint="default"/>
                <w:color w:val="181717" w:themeColor="background2" w:themeShade="1A"/>
                <w:lang w:val="en-US" w:eastAsia="zh-CN"/>
              </w:rPr>
              <w:t>年</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68F1B">
            <w:pPr>
              <w:pStyle w:val="16"/>
              <w:rPr>
                <w:rFonts w:hint="default" w:asciiTheme="minorHAnsi" w:hAnsiTheme="minorHAnsi"/>
                <w:color w:val="181717" w:themeColor="background2" w:themeShade="1A"/>
                <w:lang w:val="en-US" w:eastAsia="zh-CN"/>
              </w:rPr>
            </w:pPr>
            <w:r>
              <w:rPr>
                <w:rFonts w:hint="default"/>
                <w:color w:val="181717" w:themeColor="background2" w:themeShade="1A"/>
                <w:lang w:val="en-US" w:eastAsia="zh-CN"/>
              </w:rPr>
              <w:t>18000</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72987">
            <w:pPr>
              <w:pStyle w:val="16"/>
              <w:rPr>
                <w:rFonts w:hint="default"/>
                <w:color w:val="181717" w:themeColor="background2" w:themeShade="1A"/>
                <w:lang w:val="en-US" w:eastAsia="zh-CN"/>
              </w:rPr>
            </w:pPr>
            <w:r>
              <w:rPr>
                <w:rFonts w:hint="default"/>
                <w:color w:val="181717" w:themeColor="background2" w:themeShade="1A"/>
                <w:lang w:val="en-US" w:eastAsia="zh-CN"/>
              </w:rPr>
              <w:t>县农业农村局</w:t>
            </w:r>
          </w:p>
        </w:tc>
      </w:tr>
    </w:tbl>
    <w:p w14:paraId="0A65E507">
      <w:pPr>
        <w:pStyle w:val="3"/>
        <w:rPr>
          <w:rFonts w:hint="eastAsia"/>
          <w:color w:val="181717" w:themeColor="background2" w:themeShade="1A"/>
          <w:lang w:val="en-US" w:eastAsia="zh-CN"/>
        </w:rPr>
      </w:pPr>
    </w:p>
    <w:p w14:paraId="273D19FF">
      <w:pPr>
        <w:pStyle w:val="3"/>
        <w:bidi w:val="0"/>
        <w:rPr>
          <w:rFonts w:hint="eastAsia"/>
          <w:color w:val="181717" w:themeColor="background2" w:themeShade="1A"/>
          <w:lang w:val="en-US" w:eastAsia="zh-CN"/>
        </w:rPr>
      </w:pPr>
      <w:r>
        <w:rPr>
          <w:rFonts w:hint="eastAsia"/>
          <w:color w:val="181717" w:themeColor="background2" w:themeShade="1A"/>
          <w:lang w:val="en-US" w:eastAsia="zh-CN"/>
        </w:rPr>
        <w:br w:type="page"/>
      </w:r>
    </w:p>
    <w:p w14:paraId="47C4D089">
      <w:pPr>
        <w:pStyle w:val="25"/>
        <w:keepNext w:val="0"/>
        <w:keepLines w:val="0"/>
        <w:pageBreakBefore w:val="0"/>
        <w:widowControl w:val="0"/>
        <w:kinsoku/>
        <w:wordWrap/>
        <w:overflowPunct/>
        <w:topLinePunct w:val="0"/>
        <w:autoSpaceDE/>
        <w:autoSpaceDN/>
        <w:bidi w:val="0"/>
        <w:adjustRightInd/>
        <w:snapToGrid/>
        <w:textAlignment w:val="auto"/>
        <w:outlineLvl w:val="9"/>
        <w:rPr>
          <w:rFonts w:hint="default"/>
          <w:color w:val="181717" w:themeColor="background2" w:themeShade="1A"/>
          <w:lang w:val="en-US" w:eastAsia="zh-CN"/>
        </w:rPr>
      </w:pPr>
      <w:r>
        <w:rPr>
          <w:rFonts w:hint="eastAsia"/>
          <w:color w:val="181717" w:themeColor="background2" w:themeShade="1A"/>
          <w:lang w:val="en-US" w:eastAsia="zh-CN"/>
        </w:rPr>
        <w:t>表10-3 “十五五”固废污染防治重点工程</w:t>
      </w:r>
    </w:p>
    <w:tbl>
      <w:tblPr>
        <w:tblStyle w:val="20"/>
        <w:tblW w:w="499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0"/>
        <w:gridCol w:w="1702"/>
        <w:gridCol w:w="5383"/>
        <w:gridCol w:w="2637"/>
        <w:gridCol w:w="1342"/>
        <w:gridCol w:w="1556"/>
        <w:gridCol w:w="1557"/>
      </w:tblGrid>
      <w:tr w14:paraId="221AE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7DF7D">
            <w:pPr>
              <w:pStyle w:val="16"/>
              <w:bidi w:val="0"/>
              <w:rPr>
                <w:rFonts w:hint="eastAsia"/>
                <w:b/>
                <w:bCs/>
                <w:color w:val="181717" w:themeColor="background2" w:themeShade="1A"/>
              </w:rPr>
            </w:pPr>
            <w:r>
              <w:rPr>
                <w:rFonts w:hint="eastAsia"/>
                <w:b/>
                <w:bCs/>
                <w:color w:val="181717" w:themeColor="background2" w:themeShade="1A"/>
                <w:lang w:val="en-US" w:eastAsia="zh-CN"/>
              </w:rPr>
              <w:t>序号</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DD275">
            <w:pPr>
              <w:pStyle w:val="16"/>
              <w:bidi w:val="0"/>
              <w:rPr>
                <w:rFonts w:hint="eastAsia"/>
                <w:b/>
                <w:bCs/>
                <w:color w:val="181717" w:themeColor="background2" w:themeShade="1A"/>
              </w:rPr>
            </w:pPr>
            <w:r>
              <w:rPr>
                <w:rFonts w:hint="eastAsia"/>
                <w:b/>
                <w:bCs/>
                <w:color w:val="181717" w:themeColor="background2" w:themeShade="1A"/>
                <w:lang w:val="en-US" w:eastAsia="zh-CN"/>
              </w:rPr>
              <w:t>工程名称</w:t>
            </w:r>
          </w:p>
        </w:tc>
        <w:tc>
          <w:tcPr>
            <w:tcW w:w="1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1B612">
            <w:pPr>
              <w:pStyle w:val="16"/>
              <w:bidi w:val="0"/>
              <w:rPr>
                <w:rFonts w:hint="eastAsia"/>
                <w:b/>
                <w:bCs/>
                <w:color w:val="181717" w:themeColor="background2" w:themeShade="1A"/>
              </w:rPr>
            </w:pPr>
            <w:r>
              <w:rPr>
                <w:rFonts w:hint="eastAsia"/>
                <w:b/>
                <w:bCs/>
                <w:color w:val="181717" w:themeColor="background2" w:themeShade="1A"/>
                <w:lang w:val="en-US" w:eastAsia="zh-CN"/>
              </w:rPr>
              <w:t>建设内容</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597E7">
            <w:pPr>
              <w:pStyle w:val="16"/>
              <w:bidi w:val="0"/>
              <w:rPr>
                <w:rFonts w:hint="eastAsia"/>
                <w:b/>
                <w:bCs/>
                <w:color w:val="181717" w:themeColor="background2" w:themeShade="1A"/>
              </w:rPr>
            </w:pPr>
            <w:r>
              <w:rPr>
                <w:rFonts w:hint="eastAsia"/>
                <w:b/>
                <w:bCs/>
                <w:color w:val="181717" w:themeColor="background2" w:themeShade="1A"/>
                <w:lang w:val="en-US" w:eastAsia="zh-CN"/>
              </w:rPr>
              <w:t>策划依据</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BDE78">
            <w:pPr>
              <w:pStyle w:val="16"/>
              <w:bidi w:val="0"/>
              <w:rPr>
                <w:rFonts w:hint="eastAsia"/>
                <w:b/>
                <w:bCs/>
                <w:color w:val="181717" w:themeColor="background2" w:themeShade="1A"/>
              </w:rPr>
            </w:pPr>
            <w:r>
              <w:rPr>
                <w:rFonts w:hint="eastAsia"/>
                <w:b/>
                <w:bCs/>
                <w:color w:val="181717" w:themeColor="background2" w:themeShade="1A"/>
                <w:lang w:val="en-US" w:eastAsia="zh-CN"/>
              </w:rPr>
              <w:t>起止年限</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41E2D">
            <w:pPr>
              <w:pStyle w:val="16"/>
              <w:bidi w:val="0"/>
              <w:rPr>
                <w:rFonts w:hint="eastAsia"/>
                <w:b/>
                <w:bCs/>
                <w:color w:val="181717" w:themeColor="background2" w:themeShade="1A"/>
              </w:rPr>
            </w:pPr>
            <w:r>
              <w:rPr>
                <w:rFonts w:hint="eastAsia"/>
                <w:b/>
                <w:bCs/>
                <w:color w:val="181717" w:themeColor="background2" w:themeShade="1A"/>
                <w:lang w:val="en-US" w:eastAsia="zh-CN"/>
              </w:rPr>
              <w:t>投资预算（万元）</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92E1E">
            <w:pPr>
              <w:pStyle w:val="16"/>
              <w:bidi w:val="0"/>
              <w:rPr>
                <w:rFonts w:hint="eastAsia"/>
                <w:b/>
                <w:bCs/>
                <w:color w:val="181717" w:themeColor="background2" w:themeShade="1A"/>
              </w:rPr>
            </w:pPr>
            <w:r>
              <w:rPr>
                <w:rFonts w:hint="eastAsia"/>
                <w:b/>
                <w:bCs/>
                <w:color w:val="181717" w:themeColor="background2" w:themeShade="1A"/>
                <w:lang w:val="en-US" w:eastAsia="zh-CN"/>
              </w:rPr>
              <w:t>责任单位</w:t>
            </w:r>
          </w:p>
        </w:tc>
      </w:tr>
      <w:tr w14:paraId="60FDF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60593">
            <w:pPr>
              <w:pStyle w:val="16"/>
              <w:rPr>
                <w:rFonts w:hint="default"/>
                <w:color w:val="181717" w:themeColor="background2" w:themeShade="1A"/>
              </w:rPr>
            </w:pPr>
            <w:r>
              <w:rPr>
                <w:rFonts w:hint="default"/>
                <w:color w:val="181717" w:themeColor="background2" w:themeShade="1A"/>
                <w:lang w:val="en-US" w:eastAsia="zh-CN"/>
              </w:rPr>
              <w:t>1</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FB2D1">
            <w:pPr>
              <w:pStyle w:val="16"/>
              <w:rPr>
                <w:rFonts w:hint="default"/>
                <w:color w:val="181717" w:themeColor="background2" w:themeShade="1A"/>
              </w:rPr>
            </w:pPr>
            <w:r>
              <w:rPr>
                <w:rFonts w:hint="default"/>
                <w:color w:val="181717" w:themeColor="background2" w:themeShade="1A"/>
                <w:lang w:val="en-US" w:eastAsia="zh-CN"/>
              </w:rPr>
              <w:t>污泥处置中心项目</w:t>
            </w:r>
          </w:p>
        </w:tc>
        <w:tc>
          <w:tcPr>
            <w:tcW w:w="1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DF78B">
            <w:pPr>
              <w:pStyle w:val="16"/>
              <w:jc w:val="left"/>
              <w:rPr>
                <w:rFonts w:hint="default"/>
                <w:color w:val="181717" w:themeColor="background2" w:themeShade="1A"/>
              </w:rPr>
            </w:pPr>
            <w:r>
              <w:rPr>
                <w:rFonts w:hint="default"/>
                <w:color w:val="181717" w:themeColor="background2" w:themeShade="1A"/>
                <w:lang w:val="en-US" w:eastAsia="zh-CN"/>
              </w:rPr>
              <w:t>包含80t/d污泥无害化处置及60t/d通沟污泥处理处置。</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58BB2">
            <w:pPr>
              <w:pStyle w:val="16"/>
              <w:jc w:val="left"/>
              <w:rPr>
                <w:rFonts w:hint="default"/>
                <w:color w:val="181717" w:themeColor="background2" w:themeShade="1A"/>
              </w:rPr>
            </w:pPr>
            <w:r>
              <w:rPr>
                <w:rFonts w:hint="default"/>
                <w:color w:val="181717" w:themeColor="background2" w:themeShade="1A"/>
                <w:lang w:val="en-US" w:eastAsia="zh-CN"/>
              </w:rPr>
              <w:t>《美丽城市建设实施方案》环综合〔20251号</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07253">
            <w:pPr>
              <w:pStyle w:val="16"/>
              <w:rPr>
                <w:rFonts w:hint="default"/>
                <w:color w:val="181717" w:themeColor="background2" w:themeShade="1A"/>
              </w:rPr>
            </w:pPr>
            <w:r>
              <w:rPr>
                <w:rFonts w:hint="default"/>
                <w:color w:val="181717" w:themeColor="background2" w:themeShade="1A"/>
                <w:lang w:val="en-US" w:eastAsia="zh-CN"/>
              </w:rPr>
              <w:t>202</w:t>
            </w:r>
            <w:r>
              <w:rPr>
                <w:rFonts w:hint="eastAsia"/>
                <w:color w:val="181717" w:themeColor="background2" w:themeShade="1A"/>
                <w:lang w:val="en-US" w:eastAsia="zh-CN"/>
              </w:rPr>
              <w:t>7</w:t>
            </w:r>
            <w:r>
              <w:rPr>
                <w:rFonts w:hint="default"/>
                <w:color w:val="181717" w:themeColor="background2" w:themeShade="1A"/>
                <w:lang w:val="en-US" w:eastAsia="zh-CN"/>
              </w:rPr>
              <w:t>-20</w:t>
            </w:r>
            <w:r>
              <w:rPr>
                <w:rFonts w:hint="eastAsia"/>
                <w:color w:val="181717" w:themeColor="background2" w:themeShade="1A"/>
                <w:lang w:val="en-US" w:eastAsia="zh-CN"/>
              </w:rPr>
              <w:t>28</w:t>
            </w:r>
            <w:r>
              <w:rPr>
                <w:rFonts w:hint="default"/>
                <w:color w:val="181717" w:themeColor="background2" w:themeShade="1A"/>
                <w:lang w:val="en-US" w:eastAsia="zh-CN"/>
              </w:rPr>
              <w:t>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E06B3">
            <w:pPr>
              <w:pStyle w:val="16"/>
              <w:rPr>
                <w:rFonts w:hint="default"/>
                <w:color w:val="181717" w:themeColor="background2" w:themeShade="1A"/>
              </w:rPr>
            </w:pPr>
            <w:r>
              <w:rPr>
                <w:rFonts w:hint="default"/>
                <w:color w:val="181717" w:themeColor="background2" w:themeShade="1A"/>
                <w:lang w:val="en-US" w:eastAsia="zh-CN"/>
              </w:rPr>
              <w:t>10000</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EB7E1">
            <w:pPr>
              <w:pStyle w:val="16"/>
              <w:rPr>
                <w:rFonts w:hint="default"/>
                <w:color w:val="181717" w:themeColor="background2" w:themeShade="1A"/>
              </w:rPr>
            </w:pPr>
            <w:r>
              <w:rPr>
                <w:rFonts w:hint="default"/>
                <w:color w:val="181717" w:themeColor="background2" w:themeShade="1A"/>
                <w:lang w:val="en-US" w:eastAsia="zh-CN"/>
              </w:rPr>
              <w:t>县水务局</w:t>
            </w:r>
          </w:p>
        </w:tc>
      </w:tr>
      <w:tr w14:paraId="438E4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56636">
            <w:pPr>
              <w:pStyle w:val="16"/>
              <w:rPr>
                <w:rFonts w:hint="default"/>
                <w:color w:val="181717" w:themeColor="background2" w:themeShade="1A"/>
              </w:rPr>
            </w:pPr>
            <w:r>
              <w:rPr>
                <w:rFonts w:hint="default"/>
                <w:color w:val="181717" w:themeColor="background2" w:themeShade="1A"/>
                <w:lang w:val="en-US" w:eastAsia="zh-CN"/>
              </w:rPr>
              <w:t>2</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4967E">
            <w:pPr>
              <w:pStyle w:val="16"/>
              <w:rPr>
                <w:rFonts w:hint="default"/>
                <w:color w:val="181717" w:themeColor="background2" w:themeShade="1A"/>
              </w:rPr>
            </w:pPr>
            <w:r>
              <w:rPr>
                <w:rFonts w:hint="default"/>
                <w:color w:val="181717" w:themeColor="background2" w:themeShade="1A"/>
                <w:lang w:val="en-US" w:eastAsia="zh-CN"/>
              </w:rPr>
              <w:t>废弃农膜回收利用网络建设</w:t>
            </w:r>
          </w:p>
        </w:tc>
        <w:tc>
          <w:tcPr>
            <w:tcW w:w="1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C6B91">
            <w:pPr>
              <w:pStyle w:val="16"/>
              <w:jc w:val="left"/>
              <w:rPr>
                <w:rFonts w:hint="default"/>
                <w:color w:val="181717" w:themeColor="background2" w:themeShade="1A"/>
              </w:rPr>
            </w:pPr>
            <w:r>
              <w:rPr>
                <w:rFonts w:hint="default"/>
                <w:color w:val="181717" w:themeColor="background2" w:themeShade="1A"/>
                <w:lang w:val="en-US" w:eastAsia="zh-CN"/>
              </w:rPr>
              <w:t>大力推进农膜回收处置和资源化利用，开展地膜科学使用项目，鼓励使用可降解地膜，严格监管废弃农膜去向，建立健全县级回收处置运作中心、镇回收站、村回收点三级回收利用网络，加快废旧农膜的有效回收和利用。到2030年，废旧农膜回收利用率达到95%以上。</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A70EF">
            <w:pPr>
              <w:pStyle w:val="16"/>
              <w:jc w:val="left"/>
              <w:rPr>
                <w:rFonts w:hint="default"/>
                <w:color w:val="181717" w:themeColor="background2" w:themeShade="1A"/>
              </w:rPr>
            </w:pPr>
            <w:r>
              <w:rPr>
                <w:rFonts w:hint="default"/>
                <w:color w:val="181717" w:themeColor="background2" w:themeShade="1A"/>
                <w:lang w:val="en-US" w:eastAsia="zh-CN"/>
              </w:rPr>
              <w:t>《海南省屯昌县生态文明建设示范区规划（2025—2030年）》</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610B7">
            <w:pPr>
              <w:pStyle w:val="16"/>
              <w:rPr>
                <w:rFonts w:hint="default"/>
                <w:color w:val="181717" w:themeColor="background2" w:themeShade="1A"/>
              </w:rPr>
            </w:pPr>
            <w:r>
              <w:rPr>
                <w:rFonts w:hint="default"/>
                <w:color w:val="181717" w:themeColor="background2" w:themeShade="1A"/>
                <w:lang w:val="en-US" w:eastAsia="zh-CN"/>
              </w:rPr>
              <w:t>2025-2030年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EBEDB">
            <w:pPr>
              <w:pStyle w:val="16"/>
              <w:rPr>
                <w:rFonts w:hint="default"/>
                <w:color w:val="181717" w:themeColor="background2" w:themeShade="1A"/>
              </w:rPr>
            </w:pPr>
            <w:r>
              <w:rPr>
                <w:rFonts w:hint="default"/>
                <w:color w:val="181717" w:themeColor="background2" w:themeShade="1A"/>
                <w:lang w:val="en-US" w:eastAsia="zh-CN"/>
              </w:rPr>
              <w:t>50</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27FB5">
            <w:pPr>
              <w:pStyle w:val="16"/>
              <w:rPr>
                <w:rFonts w:hint="default"/>
                <w:color w:val="181717" w:themeColor="background2" w:themeShade="1A"/>
              </w:rPr>
            </w:pPr>
            <w:r>
              <w:rPr>
                <w:rFonts w:hint="default"/>
                <w:color w:val="181717" w:themeColor="background2" w:themeShade="1A"/>
                <w:lang w:val="en-US" w:eastAsia="zh-CN"/>
              </w:rPr>
              <w:t>县农业农村局</w:t>
            </w:r>
          </w:p>
        </w:tc>
      </w:tr>
      <w:tr w14:paraId="37B4D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EBA3D">
            <w:pPr>
              <w:pStyle w:val="16"/>
              <w:rPr>
                <w:rFonts w:hint="default"/>
                <w:color w:val="181717" w:themeColor="background2" w:themeShade="1A"/>
                <w:lang w:val="en-US"/>
              </w:rPr>
            </w:pPr>
            <w:r>
              <w:rPr>
                <w:rFonts w:hint="default"/>
                <w:color w:val="181717" w:themeColor="background2" w:themeShade="1A"/>
                <w:lang w:val="en-US" w:eastAsia="zh-CN"/>
              </w:rPr>
              <w:t>3</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53482">
            <w:pPr>
              <w:pStyle w:val="16"/>
              <w:rPr>
                <w:rFonts w:hint="default"/>
                <w:color w:val="181717" w:themeColor="background2" w:themeShade="1A"/>
              </w:rPr>
            </w:pPr>
            <w:r>
              <w:rPr>
                <w:rFonts w:hint="default"/>
                <w:color w:val="181717" w:themeColor="background2" w:themeShade="1A"/>
                <w:lang w:val="en-US" w:eastAsia="zh-CN"/>
              </w:rPr>
              <w:t>屯昌循环经济产业示范区项目</w:t>
            </w:r>
          </w:p>
        </w:tc>
        <w:tc>
          <w:tcPr>
            <w:tcW w:w="1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A64BA">
            <w:pPr>
              <w:pStyle w:val="16"/>
              <w:jc w:val="left"/>
              <w:rPr>
                <w:rFonts w:hint="default"/>
                <w:color w:val="181717" w:themeColor="background2" w:themeShade="1A"/>
              </w:rPr>
            </w:pPr>
            <w:r>
              <w:rPr>
                <w:rFonts w:hint="default"/>
                <w:color w:val="181717" w:themeColor="background2" w:themeShade="1A"/>
                <w:lang w:val="en-US" w:eastAsia="zh-CN"/>
              </w:rPr>
              <w:t>循环产业链培育工程：重点发展废旧动力电池回收利用产业链，建设动力电池梯次利用生产线，开发储能系统、低速电动车电池等产品。发展报废汽车回收拆解产业链，建设智能化拆解生产线，提高零部件再制造水平。发展废旧家电回收处理产业链，建设集中处理中心，提高塑料、金属等材料的回收利用率。发展废塑料再生利用产业链，建设高值化利用示范项目，生产再生塑料颗粒、改性塑料等高附加值产品。</w:t>
            </w:r>
            <w:r>
              <w:rPr>
                <w:rFonts w:hint="default"/>
                <w:color w:val="181717" w:themeColor="background2" w:themeShade="1A"/>
                <w:lang w:val="en-US" w:eastAsia="zh-CN"/>
              </w:rPr>
              <w:br w:type="textWrapping"/>
            </w:r>
            <w:r>
              <w:rPr>
                <w:rFonts w:hint="default"/>
                <w:color w:val="181717" w:themeColor="background2" w:themeShade="1A"/>
                <w:lang w:val="en-US" w:eastAsia="zh-CN"/>
              </w:rPr>
              <w:t>循环经济创新平台建设工程：建设循环经济技术创新中心，引进高端研发人才，开展关键技术攻关。建设循环经济公共服务平台，提供技术咨询、检测认证、信息共享等服务。建设循环经济示范基地，开展新技术、新工艺、新装备的应用示范。建设循环经济人才培训基地，培养专业技术人才和管理人才。</w:t>
            </w:r>
            <w:r>
              <w:rPr>
                <w:rFonts w:hint="default"/>
                <w:color w:val="181717" w:themeColor="background2" w:themeShade="1A"/>
                <w:lang w:val="en-US" w:eastAsia="zh-CN"/>
              </w:rPr>
              <w:br w:type="textWrapping"/>
            </w:r>
            <w:r>
              <w:rPr>
                <w:rFonts w:hint="default"/>
                <w:color w:val="181717" w:themeColor="background2" w:themeShade="1A"/>
                <w:lang w:val="en-US" w:eastAsia="zh-CN"/>
              </w:rPr>
              <w:t>绿色低碳基础设施建设工程：建设分布式光储一体能源系统，提高绿电自消纳比例。建设智能微电网系统，实现能源的智能调度和高效利用。建设雨水收集利用系统，提高水资源利用效率。建设垃圾分类收集处理系统，实现垃圾减量化、资源化、无害化处理。</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792F0">
            <w:pPr>
              <w:pStyle w:val="16"/>
              <w:jc w:val="left"/>
              <w:rPr>
                <w:rFonts w:hint="default"/>
                <w:color w:val="181717" w:themeColor="background2" w:themeShade="1A"/>
              </w:rPr>
            </w:pPr>
            <w:r>
              <w:rPr>
                <w:rFonts w:hint="default"/>
                <w:color w:val="181717" w:themeColor="background2" w:themeShade="1A"/>
                <w:lang w:val="en-US" w:eastAsia="zh-CN"/>
              </w:rPr>
              <w:t>省政府办公厅印发《关于2025年海南省加力扩围实施大规模设备更新和消费品以旧换新政策的通知》；</w:t>
            </w:r>
            <w:r>
              <w:rPr>
                <w:rFonts w:hint="default"/>
                <w:color w:val="181717" w:themeColor="background2" w:themeShade="1A"/>
                <w:lang w:val="en-US" w:eastAsia="zh-CN"/>
              </w:rPr>
              <w:br w:type="textWrapping"/>
            </w:r>
            <w:r>
              <w:rPr>
                <w:rFonts w:hint="default"/>
                <w:color w:val="181717" w:themeColor="background2" w:themeShade="1A"/>
                <w:lang w:val="en-US" w:eastAsia="zh-CN"/>
              </w:rPr>
              <w:t>省商务厅等9部门印发《海南省健全废旧家电家具等再生资源回收体系实施方案》；</w:t>
            </w:r>
            <w:r>
              <w:rPr>
                <w:rFonts w:hint="default"/>
                <w:color w:val="181717" w:themeColor="background2" w:themeShade="1A"/>
                <w:lang w:val="en-US" w:eastAsia="zh-CN"/>
              </w:rPr>
              <w:br w:type="textWrapping"/>
            </w:r>
            <w:r>
              <w:rPr>
                <w:rFonts w:hint="default"/>
                <w:color w:val="181717" w:themeColor="background2" w:themeShade="1A"/>
                <w:lang w:val="en-US" w:eastAsia="zh-CN"/>
              </w:rPr>
              <w:t>海南省深化推进“无废岛”建设工作方案（2025—2030年）；</w:t>
            </w:r>
            <w:r>
              <w:rPr>
                <w:rFonts w:hint="default"/>
                <w:color w:val="181717" w:themeColor="background2" w:themeShade="1A"/>
                <w:lang w:val="en-US" w:eastAsia="zh-CN"/>
              </w:rPr>
              <w:br w:type="textWrapping"/>
            </w:r>
            <w:r>
              <w:rPr>
                <w:rFonts w:hint="default"/>
                <w:color w:val="181717" w:themeColor="background2" w:themeShade="1A"/>
                <w:lang w:val="en-US" w:eastAsia="zh-CN"/>
              </w:rPr>
              <w:t>海南省人民政府关于印发《海南低碳岛建设方案》的通知（琼府〔2025〕37号）</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4E369">
            <w:pPr>
              <w:pStyle w:val="16"/>
              <w:rPr>
                <w:rFonts w:hint="default"/>
                <w:color w:val="181717" w:themeColor="background2" w:themeShade="1A"/>
              </w:rPr>
            </w:pPr>
            <w:r>
              <w:rPr>
                <w:rFonts w:hint="default"/>
                <w:color w:val="181717" w:themeColor="background2" w:themeShade="1A"/>
                <w:lang w:val="en-US" w:eastAsia="zh-CN"/>
              </w:rPr>
              <w:t>2025-2030年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56C99">
            <w:pPr>
              <w:pStyle w:val="16"/>
              <w:rPr>
                <w:rFonts w:hint="default"/>
                <w:color w:val="181717" w:themeColor="background2" w:themeShade="1A"/>
              </w:rPr>
            </w:pPr>
            <w:r>
              <w:rPr>
                <w:rFonts w:hint="default"/>
                <w:color w:val="181717" w:themeColor="background2" w:themeShade="1A"/>
                <w:lang w:val="en-US" w:eastAsia="zh-CN"/>
              </w:rPr>
              <w:t>320000</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AC4AF">
            <w:pPr>
              <w:pStyle w:val="16"/>
              <w:rPr>
                <w:rFonts w:hint="default"/>
                <w:color w:val="181717" w:themeColor="background2" w:themeShade="1A"/>
              </w:rPr>
            </w:pPr>
            <w:r>
              <w:rPr>
                <w:rFonts w:hint="default"/>
                <w:color w:val="181717" w:themeColor="background2" w:themeShade="1A"/>
                <w:lang w:val="en-US" w:eastAsia="zh-CN"/>
              </w:rPr>
              <w:t>县发展和改革委员会</w:t>
            </w:r>
          </w:p>
        </w:tc>
      </w:tr>
      <w:tr w14:paraId="53D5B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318B0">
            <w:pPr>
              <w:pStyle w:val="16"/>
              <w:rPr>
                <w:rFonts w:hint="default"/>
                <w:color w:val="181717" w:themeColor="background2" w:themeShade="1A"/>
                <w:lang w:val="en-US"/>
              </w:rPr>
            </w:pPr>
            <w:r>
              <w:rPr>
                <w:rFonts w:hint="default"/>
                <w:color w:val="181717" w:themeColor="background2" w:themeShade="1A"/>
                <w:lang w:val="en-US" w:eastAsia="zh-CN"/>
              </w:rPr>
              <w:t>4</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A91A7">
            <w:pPr>
              <w:pStyle w:val="16"/>
              <w:rPr>
                <w:rFonts w:hint="default"/>
                <w:color w:val="181717" w:themeColor="background2" w:themeShade="1A"/>
              </w:rPr>
            </w:pPr>
            <w:r>
              <w:rPr>
                <w:rFonts w:hint="default"/>
                <w:color w:val="181717" w:themeColor="background2" w:themeShade="1A"/>
                <w:lang w:val="en-US" w:eastAsia="zh-CN"/>
              </w:rPr>
              <w:t>屯昌县生活垃圾设备更新项目</w:t>
            </w:r>
          </w:p>
        </w:tc>
        <w:tc>
          <w:tcPr>
            <w:tcW w:w="1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E504F">
            <w:pPr>
              <w:pStyle w:val="16"/>
              <w:jc w:val="left"/>
              <w:rPr>
                <w:rFonts w:hint="default"/>
                <w:color w:val="181717" w:themeColor="background2" w:themeShade="1A"/>
              </w:rPr>
            </w:pPr>
            <w:r>
              <w:rPr>
                <w:rFonts w:hint="default"/>
                <w:color w:val="181717" w:themeColor="background2" w:themeShade="1A"/>
                <w:lang w:val="en-US" w:eastAsia="zh-CN"/>
              </w:rPr>
              <w:t>1.升级改造生活垃圾转运站设备（含水平式垃圾压缩机、集成式污水处理系统、中央控制系统、喷淋除臭与空间雾化降尘系统、高压清洗机、地磅及视频监控系统等各12套，并更新垃圾箱体、移箱平台及变压器、柴油发电机等配套设备）；2.更新垃圾压缩机、污水处理设备及高压冲洗设备等环卫设备，更新转运站压缩设备配套转运车10辆，垃圾压缩车60辆，清扫车4辆，洒水车4辆，高压清洗车2辆，厨余垃圾收集车6辆，电动三轮收集车90辆。项目更新后，可满足生活垃圾日均清运量346.53吨/天的要求，实现年减排量约3000吨CO</w:t>
            </w:r>
            <w:r>
              <w:rPr>
                <w:color w:val="181717" w:themeColor="background2" w:themeShade="1A"/>
                <w:lang w:val="en-US" w:eastAsia="zh-CN"/>
              </w:rPr>
              <w:t>₂/年。</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34653">
            <w:pPr>
              <w:pStyle w:val="16"/>
              <w:jc w:val="left"/>
              <w:rPr>
                <w:rFonts w:hint="default"/>
                <w:color w:val="181717" w:themeColor="background2" w:themeShade="1A"/>
              </w:rPr>
            </w:pPr>
            <w:r>
              <w:rPr>
                <w:rFonts w:hint="default"/>
                <w:color w:val="181717" w:themeColor="background2" w:themeShade="1A"/>
                <w:lang w:val="en-US" w:eastAsia="zh-CN"/>
              </w:rPr>
              <w:t>一是落实国家设备更新政策与新型城镇化建设的需要；二是系统性破解传统环卫模式“低效高耗”的顽疾，筑牢海南中部生态屏障、服务海南国家生态文明试验区建设的需要；三是守护屯昌的生态环境、提升城乡居民生活品质，实现经济与环境协调发展的需要。</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97629">
            <w:pPr>
              <w:pStyle w:val="16"/>
              <w:rPr>
                <w:rFonts w:hint="default"/>
                <w:color w:val="181717" w:themeColor="background2" w:themeShade="1A"/>
              </w:rPr>
            </w:pPr>
            <w:r>
              <w:rPr>
                <w:rFonts w:hint="default"/>
                <w:color w:val="181717" w:themeColor="background2" w:themeShade="1A"/>
                <w:lang w:val="en-US" w:eastAsia="zh-CN"/>
              </w:rPr>
              <w:t>2026-2027年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9BEAD">
            <w:pPr>
              <w:pStyle w:val="16"/>
              <w:rPr>
                <w:rFonts w:hint="default"/>
                <w:color w:val="181717" w:themeColor="background2" w:themeShade="1A"/>
              </w:rPr>
            </w:pPr>
            <w:r>
              <w:rPr>
                <w:rFonts w:hint="default"/>
                <w:color w:val="181717" w:themeColor="background2" w:themeShade="1A"/>
                <w:lang w:val="en-US" w:eastAsia="zh-CN"/>
              </w:rPr>
              <w:t>7797.89</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9C3F0">
            <w:pPr>
              <w:pStyle w:val="16"/>
              <w:rPr>
                <w:rFonts w:hint="default"/>
                <w:color w:val="181717" w:themeColor="background2" w:themeShade="1A"/>
              </w:rPr>
            </w:pPr>
            <w:r>
              <w:rPr>
                <w:rFonts w:hint="default"/>
                <w:color w:val="181717" w:themeColor="background2" w:themeShade="1A"/>
                <w:lang w:val="en-US" w:eastAsia="zh-CN"/>
              </w:rPr>
              <w:t>县市政事务中心</w:t>
            </w:r>
          </w:p>
        </w:tc>
      </w:tr>
      <w:tr w14:paraId="169B1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63F48">
            <w:pPr>
              <w:pStyle w:val="16"/>
              <w:rPr>
                <w:rFonts w:hint="default"/>
                <w:color w:val="181717" w:themeColor="background2" w:themeShade="1A"/>
                <w:lang w:val="en-US" w:eastAsia="zh-CN"/>
              </w:rPr>
            </w:pPr>
            <w:r>
              <w:rPr>
                <w:rFonts w:hint="default"/>
                <w:color w:val="181717" w:themeColor="background2" w:themeShade="1A"/>
                <w:lang w:val="en-US" w:eastAsia="zh-CN"/>
              </w:rPr>
              <w:t>5</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BAFE8">
            <w:pPr>
              <w:pStyle w:val="16"/>
              <w:rPr>
                <w:rFonts w:hint="default"/>
                <w:color w:val="181717" w:themeColor="background2" w:themeShade="1A"/>
                <w:lang w:val="en-US" w:eastAsia="zh-CN"/>
              </w:rPr>
            </w:pPr>
            <w:r>
              <w:rPr>
                <w:rFonts w:hint="default"/>
                <w:color w:val="181717" w:themeColor="background2" w:themeShade="1A"/>
                <w:lang w:val="en-US" w:eastAsia="zh"/>
              </w:rPr>
              <w:t>动力电池回收利用中心</w:t>
            </w:r>
          </w:p>
        </w:tc>
        <w:tc>
          <w:tcPr>
            <w:tcW w:w="1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24D9C">
            <w:pPr>
              <w:pStyle w:val="16"/>
              <w:jc w:val="left"/>
              <w:rPr>
                <w:rFonts w:hint="default"/>
                <w:color w:val="181717" w:themeColor="background2" w:themeShade="1A"/>
                <w:lang w:val="en-US" w:eastAsia="zh-CN"/>
              </w:rPr>
            </w:pPr>
            <w:r>
              <w:rPr>
                <w:rFonts w:hint="default"/>
                <w:color w:val="181717" w:themeColor="background2" w:themeShade="1A"/>
                <w:lang w:val="en-US" w:eastAsia="zh"/>
              </w:rPr>
              <w:t>年处理退役动力电池1万吨，金属回收率≥90%，储能模组产能6000吨/年</w:t>
            </w:r>
            <w:r>
              <w:rPr>
                <w:rFonts w:hint="default"/>
                <w:color w:val="181717" w:themeColor="background2" w:themeShade="1A"/>
                <w:lang w:val="en-US" w:eastAsia="zh-CN"/>
              </w:rPr>
              <w:t>。</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40322">
            <w:pPr>
              <w:pStyle w:val="16"/>
              <w:jc w:val="left"/>
              <w:rPr>
                <w:rFonts w:hint="default"/>
                <w:color w:val="181717" w:themeColor="background2" w:themeShade="1A"/>
                <w:lang w:val="en-US" w:eastAsia="zh-CN"/>
              </w:rPr>
            </w:pPr>
            <w:r>
              <w:rPr>
                <w:rFonts w:hint="default"/>
                <w:color w:val="181717" w:themeColor="background2" w:themeShade="1A"/>
                <w:lang w:val="en-US" w:eastAsia="zh-CN"/>
              </w:rPr>
              <w:t>《屯昌县国民经济和社会发展第十五个五年规划纲要》打造绿色低碳循环经济产业体系。推进绿色分拣中心、海洋塑料改性造粒、农林废弃物处理、家电与汽车智能拆解、动力电池综合利用及材料回收等重点项目。</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9A10F">
            <w:pPr>
              <w:pStyle w:val="16"/>
              <w:rPr>
                <w:rFonts w:hint="default"/>
                <w:color w:val="181717" w:themeColor="background2" w:themeShade="1A"/>
                <w:lang w:val="en-US" w:eastAsia="zh-CN"/>
              </w:rPr>
            </w:pPr>
            <w:r>
              <w:rPr>
                <w:rFonts w:hint="default"/>
                <w:color w:val="181717" w:themeColor="background2" w:themeShade="1A"/>
                <w:lang w:val="en-US" w:eastAsia="zh-CN"/>
              </w:rPr>
              <w:t>2026-2027年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5C7D7">
            <w:pPr>
              <w:pStyle w:val="16"/>
              <w:rPr>
                <w:rFonts w:hint="default"/>
                <w:color w:val="181717" w:themeColor="background2" w:themeShade="1A"/>
                <w:lang w:val="en-US" w:eastAsia="zh-CN"/>
              </w:rPr>
            </w:pPr>
            <w:r>
              <w:rPr>
                <w:rFonts w:hint="eastAsia"/>
                <w:color w:val="181717" w:themeColor="background2" w:themeShade="1A"/>
                <w:lang w:val="en-US" w:eastAsia="zh-CN"/>
              </w:rPr>
              <w:t>15</w:t>
            </w:r>
            <w:r>
              <w:rPr>
                <w:rFonts w:hint="default"/>
                <w:color w:val="181717" w:themeColor="background2" w:themeShade="1A"/>
                <w:lang w:val="en-US" w:eastAsia="zh-CN"/>
              </w:rPr>
              <w:t>000</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50327">
            <w:pPr>
              <w:pStyle w:val="16"/>
              <w:rPr>
                <w:rFonts w:hint="default"/>
                <w:color w:val="181717" w:themeColor="background2" w:themeShade="1A"/>
                <w:lang w:val="en-US" w:eastAsia="zh-CN"/>
              </w:rPr>
            </w:pPr>
            <w:r>
              <w:rPr>
                <w:rFonts w:hint="default"/>
                <w:color w:val="181717" w:themeColor="background2" w:themeShade="1A"/>
                <w:lang w:val="en-US" w:eastAsia="zh-CN"/>
              </w:rPr>
              <w:t>县发展和改革委员会</w:t>
            </w:r>
          </w:p>
        </w:tc>
      </w:tr>
      <w:tr w14:paraId="35A3C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40117">
            <w:pPr>
              <w:pStyle w:val="16"/>
              <w:rPr>
                <w:rFonts w:hint="default"/>
                <w:color w:val="181717" w:themeColor="background2" w:themeShade="1A"/>
                <w:lang w:val="en-US" w:eastAsia="zh-CN"/>
              </w:rPr>
            </w:pPr>
            <w:r>
              <w:rPr>
                <w:rFonts w:hint="default"/>
                <w:color w:val="181717" w:themeColor="background2" w:themeShade="1A"/>
                <w:lang w:val="en-US" w:eastAsia="zh-CN"/>
              </w:rPr>
              <w:t>6</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FDAD0">
            <w:pPr>
              <w:pStyle w:val="16"/>
              <w:rPr>
                <w:rFonts w:hint="default"/>
                <w:color w:val="181717" w:themeColor="background2" w:themeShade="1A"/>
                <w:lang w:val="en-US" w:eastAsia="zh-CN"/>
              </w:rPr>
            </w:pPr>
            <w:r>
              <w:rPr>
                <w:rFonts w:hint="default"/>
                <w:color w:val="181717" w:themeColor="background2" w:themeShade="1A"/>
                <w:lang w:val="en-US" w:eastAsia="zh-CN"/>
              </w:rPr>
              <w:t>废旧家电拆解中心</w:t>
            </w:r>
          </w:p>
        </w:tc>
        <w:tc>
          <w:tcPr>
            <w:tcW w:w="1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F6C6B">
            <w:pPr>
              <w:pStyle w:val="16"/>
              <w:jc w:val="left"/>
              <w:rPr>
                <w:rFonts w:hint="default"/>
                <w:color w:val="181717" w:themeColor="background2" w:themeShade="1A"/>
                <w:lang w:val="en-US" w:eastAsia="zh-CN"/>
              </w:rPr>
            </w:pPr>
            <w:r>
              <w:rPr>
                <w:rFonts w:hint="default"/>
                <w:color w:val="181717" w:themeColor="background2" w:themeShade="1A"/>
                <w:lang w:val="en-US" w:eastAsia="zh-CN"/>
              </w:rPr>
              <w:t>本项目为废旧家电回收拆解项目，占地80亩，年拆解电视、冰箱、洗衣机等家用电器80万台。配置智能拆解流水线，金属回收率≥95%，塑料部件经分类清洗后进入一期日杂塑料加工区闭环处理。</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2BC84">
            <w:pPr>
              <w:pStyle w:val="16"/>
              <w:jc w:val="left"/>
              <w:rPr>
                <w:rFonts w:hint="default"/>
                <w:color w:val="181717" w:themeColor="background2" w:themeShade="1A"/>
                <w:lang w:val="en-US" w:eastAsia="zh-CN"/>
              </w:rPr>
            </w:pPr>
            <w:r>
              <w:rPr>
                <w:rFonts w:hint="default"/>
                <w:color w:val="181717" w:themeColor="background2" w:themeShade="1A"/>
                <w:lang w:val="en-US" w:eastAsia="zh-CN"/>
              </w:rPr>
              <w:t>《屯昌县国民经济和社会发展第十五个五年规划纲要》打造绿色低碳循环经济产业体系。推进绿色分拣中心、海洋塑料改性造粒、农林废弃物处理、家电与汽车智能拆解、动力电池综合利用及材料回收等重点项目</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4B316">
            <w:pPr>
              <w:pStyle w:val="16"/>
              <w:rPr>
                <w:rFonts w:hint="default"/>
                <w:color w:val="181717" w:themeColor="background2" w:themeShade="1A"/>
                <w:lang w:val="en-US" w:eastAsia="zh-CN"/>
              </w:rPr>
            </w:pPr>
            <w:r>
              <w:rPr>
                <w:rFonts w:hint="default"/>
                <w:color w:val="181717" w:themeColor="background2" w:themeShade="1A"/>
                <w:lang w:val="en-US" w:eastAsia="zh-CN"/>
              </w:rPr>
              <w:t>2026-2027年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3A72D">
            <w:pPr>
              <w:pStyle w:val="16"/>
              <w:rPr>
                <w:rFonts w:hint="default"/>
                <w:color w:val="181717" w:themeColor="background2" w:themeShade="1A"/>
                <w:lang w:val="en-US" w:eastAsia="zh-CN"/>
              </w:rPr>
            </w:pPr>
            <w:r>
              <w:rPr>
                <w:rFonts w:hint="eastAsia"/>
                <w:color w:val="181717" w:themeColor="background2" w:themeShade="1A"/>
                <w:lang w:val="en-US" w:eastAsia="zh-CN"/>
              </w:rPr>
              <w:t>12700</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0C021">
            <w:pPr>
              <w:pStyle w:val="16"/>
              <w:rPr>
                <w:rFonts w:hint="default"/>
                <w:color w:val="181717" w:themeColor="background2" w:themeShade="1A"/>
                <w:lang w:val="en-US" w:eastAsia="zh-CN"/>
              </w:rPr>
            </w:pPr>
            <w:r>
              <w:rPr>
                <w:rFonts w:hint="default"/>
                <w:color w:val="181717" w:themeColor="background2" w:themeShade="1A"/>
                <w:lang w:val="en-US" w:eastAsia="zh-CN"/>
              </w:rPr>
              <w:t>县发展和改革委员会</w:t>
            </w:r>
          </w:p>
        </w:tc>
      </w:tr>
      <w:tr w14:paraId="6A360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F629E">
            <w:pPr>
              <w:pStyle w:val="16"/>
              <w:rPr>
                <w:rFonts w:hint="default"/>
                <w:color w:val="181717" w:themeColor="background2" w:themeShade="1A"/>
                <w:lang w:val="en-US" w:eastAsia="zh-CN"/>
              </w:rPr>
            </w:pPr>
            <w:r>
              <w:rPr>
                <w:rFonts w:hint="default"/>
                <w:color w:val="181717" w:themeColor="background2" w:themeShade="1A"/>
                <w:lang w:val="en-US" w:eastAsia="zh-CN"/>
              </w:rPr>
              <w:t>7</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ECFAE">
            <w:pPr>
              <w:pStyle w:val="16"/>
              <w:rPr>
                <w:rFonts w:hint="default"/>
                <w:color w:val="181717" w:themeColor="background2" w:themeShade="1A"/>
                <w:lang w:val="en-US" w:eastAsia="zh-CN"/>
              </w:rPr>
            </w:pPr>
            <w:r>
              <w:rPr>
                <w:rFonts w:hint="default"/>
                <w:color w:val="181717" w:themeColor="background2" w:themeShade="1A"/>
                <w:lang w:val="en-US" w:eastAsia="zh-CN"/>
              </w:rPr>
              <w:t>海洋塑料清洗与改性造粒</w:t>
            </w:r>
          </w:p>
        </w:tc>
        <w:tc>
          <w:tcPr>
            <w:tcW w:w="1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FF602">
            <w:pPr>
              <w:pStyle w:val="16"/>
              <w:jc w:val="left"/>
              <w:rPr>
                <w:rFonts w:hint="default"/>
                <w:color w:val="181717" w:themeColor="background2" w:themeShade="1A"/>
                <w:lang w:val="en-US" w:eastAsia="zh-CN"/>
              </w:rPr>
            </w:pPr>
            <w:r>
              <w:rPr>
                <w:rFonts w:hint="default"/>
                <w:color w:val="181717" w:themeColor="background2" w:themeShade="1A"/>
                <w:lang w:val="en-US" w:eastAsia="zh-CN"/>
              </w:rPr>
              <w:t>沿海渔港及滨海乡镇常见的缆绳、废弃渔具等开展分拣，破碎清洗与高性能改性回收利用，项目将有效承接“蓝色海洋垃圾”回收任务，探索海洋塑料的资源转化路径。</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56BA8">
            <w:pPr>
              <w:pStyle w:val="16"/>
              <w:jc w:val="left"/>
              <w:rPr>
                <w:rFonts w:hint="default" w:ascii="Times New Roman" w:hAnsi="Times New Roman"/>
                <w:color w:val="181717" w:themeColor="background2" w:themeShade="1A"/>
                <w:lang w:val="en-US" w:eastAsia="zh-CN"/>
              </w:rPr>
            </w:pPr>
            <w:r>
              <w:rPr>
                <w:rFonts w:hint="default" w:ascii="Times New Roman" w:hAnsi="Times New Roman"/>
                <w:color w:val="181717" w:themeColor="background2" w:themeShade="1A"/>
                <w:lang w:val="en-US" w:eastAsia="zh-CN"/>
              </w:rPr>
              <w:t>《屯昌县国民经济和社会发展第十五个五年规划纲要》打造绿色低碳循环经济产业体系。推进绿色分拣中心、海洋塑料改性造粒、农林废弃物处理、家电与汽车智能拆解、动力电池综合利用及材料回收等重点项目</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71E29">
            <w:pPr>
              <w:pStyle w:val="16"/>
              <w:rPr>
                <w:rFonts w:hint="default"/>
                <w:color w:val="181717" w:themeColor="background2" w:themeShade="1A"/>
                <w:lang w:val="en-US" w:eastAsia="zh-CN"/>
              </w:rPr>
            </w:pPr>
            <w:r>
              <w:rPr>
                <w:rFonts w:hint="default"/>
                <w:color w:val="181717" w:themeColor="background2" w:themeShade="1A"/>
                <w:lang w:val="en-US" w:eastAsia="zh-CN"/>
              </w:rPr>
              <w:t>2026-2027年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EE47A">
            <w:pPr>
              <w:pStyle w:val="16"/>
              <w:rPr>
                <w:rFonts w:hint="default"/>
                <w:color w:val="181717" w:themeColor="background2" w:themeShade="1A"/>
                <w:lang w:val="en-US" w:eastAsia="zh-CN"/>
              </w:rPr>
            </w:pPr>
            <w:r>
              <w:rPr>
                <w:rFonts w:hint="default"/>
                <w:color w:val="181717" w:themeColor="background2" w:themeShade="1A"/>
                <w:lang w:val="en-US" w:eastAsia="zh-CN"/>
              </w:rPr>
              <w:t>600</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B04D0">
            <w:pPr>
              <w:pStyle w:val="16"/>
              <w:rPr>
                <w:rFonts w:hint="default"/>
                <w:color w:val="181717" w:themeColor="background2" w:themeShade="1A"/>
                <w:lang w:val="en-US" w:eastAsia="zh-CN"/>
              </w:rPr>
            </w:pPr>
            <w:r>
              <w:rPr>
                <w:rFonts w:hint="default"/>
                <w:color w:val="181717" w:themeColor="background2" w:themeShade="1A"/>
                <w:lang w:val="en-US" w:eastAsia="zh-CN"/>
              </w:rPr>
              <w:t>县发展和改革委员会</w:t>
            </w:r>
          </w:p>
        </w:tc>
      </w:tr>
      <w:tr w14:paraId="2FC1A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BF360">
            <w:pPr>
              <w:pStyle w:val="16"/>
              <w:rPr>
                <w:rFonts w:hint="default"/>
                <w:color w:val="181717" w:themeColor="background2" w:themeShade="1A"/>
                <w:lang w:val="en-US" w:eastAsia="zh-CN"/>
              </w:rPr>
            </w:pPr>
            <w:r>
              <w:rPr>
                <w:rFonts w:hint="eastAsia"/>
                <w:color w:val="181717" w:themeColor="background2" w:themeShade="1A"/>
                <w:lang w:val="en-US" w:eastAsia="zh-CN"/>
              </w:rPr>
              <w:t>8</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97E23">
            <w:pPr>
              <w:pStyle w:val="16"/>
              <w:jc w:val="center"/>
              <w:rPr>
                <w:rFonts w:hint="default" w:ascii="Times New Roman" w:hAnsi="Times New Roman"/>
                <w:color w:val="181717" w:themeColor="background2" w:themeShade="1A"/>
                <w:lang w:val="en-US" w:eastAsia="zh-CN"/>
              </w:rPr>
            </w:pPr>
            <w:r>
              <w:rPr>
                <w:rFonts w:hint="eastAsia" w:ascii="Times New Roman" w:hAnsi="Times New Roman"/>
                <w:color w:val="181717" w:themeColor="background2" w:themeShade="1A"/>
                <w:lang w:val="en-US" w:eastAsia="zh-CN"/>
              </w:rPr>
              <w:t>石材废料循环利用中心</w:t>
            </w:r>
          </w:p>
        </w:tc>
        <w:tc>
          <w:tcPr>
            <w:tcW w:w="1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6C5EC">
            <w:pPr>
              <w:pStyle w:val="16"/>
              <w:jc w:val="left"/>
              <w:rPr>
                <w:rFonts w:hint="default" w:ascii="Times New Roman" w:hAnsi="Times New Roman"/>
                <w:color w:val="181717" w:themeColor="background2" w:themeShade="1A"/>
                <w:lang w:val="en-US" w:eastAsia="zh-CN"/>
              </w:rPr>
            </w:pPr>
            <w:r>
              <w:rPr>
                <w:rFonts w:hint="default" w:ascii="Times New Roman" w:hAnsi="Times New Roman"/>
                <w:color w:val="181717" w:themeColor="background2" w:themeShade="1A"/>
                <w:lang w:val="en-US" w:eastAsia="zh-CN"/>
              </w:rPr>
              <w:t>石粉高压压制成型线（人造石英石）、碎石再生骨料生产线（用于透水砖）；搭建碳足迹监测平台，对接海南国际碳交易市场。</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33FA5">
            <w:pPr>
              <w:pStyle w:val="16"/>
              <w:jc w:val="both"/>
              <w:rPr>
                <w:rFonts w:hint="default" w:ascii="Times New Roman" w:hAnsi="Times New Roman"/>
                <w:color w:val="181717" w:themeColor="background2" w:themeShade="1A"/>
                <w:lang w:val="en-US" w:eastAsia="zh-CN"/>
              </w:rPr>
            </w:pPr>
            <w:r>
              <w:rPr>
                <w:rFonts w:hint="eastAsia" w:ascii="Times New Roman" w:hAnsi="Times New Roman"/>
                <w:color w:val="181717" w:themeColor="background2" w:themeShade="1A"/>
                <w:lang w:val="en-US" w:eastAsia="zh-CN"/>
              </w:rPr>
              <w:t>《</w:t>
            </w:r>
            <w:r>
              <w:rPr>
                <w:rFonts w:hint="default" w:ascii="Times New Roman" w:hAnsi="Times New Roman"/>
                <w:color w:val="181717" w:themeColor="background2" w:themeShade="1A"/>
                <w:lang w:val="en-US" w:eastAsia="zh-CN"/>
              </w:rPr>
              <w:t>屯昌县推动新型石材建设产区建设实施方案</w:t>
            </w:r>
            <w:r>
              <w:rPr>
                <w:rFonts w:hint="eastAsia" w:ascii="Times New Roman" w:hAnsi="Times New Roman"/>
                <w:color w:val="181717" w:themeColor="background2" w:themeShade="1A"/>
                <w:lang w:val="en-US" w:eastAsia="zh-CN"/>
              </w:rPr>
              <w:t>》</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EF355">
            <w:pPr>
              <w:pStyle w:val="16"/>
              <w:jc w:val="left"/>
              <w:rPr>
                <w:rFonts w:hint="default" w:ascii="Times New Roman" w:hAnsi="Times New Roman"/>
                <w:color w:val="181717" w:themeColor="background2" w:themeShade="1A"/>
                <w:lang w:val="en-US" w:eastAsia="zh-CN"/>
              </w:rPr>
            </w:pPr>
            <w:r>
              <w:rPr>
                <w:rFonts w:hint="eastAsia" w:ascii="Times New Roman" w:hAnsi="Times New Roman"/>
                <w:color w:val="181717" w:themeColor="background2" w:themeShade="1A"/>
                <w:lang w:val="en-US" w:eastAsia="zh-CN"/>
              </w:rPr>
              <w:t>2028-2030年</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62361">
            <w:pPr>
              <w:pStyle w:val="16"/>
              <w:ind w:firstLine="480" w:firstLineChars="200"/>
              <w:jc w:val="left"/>
              <w:rPr>
                <w:rFonts w:hint="default" w:ascii="Times New Roman" w:hAnsi="Times New Roman"/>
                <w:color w:val="181717" w:themeColor="background2" w:themeShade="1A"/>
                <w:lang w:val="en-US" w:eastAsia="zh-CN"/>
              </w:rPr>
            </w:pPr>
            <w:r>
              <w:rPr>
                <w:rFonts w:hint="eastAsia" w:ascii="Times New Roman" w:hAnsi="Times New Roman"/>
                <w:color w:val="181717" w:themeColor="background2" w:themeShade="1A"/>
                <w:lang w:val="en-US" w:eastAsia="zh-CN"/>
              </w:rPr>
              <w:t>27000</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4B96D">
            <w:pPr>
              <w:pStyle w:val="16"/>
              <w:jc w:val="left"/>
              <w:rPr>
                <w:rFonts w:hint="default" w:ascii="Times New Roman" w:hAnsi="Times New Roman"/>
                <w:color w:val="181717" w:themeColor="background2" w:themeShade="1A"/>
                <w:lang w:val="en-US" w:eastAsia="zh-CN"/>
              </w:rPr>
            </w:pPr>
            <w:r>
              <w:rPr>
                <w:rFonts w:hint="eastAsia" w:ascii="Times New Roman" w:hAnsi="Times New Roman"/>
                <w:color w:val="181717" w:themeColor="background2" w:themeShade="1A"/>
                <w:lang w:val="en-US" w:eastAsia="zh-CN"/>
              </w:rPr>
              <w:t>县科工信局</w:t>
            </w:r>
          </w:p>
        </w:tc>
      </w:tr>
    </w:tbl>
    <w:p w14:paraId="7EB78F2E">
      <w:pPr>
        <w:pStyle w:val="3"/>
        <w:rPr>
          <w:rFonts w:hint="eastAsia"/>
          <w:color w:val="181717" w:themeColor="background2" w:themeShade="1A"/>
          <w:lang w:val="en-US" w:eastAsia="zh-CN"/>
        </w:rPr>
      </w:pPr>
    </w:p>
    <w:p w14:paraId="5D03159F">
      <w:pPr>
        <w:pStyle w:val="3"/>
        <w:rPr>
          <w:rFonts w:hint="eastAsia"/>
          <w:color w:val="181717" w:themeColor="background2" w:themeShade="1A"/>
          <w:lang w:val="en-US" w:eastAsia="zh-CN"/>
        </w:rPr>
      </w:pPr>
      <w:r>
        <w:rPr>
          <w:rFonts w:hint="eastAsia"/>
          <w:color w:val="181717" w:themeColor="background2" w:themeShade="1A"/>
          <w:lang w:val="en-US" w:eastAsia="zh-CN"/>
        </w:rPr>
        <w:br w:type="page"/>
      </w:r>
    </w:p>
    <w:p w14:paraId="1CF62229">
      <w:pPr>
        <w:pStyle w:val="25"/>
        <w:keepNext w:val="0"/>
        <w:keepLines w:val="0"/>
        <w:pageBreakBefore w:val="0"/>
        <w:widowControl w:val="0"/>
        <w:kinsoku/>
        <w:wordWrap/>
        <w:overflowPunct/>
        <w:topLinePunct w:val="0"/>
        <w:autoSpaceDE/>
        <w:autoSpaceDN/>
        <w:bidi w:val="0"/>
        <w:adjustRightInd/>
        <w:snapToGrid/>
        <w:textAlignment w:val="auto"/>
        <w:outlineLvl w:val="9"/>
        <w:rPr>
          <w:rFonts w:hint="default"/>
          <w:color w:val="181717" w:themeColor="background2" w:themeShade="1A"/>
          <w:lang w:val="en-US" w:eastAsia="zh-CN"/>
        </w:rPr>
      </w:pPr>
      <w:r>
        <w:rPr>
          <w:rFonts w:hint="eastAsia"/>
          <w:color w:val="181717" w:themeColor="background2" w:themeShade="1A"/>
          <w:lang w:val="en-US" w:eastAsia="zh-CN"/>
        </w:rPr>
        <w:t>表10-4 “十五五”生态建设和修复重点工程</w:t>
      </w:r>
    </w:p>
    <w:tbl>
      <w:tblPr>
        <w:tblStyle w:val="20"/>
        <w:tblW w:w="508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5"/>
        <w:gridCol w:w="1748"/>
        <w:gridCol w:w="5318"/>
        <w:gridCol w:w="3193"/>
        <w:gridCol w:w="1559"/>
        <w:gridCol w:w="885"/>
        <w:gridCol w:w="1705"/>
      </w:tblGrid>
      <w:tr w14:paraId="15565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CCD02">
            <w:pPr>
              <w:pStyle w:val="16"/>
              <w:bidi w:val="0"/>
              <w:rPr>
                <w:rFonts w:hint="eastAsia"/>
                <w:b/>
                <w:bCs/>
                <w:color w:val="181717" w:themeColor="background2" w:themeShade="1A"/>
              </w:rPr>
            </w:pPr>
            <w:r>
              <w:rPr>
                <w:rFonts w:hint="eastAsia"/>
                <w:b/>
                <w:bCs/>
                <w:color w:val="181717" w:themeColor="background2" w:themeShade="1A"/>
                <w:lang w:val="en-US" w:eastAsia="zh-CN"/>
              </w:rPr>
              <w:t>序号</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D7134">
            <w:pPr>
              <w:pStyle w:val="16"/>
              <w:bidi w:val="0"/>
              <w:rPr>
                <w:rFonts w:hint="eastAsia"/>
                <w:b/>
                <w:bCs/>
                <w:color w:val="181717" w:themeColor="background2" w:themeShade="1A"/>
              </w:rPr>
            </w:pPr>
            <w:r>
              <w:rPr>
                <w:rFonts w:hint="eastAsia"/>
                <w:b/>
                <w:bCs/>
                <w:color w:val="181717" w:themeColor="background2" w:themeShade="1A"/>
                <w:lang w:val="en-US" w:eastAsia="zh-CN"/>
              </w:rPr>
              <w:t>工程名称</w:t>
            </w:r>
          </w:p>
        </w:tc>
        <w:tc>
          <w:tcPr>
            <w:tcW w:w="1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64E21">
            <w:pPr>
              <w:pStyle w:val="16"/>
              <w:bidi w:val="0"/>
              <w:rPr>
                <w:rFonts w:hint="eastAsia"/>
                <w:b/>
                <w:bCs/>
                <w:color w:val="181717" w:themeColor="background2" w:themeShade="1A"/>
              </w:rPr>
            </w:pPr>
            <w:r>
              <w:rPr>
                <w:rFonts w:hint="eastAsia"/>
                <w:b/>
                <w:bCs/>
                <w:color w:val="181717" w:themeColor="background2" w:themeShade="1A"/>
                <w:lang w:val="en-US" w:eastAsia="zh-CN"/>
              </w:rPr>
              <w:t>建设内容</w:t>
            </w:r>
          </w:p>
        </w:tc>
        <w:tc>
          <w:tcPr>
            <w:tcW w:w="10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75381">
            <w:pPr>
              <w:pStyle w:val="16"/>
              <w:bidi w:val="0"/>
              <w:rPr>
                <w:rFonts w:hint="eastAsia"/>
                <w:b/>
                <w:bCs/>
                <w:color w:val="181717" w:themeColor="background2" w:themeShade="1A"/>
              </w:rPr>
            </w:pPr>
            <w:r>
              <w:rPr>
                <w:rFonts w:hint="eastAsia"/>
                <w:b/>
                <w:bCs/>
                <w:color w:val="181717" w:themeColor="background2" w:themeShade="1A"/>
                <w:lang w:val="en-US" w:eastAsia="zh-CN"/>
              </w:rPr>
              <w:t>策划依据</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B2E87">
            <w:pPr>
              <w:pStyle w:val="16"/>
              <w:bidi w:val="0"/>
              <w:rPr>
                <w:rFonts w:hint="eastAsia"/>
                <w:b/>
                <w:bCs/>
                <w:color w:val="181717" w:themeColor="background2" w:themeShade="1A"/>
              </w:rPr>
            </w:pPr>
            <w:r>
              <w:rPr>
                <w:rFonts w:hint="eastAsia"/>
                <w:b/>
                <w:bCs/>
                <w:color w:val="181717" w:themeColor="background2" w:themeShade="1A"/>
                <w:lang w:val="en-US" w:eastAsia="zh-CN"/>
              </w:rPr>
              <w:t>起止年限</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FDB07">
            <w:pPr>
              <w:pStyle w:val="16"/>
              <w:bidi w:val="0"/>
              <w:rPr>
                <w:rFonts w:hint="eastAsia"/>
                <w:b/>
                <w:bCs/>
                <w:color w:val="181717" w:themeColor="background2" w:themeShade="1A"/>
              </w:rPr>
            </w:pPr>
            <w:r>
              <w:rPr>
                <w:rFonts w:hint="eastAsia"/>
                <w:b/>
                <w:bCs/>
                <w:color w:val="181717" w:themeColor="background2" w:themeShade="1A"/>
                <w:lang w:val="en-US" w:eastAsia="zh-CN"/>
              </w:rPr>
              <w:t>投资预算（万元）</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21A8E">
            <w:pPr>
              <w:pStyle w:val="16"/>
              <w:bidi w:val="0"/>
              <w:rPr>
                <w:rFonts w:hint="eastAsia"/>
                <w:b/>
                <w:bCs/>
                <w:color w:val="181717" w:themeColor="background2" w:themeShade="1A"/>
              </w:rPr>
            </w:pPr>
            <w:r>
              <w:rPr>
                <w:rFonts w:hint="eastAsia"/>
                <w:b/>
                <w:bCs/>
                <w:color w:val="181717" w:themeColor="background2" w:themeShade="1A"/>
                <w:lang w:val="en-US" w:eastAsia="zh-CN"/>
              </w:rPr>
              <w:t>责任单位</w:t>
            </w:r>
          </w:p>
        </w:tc>
      </w:tr>
      <w:tr w14:paraId="45871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BAECB">
            <w:pPr>
              <w:pStyle w:val="16"/>
              <w:rPr>
                <w:rFonts w:hint="default" w:eastAsia="仿宋_GB2312"/>
                <w:color w:val="181717" w:themeColor="background2" w:themeShade="1A"/>
                <w:lang w:val="en-US" w:eastAsia="zh-CN"/>
              </w:rPr>
            </w:pPr>
            <w:r>
              <w:rPr>
                <w:rFonts w:hint="default"/>
                <w:color w:val="181717" w:themeColor="background2" w:themeShade="1A"/>
                <w:lang w:val="en-US" w:eastAsia="zh-CN"/>
              </w:rPr>
              <w:t>1</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88712">
            <w:pPr>
              <w:pStyle w:val="16"/>
              <w:rPr>
                <w:rFonts w:hint="default"/>
                <w:color w:val="181717" w:themeColor="background2" w:themeShade="1A"/>
              </w:rPr>
            </w:pPr>
            <w:r>
              <w:rPr>
                <w:rFonts w:hint="default"/>
                <w:color w:val="181717" w:themeColor="background2" w:themeShade="1A"/>
                <w:lang w:val="en-US" w:eastAsia="zh-CN"/>
              </w:rPr>
              <w:t>外来物种专项防控工程</w:t>
            </w:r>
          </w:p>
        </w:tc>
        <w:tc>
          <w:tcPr>
            <w:tcW w:w="1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9FCBF">
            <w:pPr>
              <w:pStyle w:val="16"/>
              <w:jc w:val="left"/>
              <w:rPr>
                <w:rFonts w:hint="default"/>
                <w:color w:val="181717" w:themeColor="background2" w:themeShade="1A"/>
              </w:rPr>
            </w:pPr>
            <w:r>
              <w:rPr>
                <w:rFonts w:hint="default"/>
                <w:color w:val="181717" w:themeColor="background2" w:themeShade="1A"/>
                <w:lang w:val="en-US" w:eastAsia="zh-CN"/>
              </w:rPr>
              <w:t>制定外来物种专项防控方案并积极推行，及时控制或消除危害，并对外来入侵物种发生区开展生态系统恢复。</w:t>
            </w:r>
          </w:p>
        </w:tc>
        <w:tc>
          <w:tcPr>
            <w:tcW w:w="10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6090B">
            <w:pPr>
              <w:pStyle w:val="16"/>
              <w:jc w:val="left"/>
              <w:rPr>
                <w:rFonts w:hint="default"/>
                <w:color w:val="181717" w:themeColor="background2" w:themeShade="1A"/>
              </w:rPr>
            </w:pPr>
            <w:r>
              <w:rPr>
                <w:rFonts w:hint="default"/>
                <w:color w:val="181717" w:themeColor="background2" w:themeShade="1A"/>
                <w:lang w:val="en-US" w:eastAsia="zh-CN"/>
              </w:rPr>
              <w:t>《海南省屯昌县生态文明建设示范区规划（2025—2030年）》</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FCBDC">
            <w:pPr>
              <w:pStyle w:val="16"/>
              <w:rPr>
                <w:rFonts w:hint="default"/>
                <w:color w:val="181717" w:themeColor="background2" w:themeShade="1A"/>
              </w:rPr>
            </w:pPr>
            <w:r>
              <w:rPr>
                <w:rFonts w:hint="default"/>
                <w:color w:val="181717" w:themeColor="background2" w:themeShade="1A"/>
                <w:lang w:val="en-US" w:eastAsia="zh-CN"/>
              </w:rPr>
              <w:t>2026年</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2DC90">
            <w:pPr>
              <w:pStyle w:val="16"/>
              <w:rPr>
                <w:rFonts w:hint="default"/>
                <w:color w:val="181717" w:themeColor="background2" w:themeShade="1A"/>
              </w:rPr>
            </w:pPr>
            <w:r>
              <w:rPr>
                <w:rFonts w:hint="default"/>
                <w:color w:val="181717" w:themeColor="background2" w:themeShade="1A"/>
                <w:lang w:val="en-US" w:eastAsia="zh-CN"/>
              </w:rPr>
              <w:t>100</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8D1FF">
            <w:pPr>
              <w:pStyle w:val="16"/>
              <w:rPr>
                <w:rFonts w:hint="default"/>
                <w:color w:val="181717" w:themeColor="background2" w:themeShade="1A"/>
              </w:rPr>
            </w:pPr>
            <w:r>
              <w:rPr>
                <w:rFonts w:hint="default"/>
                <w:color w:val="181717" w:themeColor="background2" w:themeShade="1A"/>
                <w:lang w:val="en-US" w:eastAsia="zh-CN"/>
              </w:rPr>
              <w:t>县林业</w:t>
            </w:r>
            <w:r>
              <w:rPr>
                <w:rFonts w:hint="eastAsia"/>
                <w:color w:val="181717" w:themeColor="background2" w:themeShade="1A"/>
                <w:lang w:val="en-US" w:eastAsia="zh-CN"/>
              </w:rPr>
              <w:t>事务</w:t>
            </w:r>
            <w:r>
              <w:rPr>
                <w:rFonts w:hint="default"/>
                <w:color w:val="181717" w:themeColor="background2" w:themeShade="1A"/>
                <w:lang w:val="en-US" w:eastAsia="zh-CN"/>
              </w:rPr>
              <w:t>中心</w:t>
            </w:r>
          </w:p>
        </w:tc>
      </w:tr>
      <w:tr w14:paraId="0E358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3184B">
            <w:pPr>
              <w:pStyle w:val="16"/>
              <w:rPr>
                <w:rFonts w:hint="default"/>
                <w:color w:val="181717" w:themeColor="background2" w:themeShade="1A"/>
                <w:lang w:val="en-US"/>
              </w:rPr>
            </w:pPr>
            <w:r>
              <w:rPr>
                <w:rFonts w:hint="default"/>
                <w:color w:val="181717" w:themeColor="background2" w:themeShade="1A"/>
                <w:lang w:val="en-US" w:eastAsia="zh-CN"/>
              </w:rPr>
              <w:t>2</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2BDB4">
            <w:pPr>
              <w:pStyle w:val="16"/>
              <w:rPr>
                <w:rFonts w:hint="default"/>
                <w:color w:val="181717" w:themeColor="background2" w:themeShade="1A"/>
              </w:rPr>
            </w:pPr>
            <w:r>
              <w:rPr>
                <w:rFonts w:hint="default"/>
                <w:color w:val="181717" w:themeColor="background2" w:themeShade="1A"/>
                <w:lang w:val="en-US" w:eastAsia="zh-CN"/>
              </w:rPr>
              <w:t>屯昌县生态调查评估工程</w:t>
            </w:r>
          </w:p>
        </w:tc>
        <w:tc>
          <w:tcPr>
            <w:tcW w:w="1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89770">
            <w:pPr>
              <w:pStyle w:val="16"/>
              <w:jc w:val="left"/>
              <w:rPr>
                <w:rFonts w:hint="default"/>
                <w:color w:val="181717" w:themeColor="background2" w:themeShade="1A"/>
              </w:rPr>
            </w:pPr>
            <w:r>
              <w:rPr>
                <w:rFonts w:hint="default"/>
                <w:color w:val="181717" w:themeColor="background2" w:themeShade="1A"/>
                <w:lang w:val="en-US" w:eastAsia="zh-CN"/>
              </w:rPr>
              <w:t>系统开展全县河湖水域生态本底调查，重点评估水质状况、水生生物多样性、河湖生态健康状况及亲水空间品质，全面诊断河湖生态环境突出问题，构建河湖生态数据库与管理平台，最终形成“一河一策”保护与修复方案，为打造“水清岸绿、鱼翔浅底”的美丽河湖提供技术支撑。</w:t>
            </w:r>
          </w:p>
        </w:tc>
        <w:tc>
          <w:tcPr>
            <w:tcW w:w="10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26050">
            <w:pPr>
              <w:pStyle w:val="16"/>
              <w:jc w:val="left"/>
              <w:rPr>
                <w:rFonts w:hint="default"/>
                <w:color w:val="181717" w:themeColor="background2" w:themeShade="1A"/>
              </w:rPr>
            </w:pPr>
            <w:r>
              <w:rPr>
                <w:rFonts w:hint="default"/>
                <w:color w:val="181717" w:themeColor="background2" w:themeShade="1A"/>
                <w:lang w:val="en-US" w:eastAsia="zh-CN"/>
              </w:rPr>
              <w:t>《谱写新征程美丽海南新篇章争当美丽中国示范样板实施方案》（琼发〔2024〕8号）</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26020">
            <w:pPr>
              <w:pStyle w:val="16"/>
              <w:rPr>
                <w:rFonts w:hint="default"/>
                <w:color w:val="181717" w:themeColor="background2" w:themeShade="1A"/>
              </w:rPr>
            </w:pPr>
            <w:r>
              <w:rPr>
                <w:rFonts w:hint="default"/>
                <w:color w:val="181717" w:themeColor="background2" w:themeShade="1A"/>
                <w:lang w:val="en-US" w:eastAsia="zh-CN"/>
              </w:rPr>
              <w:t>2026-2028年</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92F57">
            <w:pPr>
              <w:pStyle w:val="16"/>
              <w:rPr>
                <w:rFonts w:hint="default"/>
                <w:color w:val="181717" w:themeColor="background2" w:themeShade="1A"/>
              </w:rPr>
            </w:pPr>
            <w:r>
              <w:rPr>
                <w:rFonts w:hint="default"/>
                <w:color w:val="181717" w:themeColor="background2" w:themeShade="1A"/>
                <w:lang w:val="en-US" w:eastAsia="zh-CN"/>
              </w:rPr>
              <w:t>300</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0A276">
            <w:pPr>
              <w:pStyle w:val="16"/>
              <w:rPr>
                <w:rFonts w:hint="default"/>
                <w:color w:val="181717" w:themeColor="background2" w:themeShade="1A"/>
              </w:rPr>
            </w:pPr>
            <w:r>
              <w:rPr>
                <w:rFonts w:hint="default"/>
                <w:color w:val="181717" w:themeColor="background2" w:themeShade="1A"/>
                <w:lang w:val="en-US" w:eastAsia="zh-CN"/>
              </w:rPr>
              <w:t>县</w:t>
            </w:r>
            <w:r>
              <w:rPr>
                <w:rFonts w:hint="eastAsia"/>
                <w:color w:val="181717" w:themeColor="background2" w:themeShade="1A"/>
                <w:lang w:val="en-US" w:eastAsia="zh-CN"/>
              </w:rPr>
              <w:t>水务局</w:t>
            </w:r>
          </w:p>
        </w:tc>
      </w:tr>
      <w:tr w14:paraId="1B833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BAA4F">
            <w:pPr>
              <w:pStyle w:val="16"/>
              <w:rPr>
                <w:rFonts w:hint="default"/>
                <w:color w:val="181717" w:themeColor="background2" w:themeShade="1A"/>
                <w:lang w:val="en-US"/>
              </w:rPr>
            </w:pPr>
            <w:r>
              <w:rPr>
                <w:rFonts w:hint="default"/>
                <w:color w:val="181717" w:themeColor="background2" w:themeShade="1A"/>
                <w:lang w:val="en-US" w:eastAsia="zh-CN"/>
              </w:rPr>
              <w:t>3</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06DFD">
            <w:pPr>
              <w:pStyle w:val="16"/>
              <w:rPr>
                <w:rFonts w:hint="default"/>
                <w:color w:val="181717" w:themeColor="background2" w:themeShade="1A"/>
              </w:rPr>
            </w:pPr>
            <w:r>
              <w:rPr>
                <w:rFonts w:hint="default"/>
                <w:color w:val="181717" w:themeColor="background2" w:themeShade="1A"/>
                <w:lang w:val="en-US" w:eastAsia="zh-CN"/>
              </w:rPr>
              <w:t>海南省屯昌县新吴溪水土流失治理项目</w:t>
            </w:r>
          </w:p>
        </w:tc>
        <w:tc>
          <w:tcPr>
            <w:tcW w:w="1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A5B0C">
            <w:pPr>
              <w:pStyle w:val="16"/>
              <w:jc w:val="left"/>
              <w:rPr>
                <w:rFonts w:hint="default"/>
                <w:color w:val="181717" w:themeColor="background2" w:themeShade="1A"/>
              </w:rPr>
            </w:pPr>
            <w:r>
              <w:rPr>
                <w:rFonts w:hint="eastAsia"/>
                <w:color w:val="181717" w:themeColor="background2" w:themeShade="1A"/>
                <w:lang w:val="en-US" w:eastAsia="zh-CN"/>
              </w:rPr>
              <w:t>计划治理水土流失面积约27.16km</w:t>
            </w:r>
            <w:r>
              <w:rPr>
                <w:rFonts w:hint="eastAsia"/>
                <w:color w:val="181717" w:themeColor="background2" w:themeShade="1A"/>
                <w:vertAlign w:val="superscript"/>
                <w:lang w:val="en-US" w:eastAsia="zh-CN"/>
              </w:rPr>
              <w:t>2</w:t>
            </w:r>
            <w:r>
              <w:rPr>
                <w:rFonts w:hint="eastAsia"/>
                <w:color w:val="181717" w:themeColor="background2" w:themeShade="1A"/>
                <w:lang w:val="en-US" w:eastAsia="zh-CN"/>
              </w:rPr>
              <w:t>，建设内容：1、坡园地整治1700hm</w:t>
            </w:r>
            <w:r>
              <w:rPr>
                <w:rFonts w:hint="eastAsia"/>
                <w:color w:val="181717" w:themeColor="background2" w:themeShade="1A"/>
                <w:vertAlign w:val="superscript"/>
                <w:lang w:val="en-US" w:eastAsia="zh-CN"/>
              </w:rPr>
              <w:t>2</w:t>
            </w:r>
            <w:r>
              <w:rPr>
                <w:rFonts w:hint="eastAsia"/>
                <w:color w:val="181717" w:themeColor="background2" w:themeShade="1A"/>
                <w:lang w:val="en-US" w:eastAsia="zh-CN"/>
              </w:rPr>
              <w:t>；2、坡面截水排水工程2.53 km；3、造林面积5.0hm</w:t>
            </w:r>
            <w:r>
              <w:rPr>
                <w:rFonts w:hint="eastAsia"/>
                <w:color w:val="181717" w:themeColor="background2" w:themeShade="1A"/>
                <w:vertAlign w:val="superscript"/>
                <w:lang w:val="en-US" w:eastAsia="zh-CN"/>
              </w:rPr>
              <w:t>2</w:t>
            </w:r>
            <w:r>
              <w:rPr>
                <w:rFonts w:hint="eastAsia"/>
                <w:color w:val="181717" w:themeColor="background2" w:themeShade="1A"/>
                <w:lang w:val="en-US" w:eastAsia="zh-CN"/>
              </w:rPr>
              <w:t>，植草面积1.0hm</w:t>
            </w:r>
            <w:r>
              <w:rPr>
                <w:rFonts w:hint="eastAsia"/>
                <w:color w:val="181717" w:themeColor="background2" w:themeShade="1A"/>
                <w:vertAlign w:val="superscript"/>
                <w:lang w:val="en-US" w:eastAsia="zh-CN"/>
              </w:rPr>
              <w:t>2</w:t>
            </w:r>
            <w:r>
              <w:rPr>
                <w:rFonts w:hint="eastAsia"/>
                <w:color w:val="181717" w:themeColor="background2" w:themeShade="1A"/>
                <w:lang w:val="en-US" w:eastAsia="zh-CN"/>
              </w:rPr>
              <w:t>；4、生产道路工程22.94km；5、河湖水系综合整治26.98km；6、封育治理1300hm</w:t>
            </w:r>
            <w:r>
              <w:rPr>
                <w:rFonts w:hint="eastAsia"/>
                <w:color w:val="181717" w:themeColor="background2" w:themeShade="1A"/>
                <w:vertAlign w:val="superscript"/>
                <w:lang w:val="en-US" w:eastAsia="zh-CN"/>
              </w:rPr>
              <w:t>2</w:t>
            </w:r>
            <w:r>
              <w:rPr>
                <w:rFonts w:hint="eastAsia"/>
                <w:color w:val="181717" w:themeColor="background2" w:themeShade="1A"/>
                <w:lang w:val="en-US" w:eastAsia="zh-CN"/>
              </w:rPr>
              <w:t>，配套疏林补植补种和拦护设施。</w:t>
            </w:r>
          </w:p>
        </w:tc>
        <w:tc>
          <w:tcPr>
            <w:tcW w:w="10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6F686">
            <w:pPr>
              <w:pStyle w:val="16"/>
              <w:jc w:val="left"/>
              <w:rPr>
                <w:rFonts w:hint="default"/>
                <w:color w:val="181717" w:themeColor="background2" w:themeShade="1A"/>
              </w:rPr>
            </w:pPr>
            <w:r>
              <w:rPr>
                <w:rFonts w:hint="eastAsia"/>
                <w:color w:val="181717" w:themeColor="background2" w:themeShade="1A"/>
              </w:rPr>
              <w:t>《谱写新征程美丽海南新篇章争当美丽中国示范样板实施方案》（琼发〔2024〕8号）提出：2035年水土保持率达到国家下达的目标96.03%</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58C9B">
            <w:pPr>
              <w:pStyle w:val="16"/>
              <w:rPr>
                <w:rFonts w:hint="default"/>
                <w:color w:val="181717" w:themeColor="background2" w:themeShade="1A"/>
              </w:rPr>
            </w:pPr>
            <w:r>
              <w:rPr>
                <w:rFonts w:hint="eastAsia"/>
                <w:color w:val="181717" w:themeColor="background2" w:themeShade="1A"/>
                <w:lang w:val="en-US" w:eastAsia="zh-CN"/>
              </w:rPr>
              <w:t>2026-2030年</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6FFBB">
            <w:pPr>
              <w:pStyle w:val="16"/>
              <w:rPr>
                <w:rFonts w:hint="default"/>
                <w:color w:val="181717" w:themeColor="background2" w:themeShade="1A"/>
              </w:rPr>
            </w:pPr>
            <w:r>
              <w:rPr>
                <w:rFonts w:hint="eastAsia"/>
                <w:color w:val="181717" w:themeColor="background2" w:themeShade="1A"/>
                <w:lang w:val="en-US" w:eastAsia="zh-CN"/>
              </w:rPr>
              <w:t>9600</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56F5D">
            <w:pPr>
              <w:pStyle w:val="16"/>
              <w:rPr>
                <w:rFonts w:hint="default"/>
                <w:color w:val="181717" w:themeColor="background2" w:themeShade="1A"/>
              </w:rPr>
            </w:pPr>
            <w:r>
              <w:rPr>
                <w:rFonts w:hint="eastAsia"/>
                <w:color w:val="181717" w:themeColor="background2" w:themeShade="1A"/>
                <w:lang w:val="en-US" w:eastAsia="zh-CN"/>
              </w:rPr>
              <w:t>县水务局</w:t>
            </w:r>
          </w:p>
        </w:tc>
      </w:tr>
      <w:tr w14:paraId="1DF9C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4A35F">
            <w:pPr>
              <w:pStyle w:val="16"/>
              <w:rPr>
                <w:rFonts w:hint="default"/>
                <w:color w:val="181717" w:themeColor="background2" w:themeShade="1A"/>
                <w:lang w:val="en-US" w:eastAsia="zh-CN"/>
              </w:rPr>
            </w:pPr>
            <w:r>
              <w:rPr>
                <w:rFonts w:hint="default"/>
                <w:color w:val="181717" w:themeColor="background2" w:themeShade="1A"/>
                <w:lang w:val="en-US" w:eastAsia="zh-CN"/>
              </w:rPr>
              <w:t>4</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17330">
            <w:pPr>
              <w:pStyle w:val="16"/>
              <w:rPr>
                <w:rFonts w:hint="default"/>
                <w:color w:val="181717" w:themeColor="background2" w:themeShade="1A"/>
                <w:lang w:val="en-US" w:eastAsia="zh-CN"/>
              </w:rPr>
            </w:pPr>
            <w:r>
              <w:rPr>
                <w:rFonts w:hint="eastAsia"/>
                <w:color w:val="181717" w:themeColor="background2" w:themeShade="1A"/>
                <w:lang w:val="en-US" w:eastAsia="zh-CN"/>
              </w:rPr>
              <w:t>新吴溪美丽河湖保护与建设项目</w:t>
            </w:r>
          </w:p>
        </w:tc>
        <w:tc>
          <w:tcPr>
            <w:tcW w:w="1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4D374">
            <w:pPr>
              <w:pStyle w:val="16"/>
              <w:jc w:val="left"/>
              <w:rPr>
                <w:rFonts w:hint="default"/>
                <w:color w:val="181717" w:themeColor="background2" w:themeShade="1A"/>
                <w:lang w:val="en-US" w:eastAsia="zh-CN"/>
              </w:rPr>
            </w:pPr>
            <w:r>
              <w:rPr>
                <w:rFonts w:hint="eastAsia"/>
                <w:color w:val="181717" w:themeColor="background2" w:themeShade="1A"/>
                <w:lang w:val="en-US" w:eastAsia="zh-CN"/>
              </w:rPr>
              <w:t>主要对新吴溪及其支流河道（吉安河、红花溪）进行清淤、绿化建设、亮化工程、防洪设施建设工程以及新吴溪流域内文赞水库的水质提升工程的建设，实现新吴溪流域内河道水系的生态环境提升，进一步深化水环境治理。</w:t>
            </w:r>
          </w:p>
        </w:tc>
        <w:tc>
          <w:tcPr>
            <w:tcW w:w="10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F692F">
            <w:pPr>
              <w:pStyle w:val="16"/>
              <w:jc w:val="left"/>
              <w:rPr>
                <w:rFonts w:hint="default"/>
                <w:color w:val="181717" w:themeColor="background2" w:themeShade="1A"/>
                <w:lang w:val="en-US" w:eastAsia="zh-CN"/>
              </w:rPr>
            </w:pPr>
            <w:r>
              <w:rPr>
                <w:rFonts w:hint="eastAsia"/>
                <w:color w:val="181717" w:themeColor="background2" w:themeShade="1A"/>
              </w:rPr>
              <w:t>《屯昌县水安全保障总体规划方案（2026-2030年）》草案</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93471">
            <w:pPr>
              <w:pStyle w:val="16"/>
              <w:rPr>
                <w:rFonts w:hint="default"/>
                <w:color w:val="181717" w:themeColor="background2" w:themeShade="1A"/>
                <w:lang w:val="en-US" w:eastAsia="zh-CN"/>
              </w:rPr>
            </w:pPr>
            <w:r>
              <w:rPr>
                <w:rFonts w:hint="eastAsia"/>
                <w:color w:val="181717" w:themeColor="background2" w:themeShade="1A"/>
                <w:lang w:val="en-US" w:eastAsia="zh-CN"/>
              </w:rPr>
              <w:t>2026-2030年</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FCFC9">
            <w:pPr>
              <w:pStyle w:val="16"/>
              <w:rPr>
                <w:rFonts w:hint="default"/>
                <w:color w:val="181717" w:themeColor="background2" w:themeShade="1A"/>
                <w:lang w:val="en-US" w:eastAsia="zh-CN"/>
              </w:rPr>
            </w:pPr>
            <w:r>
              <w:rPr>
                <w:rFonts w:hint="eastAsia"/>
                <w:color w:val="181717" w:themeColor="background2" w:themeShade="1A"/>
                <w:lang w:val="en-US" w:eastAsia="zh-CN"/>
              </w:rPr>
              <w:t>10500</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4E084">
            <w:pPr>
              <w:pStyle w:val="16"/>
              <w:rPr>
                <w:rFonts w:hint="default"/>
                <w:color w:val="181717" w:themeColor="background2" w:themeShade="1A"/>
                <w:lang w:val="en-US" w:eastAsia="zh-CN"/>
              </w:rPr>
            </w:pPr>
            <w:r>
              <w:rPr>
                <w:rFonts w:hint="eastAsia"/>
                <w:color w:val="181717" w:themeColor="background2" w:themeShade="1A"/>
                <w:lang w:val="en-US" w:eastAsia="zh-CN"/>
              </w:rPr>
              <w:t>县水务局</w:t>
            </w:r>
          </w:p>
        </w:tc>
      </w:tr>
      <w:tr w14:paraId="59485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31393">
            <w:pPr>
              <w:pStyle w:val="16"/>
              <w:rPr>
                <w:rFonts w:hint="default"/>
                <w:color w:val="181717" w:themeColor="background2" w:themeShade="1A"/>
                <w:lang w:val="en-US" w:eastAsia="zh-CN"/>
              </w:rPr>
            </w:pPr>
            <w:r>
              <w:rPr>
                <w:rFonts w:hint="default"/>
                <w:color w:val="181717" w:themeColor="background2" w:themeShade="1A"/>
                <w:lang w:val="en-US" w:eastAsia="zh-CN"/>
              </w:rPr>
              <w:t>5</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02557">
            <w:pPr>
              <w:pStyle w:val="16"/>
              <w:rPr>
                <w:rFonts w:hint="default" w:asciiTheme="minorHAnsi" w:hAnsiTheme="minorHAnsi"/>
                <w:color w:val="181717" w:themeColor="background2" w:themeShade="1A"/>
                <w:lang w:val="en-US" w:eastAsia="zh-CN"/>
              </w:rPr>
            </w:pPr>
            <w:r>
              <w:rPr>
                <w:rFonts w:hint="default" w:asciiTheme="minorHAnsi" w:hAnsiTheme="minorHAnsi"/>
                <w:color w:val="181717" w:themeColor="background2" w:themeShade="1A"/>
                <w:lang w:val="en-US" w:eastAsia="zh-CN"/>
              </w:rPr>
              <w:t>屯昌县生活垃圾填埋场生态治理工程</w:t>
            </w:r>
          </w:p>
        </w:tc>
        <w:tc>
          <w:tcPr>
            <w:tcW w:w="1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84921">
            <w:pPr>
              <w:pStyle w:val="16"/>
              <w:jc w:val="left"/>
              <w:rPr>
                <w:rFonts w:hint="default" w:asciiTheme="minorHAnsi" w:hAnsiTheme="minorHAnsi"/>
                <w:color w:val="181717" w:themeColor="background2" w:themeShade="1A"/>
                <w:lang w:val="en-US" w:eastAsia="zh-CN"/>
              </w:rPr>
            </w:pPr>
            <w:r>
              <w:rPr>
                <w:rFonts w:hint="default" w:asciiTheme="minorHAnsi" w:hAnsiTheme="minorHAnsi"/>
                <w:color w:val="181717" w:themeColor="background2" w:themeShade="1A"/>
                <w:lang w:val="en-US" w:eastAsia="zh-CN"/>
              </w:rPr>
              <w:t>对原县生活垃圾填埋场进行生态修复，主体工程包括堆体整形与处理、垂直防渗设施建设工程、排气收集处理系统、渗滤液收集导排系统、封场覆盖、堆体绿化及在线环境监测系统等</w:t>
            </w:r>
          </w:p>
        </w:tc>
        <w:tc>
          <w:tcPr>
            <w:tcW w:w="10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A6B94">
            <w:pPr>
              <w:pStyle w:val="16"/>
              <w:jc w:val="left"/>
              <w:rPr>
                <w:rFonts w:hint="default" w:asciiTheme="minorHAnsi" w:hAnsiTheme="minorHAnsi"/>
                <w:color w:val="181717" w:themeColor="background2" w:themeShade="1A"/>
                <w:lang w:val="en-US" w:eastAsia="zh-CN"/>
              </w:rPr>
            </w:pPr>
            <w:r>
              <w:rPr>
                <w:rFonts w:hint="default" w:asciiTheme="minorHAnsi" w:hAnsiTheme="minorHAnsi"/>
                <w:color w:val="181717" w:themeColor="background2" w:themeShade="1A"/>
                <w:lang w:val="en-US" w:eastAsia="zh-CN"/>
              </w:rPr>
              <w:t>按照国家及海南省生活垃圾填埋场封场与生态修复技术规范，为彻底化解环境风险、恢复场地生态功能、保障南渡江流域生态安全与周边群众环境权益</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0F69C">
            <w:pPr>
              <w:pStyle w:val="16"/>
              <w:rPr>
                <w:rFonts w:hint="default"/>
                <w:color w:val="181717" w:themeColor="background2" w:themeShade="1A"/>
                <w:lang w:val="en-US" w:eastAsia="zh-CN"/>
              </w:rPr>
            </w:pPr>
            <w:r>
              <w:rPr>
                <w:rFonts w:hint="default"/>
                <w:color w:val="181717" w:themeColor="background2" w:themeShade="1A"/>
                <w:lang w:val="en-US" w:eastAsia="zh-CN"/>
              </w:rPr>
              <w:t>2026-2030年</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6A5E0">
            <w:pPr>
              <w:pStyle w:val="16"/>
              <w:rPr>
                <w:rFonts w:hint="default"/>
                <w:color w:val="181717" w:themeColor="background2" w:themeShade="1A"/>
                <w:lang w:val="en-US" w:eastAsia="zh-CN"/>
              </w:rPr>
            </w:pPr>
            <w:r>
              <w:rPr>
                <w:rFonts w:hint="default"/>
                <w:color w:val="181717" w:themeColor="background2" w:themeShade="1A"/>
                <w:lang w:val="en-US" w:eastAsia="zh-CN"/>
              </w:rPr>
              <w:t>4200</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24D29">
            <w:pPr>
              <w:pStyle w:val="16"/>
              <w:rPr>
                <w:rFonts w:hint="default"/>
                <w:color w:val="181717" w:themeColor="background2" w:themeShade="1A"/>
                <w:lang w:val="en-US" w:eastAsia="zh-CN"/>
              </w:rPr>
            </w:pPr>
            <w:r>
              <w:rPr>
                <w:rFonts w:hint="default"/>
                <w:color w:val="181717" w:themeColor="background2" w:themeShade="1A"/>
                <w:lang w:val="en-US" w:eastAsia="zh-CN"/>
              </w:rPr>
              <w:t>县市政事务中心</w:t>
            </w:r>
          </w:p>
        </w:tc>
      </w:tr>
      <w:tr w14:paraId="244C1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80711">
            <w:pPr>
              <w:pStyle w:val="16"/>
              <w:rPr>
                <w:rFonts w:hint="default"/>
                <w:color w:val="181717" w:themeColor="background2" w:themeShade="1A"/>
                <w:lang w:val="en-US" w:eastAsia="zh-CN"/>
              </w:rPr>
            </w:pPr>
            <w:r>
              <w:rPr>
                <w:rFonts w:hint="default"/>
                <w:color w:val="181717" w:themeColor="background2" w:themeShade="1A"/>
                <w:lang w:val="en-US" w:eastAsia="zh-CN"/>
              </w:rPr>
              <w:t>6</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E8EA2">
            <w:pPr>
              <w:pStyle w:val="16"/>
              <w:rPr>
                <w:rFonts w:hint="default" w:asciiTheme="minorHAnsi" w:hAnsiTheme="minorHAnsi"/>
                <w:color w:val="181717" w:themeColor="background2" w:themeShade="1A"/>
                <w:lang w:val="en-US" w:eastAsia="zh-CN"/>
              </w:rPr>
            </w:pPr>
            <w:r>
              <w:rPr>
                <w:rFonts w:hint="default" w:asciiTheme="minorHAnsi" w:hAnsiTheme="minorHAnsi"/>
                <w:color w:val="181717" w:themeColor="background2" w:themeShade="1A"/>
                <w:lang w:val="en-US" w:eastAsia="zh-CN"/>
              </w:rPr>
              <w:t>生态廊道建设工程</w:t>
            </w:r>
          </w:p>
        </w:tc>
        <w:tc>
          <w:tcPr>
            <w:tcW w:w="1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2E68A">
            <w:pPr>
              <w:pStyle w:val="16"/>
              <w:jc w:val="left"/>
              <w:rPr>
                <w:rFonts w:hint="default" w:asciiTheme="minorHAnsi" w:hAnsiTheme="minorHAnsi"/>
                <w:color w:val="181717" w:themeColor="background2" w:themeShade="1A"/>
                <w:lang w:val="en-US" w:eastAsia="zh-CN"/>
              </w:rPr>
            </w:pPr>
            <w:r>
              <w:rPr>
                <w:rFonts w:hint="default" w:asciiTheme="minorHAnsi" w:hAnsiTheme="minorHAnsi"/>
                <w:color w:val="181717" w:themeColor="background2" w:themeShade="1A"/>
                <w:lang w:val="en-US" w:eastAsia="zh-CN"/>
              </w:rPr>
              <w:t>西北部南渡江区生态廊道：重点实施南渡江（屯昌段）、西昌溪、土岭河、岭肚河、南坤河、贤水等6条河流生态廊道建设。</w:t>
            </w:r>
          </w:p>
          <w:p w14:paraId="3CF6C3D8">
            <w:pPr>
              <w:pStyle w:val="16"/>
              <w:jc w:val="left"/>
              <w:rPr>
                <w:rFonts w:hint="default" w:asciiTheme="minorHAnsi" w:hAnsiTheme="minorHAnsi"/>
                <w:color w:val="181717" w:themeColor="background2" w:themeShade="1A"/>
                <w:lang w:val="en-US" w:eastAsia="zh-CN"/>
              </w:rPr>
            </w:pPr>
            <w:r>
              <w:rPr>
                <w:rFonts w:hint="default" w:asciiTheme="minorHAnsi" w:hAnsiTheme="minorHAnsi"/>
                <w:color w:val="181717" w:themeColor="background2" w:themeShade="1A"/>
                <w:lang w:val="en-US" w:eastAsia="zh-CN"/>
              </w:rPr>
              <w:t>东部</w:t>
            </w:r>
            <w:r>
              <w:rPr>
                <w:rFonts w:hint="default"/>
                <w:color w:val="181717" w:themeColor="background2" w:themeShade="1A"/>
                <w:lang w:val="en-US" w:eastAsia="zh-CN"/>
              </w:rPr>
              <w:t>新吴溪</w:t>
            </w:r>
            <w:r>
              <w:rPr>
                <w:rFonts w:hint="default" w:asciiTheme="minorHAnsi" w:hAnsiTheme="minorHAnsi"/>
                <w:color w:val="181717" w:themeColor="background2" w:themeShade="1A"/>
                <w:lang w:val="en-US" w:eastAsia="zh-CN"/>
              </w:rPr>
              <w:t>区生态廊道建设：重点实施新吴溪、南淀河、坎头河、吉安河、洋坡溪、百家溪、卜南河等河流生态廊道建设。</w:t>
            </w:r>
          </w:p>
          <w:p w14:paraId="15E7B6F3">
            <w:pPr>
              <w:pStyle w:val="16"/>
              <w:jc w:val="left"/>
              <w:rPr>
                <w:rFonts w:hint="default" w:asciiTheme="minorHAnsi" w:hAnsiTheme="minorHAnsi"/>
                <w:color w:val="181717" w:themeColor="background2" w:themeShade="1A"/>
                <w:lang w:val="en-US" w:eastAsia="zh-CN"/>
              </w:rPr>
            </w:pPr>
            <w:r>
              <w:rPr>
                <w:rFonts w:hint="default" w:asciiTheme="minorHAnsi" w:hAnsiTheme="minorHAnsi"/>
                <w:color w:val="181717" w:themeColor="background2" w:themeShade="1A"/>
                <w:lang w:val="en-US" w:eastAsia="zh-CN"/>
              </w:rPr>
              <w:t>南部青梯水区生态廊道建设：重点实施青梯水、深湾河等2条河流生态廊道建设。</w:t>
            </w:r>
          </w:p>
        </w:tc>
        <w:tc>
          <w:tcPr>
            <w:tcW w:w="10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02EF8">
            <w:pPr>
              <w:pStyle w:val="16"/>
              <w:jc w:val="left"/>
              <w:rPr>
                <w:rFonts w:hint="default" w:asciiTheme="minorHAnsi" w:hAnsiTheme="minorHAnsi"/>
                <w:color w:val="181717" w:themeColor="background2" w:themeShade="1A"/>
                <w:lang w:val="en-US" w:eastAsia="zh-CN"/>
              </w:rPr>
            </w:pPr>
            <w:r>
              <w:rPr>
                <w:rFonts w:hint="default" w:asciiTheme="minorHAnsi" w:hAnsiTheme="minorHAnsi"/>
                <w:color w:val="181717" w:themeColor="background2" w:themeShade="1A"/>
                <w:lang w:val="en-US" w:eastAsia="zh-CN"/>
              </w:rPr>
              <w:t>《屯昌县国民经济和社会发展第十五个五年规划纲要》水网建设重点项目</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8AA6C">
            <w:pPr>
              <w:pStyle w:val="16"/>
              <w:rPr>
                <w:rFonts w:hint="default"/>
                <w:color w:val="181717" w:themeColor="background2" w:themeShade="1A"/>
                <w:lang w:val="en-US" w:eastAsia="zh-CN"/>
              </w:rPr>
            </w:pPr>
            <w:r>
              <w:rPr>
                <w:rFonts w:hint="default"/>
                <w:color w:val="181717" w:themeColor="background2" w:themeShade="1A"/>
                <w:lang w:val="en-US" w:eastAsia="zh-CN"/>
              </w:rPr>
              <w:t>2026-2030年</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2D03F">
            <w:pPr>
              <w:pStyle w:val="16"/>
              <w:rPr>
                <w:rFonts w:hint="default"/>
                <w:color w:val="181717" w:themeColor="background2" w:themeShade="1A"/>
                <w:lang w:val="en-US" w:eastAsia="zh-CN"/>
              </w:rPr>
            </w:pPr>
            <w:r>
              <w:rPr>
                <w:rFonts w:hint="default"/>
                <w:color w:val="181717" w:themeColor="background2" w:themeShade="1A"/>
                <w:lang w:val="en-US" w:eastAsia="zh-CN"/>
              </w:rPr>
              <w:t>24300</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A6547">
            <w:pPr>
              <w:pStyle w:val="16"/>
              <w:rPr>
                <w:rFonts w:hint="default"/>
                <w:color w:val="181717" w:themeColor="background2" w:themeShade="1A"/>
                <w:lang w:val="en-US" w:eastAsia="zh-CN"/>
              </w:rPr>
            </w:pPr>
            <w:r>
              <w:rPr>
                <w:rFonts w:hint="default"/>
                <w:color w:val="181717" w:themeColor="background2" w:themeShade="1A"/>
                <w:lang w:val="en-US" w:eastAsia="zh-CN"/>
              </w:rPr>
              <w:t>县</w:t>
            </w:r>
            <w:r>
              <w:rPr>
                <w:rFonts w:hint="eastAsia"/>
                <w:color w:val="181717" w:themeColor="background2" w:themeShade="1A"/>
                <w:lang w:val="en-US" w:eastAsia="zh-CN"/>
              </w:rPr>
              <w:t>水务局</w:t>
            </w:r>
          </w:p>
        </w:tc>
      </w:tr>
    </w:tbl>
    <w:p w14:paraId="16E58E6B">
      <w:pPr>
        <w:pStyle w:val="3"/>
        <w:rPr>
          <w:rFonts w:hint="eastAsia"/>
          <w:color w:val="181717" w:themeColor="background2" w:themeShade="1A"/>
          <w:lang w:val="en-US" w:eastAsia="zh-CN"/>
        </w:rPr>
      </w:pPr>
    </w:p>
    <w:p w14:paraId="2AC9A2D9">
      <w:pPr>
        <w:pStyle w:val="3"/>
        <w:rPr>
          <w:rFonts w:hint="eastAsia"/>
          <w:color w:val="181717" w:themeColor="background2" w:themeShade="1A"/>
          <w:lang w:val="en-US" w:eastAsia="zh-CN"/>
        </w:rPr>
      </w:pPr>
      <w:r>
        <w:rPr>
          <w:rFonts w:hint="eastAsia"/>
          <w:color w:val="181717" w:themeColor="background2" w:themeShade="1A"/>
          <w:lang w:val="en-US" w:eastAsia="zh-CN"/>
        </w:rPr>
        <w:br w:type="page"/>
      </w:r>
    </w:p>
    <w:p w14:paraId="6C154E87">
      <w:pPr>
        <w:pStyle w:val="25"/>
        <w:keepNext w:val="0"/>
        <w:keepLines w:val="0"/>
        <w:pageBreakBefore w:val="0"/>
        <w:widowControl w:val="0"/>
        <w:kinsoku/>
        <w:wordWrap/>
        <w:overflowPunct/>
        <w:topLinePunct w:val="0"/>
        <w:autoSpaceDE/>
        <w:autoSpaceDN/>
        <w:bidi w:val="0"/>
        <w:adjustRightInd/>
        <w:snapToGrid/>
        <w:textAlignment w:val="auto"/>
        <w:outlineLvl w:val="9"/>
        <w:rPr>
          <w:rFonts w:hint="default"/>
          <w:color w:val="181717" w:themeColor="background2" w:themeShade="1A"/>
          <w:lang w:val="en-US" w:eastAsia="zh-CN"/>
        </w:rPr>
      </w:pPr>
      <w:r>
        <w:rPr>
          <w:rFonts w:hint="eastAsia"/>
          <w:color w:val="181717" w:themeColor="background2" w:themeShade="1A"/>
          <w:lang w:val="en-US" w:eastAsia="zh-CN"/>
        </w:rPr>
        <w:t>表10-5 “十五五”生态环境制度与信息化建设重点工程</w:t>
      </w:r>
    </w:p>
    <w:tbl>
      <w:tblPr>
        <w:tblStyle w:val="20"/>
        <w:tblW w:w="503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7"/>
        <w:gridCol w:w="1750"/>
        <w:gridCol w:w="5458"/>
        <w:gridCol w:w="2675"/>
        <w:gridCol w:w="1402"/>
        <w:gridCol w:w="1261"/>
        <w:gridCol w:w="1735"/>
      </w:tblGrid>
      <w:tr w14:paraId="0CB6A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9DA32">
            <w:pPr>
              <w:pStyle w:val="16"/>
              <w:bidi w:val="0"/>
              <w:rPr>
                <w:rFonts w:hint="eastAsia"/>
                <w:b/>
                <w:bCs/>
                <w:color w:val="181717" w:themeColor="background2" w:themeShade="1A"/>
              </w:rPr>
            </w:pPr>
            <w:r>
              <w:rPr>
                <w:rFonts w:hint="eastAsia"/>
                <w:b/>
                <w:bCs/>
                <w:color w:val="181717" w:themeColor="background2" w:themeShade="1A"/>
                <w:lang w:val="en-US" w:eastAsia="zh-CN"/>
              </w:rPr>
              <w:t>序号</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88693">
            <w:pPr>
              <w:pStyle w:val="16"/>
              <w:bidi w:val="0"/>
              <w:rPr>
                <w:rFonts w:hint="eastAsia"/>
                <w:b/>
                <w:bCs/>
                <w:color w:val="181717" w:themeColor="background2" w:themeShade="1A"/>
              </w:rPr>
            </w:pPr>
            <w:r>
              <w:rPr>
                <w:rFonts w:hint="eastAsia"/>
                <w:b/>
                <w:bCs/>
                <w:color w:val="181717" w:themeColor="background2" w:themeShade="1A"/>
                <w:lang w:val="en-US" w:eastAsia="zh-CN"/>
              </w:rPr>
              <w:t>工程名称</w:t>
            </w:r>
          </w:p>
        </w:tc>
        <w:tc>
          <w:tcPr>
            <w:tcW w:w="1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28F6F">
            <w:pPr>
              <w:pStyle w:val="16"/>
              <w:bidi w:val="0"/>
              <w:rPr>
                <w:rFonts w:hint="eastAsia"/>
                <w:b/>
                <w:bCs/>
                <w:color w:val="181717" w:themeColor="background2" w:themeShade="1A"/>
              </w:rPr>
            </w:pPr>
            <w:r>
              <w:rPr>
                <w:rFonts w:hint="eastAsia"/>
                <w:b/>
                <w:bCs/>
                <w:color w:val="181717" w:themeColor="background2" w:themeShade="1A"/>
                <w:lang w:val="en-US" w:eastAsia="zh-CN"/>
              </w:rPr>
              <w:t>建设内容</w:t>
            </w:r>
          </w:p>
        </w:tc>
        <w:tc>
          <w:tcPr>
            <w:tcW w:w="8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7D87B">
            <w:pPr>
              <w:pStyle w:val="16"/>
              <w:bidi w:val="0"/>
              <w:rPr>
                <w:rFonts w:hint="eastAsia"/>
                <w:b/>
                <w:bCs/>
                <w:color w:val="181717" w:themeColor="background2" w:themeShade="1A"/>
              </w:rPr>
            </w:pPr>
            <w:r>
              <w:rPr>
                <w:rFonts w:hint="eastAsia"/>
                <w:b/>
                <w:bCs/>
                <w:color w:val="181717" w:themeColor="background2" w:themeShade="1A"/>
                <w:lang w:val="en-US" w:eastAsia="zh-CN"/>
              </w:rPr>
              <w:t>策划依据</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178D1">
            <w:pPr>
              <w:pStyle w:val="16"/>
              <w:bidi w:val="0"/>
              <w:rPr>
                <w:rFonts w:hint="eastAsia"/>
                <w:b/>
                <w:bCs/>
                <w:color w:val="181717" w:themeColor="background2" w:themeShade="1A"/>
              </w:rPr>
            </w:pPr>
            <w:r>
              <w:rPr>
                <w:rFonts w:hint="eastAsia"/>
                <w:b/>
                <w:bCs/>
                <w:color w:val="181717" w:themeColor="background2" w:themeShade="1A"/>
                <w:lang w:val="en-US" w:eastAsia="zh-CN"/>
              </w:rPr>
              <w:t>起止年限</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37CCB">
            <w:pPr>
              <w:pStyle w:val="16"/>
              <w:bidi w:val="0"/>
              <w:rPr>
                <w:rFonts w:hint="eastAsia"/>
                <w:b/>
                <w:bCs/>
                <w:color w:val="181717" w:themeColor="background2" w:themeShade="1A"/>
              </w:rPr>
            </w:pPr>
            <w:r>
              <w:rPr>
                <w:rFonts w:hint="eastAsia"/>
                <w:b/>
                <w:bCs/>
                <w:color w:val="181717" w:themeColor="background2" w:themeShade="1A"/>
                <w:lang w:val="en-US" w:eastAsia="zh-CN"/>
              </w:rPr>
              <w:t>投资预算（万元）</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2232E">
            <w:pPr>
              <w:pStyle w:val="16"/>
              <w:bidi w:val="0"/>
              <w:rPr>
                <w:rFonts w:hint="eastAsia"/>
                <w:b/>
                <w:bCs/>
                <w:color w:val="181717" w:themeColor="background2" w:themeShade="1A"/>
              </w:rPr>
            </w:pPr>
            <w:r>
              <w:rPr>
                <w:rFonts w:hint="eastAsia"/>
                <w:b/>
                <w:bCs/>
                <w:color w:val="181717" w:themeColor="background2" w:themeShade="1A"/>
                <w:lang w:val="en-US" w:eastAsia="zh-CN"/>
              </w:rPr>
              <w:t>责任单位</w:t>
            </w:r>
          </w:p>
        </w:tc>
      </w:tr>
      <w:tr w14:paraId="0AF64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29D5E">
            <w:pPr>
              <w:pStyle w:val="16"/>
              <w:rPr>
                <w:rFonts w:hint="default"/>
                <w:color w:val="181717" w:themeColor="background2" w:themeShade="1A"/>
              </w:rPr>
            </w:pPr>
            <w:r>
              <w:rPr>
                <w:rFonts w:hint="default"/>
                <w:color w:val="181717" w:themeColor="background2" w:themeShade="1A"/>
                <w:lang w:val="en-US" w:eastAsia="zh-CN"/>
              </w:rPr>
              <w:t>1</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5553B">
            <w:pPr>
              <w:pStyle w:val="16"/>
              <w:rPr>
                <w:rFonts w:hint="default"/>
                <w:color w:val="181717" w:themeColor="background2" w:themeShade="1A"/>
              </w:rPr>
            </w:pPr>
            <w:r>
              <w:rPr>
                <w:rFonts w:hint="default"/>
                <w:color w:val="181717" w:themeColor="background2" w:themeShade="1A"/>
                <w:lang w:val="en-US" w:eastAsia="zh-CN"/>
              </w:rPr>
              <w:t>新吴溪（屯昌段）生态监测能力提升工程</w:t>
            </w:r>
          </w:p>
        </w:tc>
        <w:tc>
          <w:tcPr>
            <w:tcW w:w="1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E003A">
            <w:pPr>
              <w:pStyle w:val="16"/>
              <w:jc w:val="left"/>
              <w:rPr>
                <w:rFonts w:hint="default"/>
                <w:color w:val="181717" w:themeColor="background2" w:themeShade="1A"/>
              </w:rPr>
            </w:pPr>
            <w:r>
              <w:rPr>
                <w:rFonts w:hint="default"/>
                <w:color w:val="181717" w:themeColor="background2" w:themeShade="1A"/>
                <w:lang w:val="en-US" w:eastAsia="zh-CN"/>
              </w:rPr>
              <w:t>新建水质自动监测站，配备多参数在线分析仪；建设生态监测数据管理平台，实现数据集成与分析；补充便携式检测设备及水生生物采样装备</w:t>
            </w:r>
          </w:p>
        </w:tc>
        <w:tc>
          <w:tcPr>
            <w:tcW w:w="8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8A06F">
            <w:pPr>
              <w:pStyle w:val="16"/>
              <w:jc w:val="left"/>
              <w:rPr>
                <w:rFonts w:hint="default"/>
                <w:color w:val="181717" w:themeColor="background2" w:themeShade="1A"/>
              </w:rPr>
            </w:pPr>
            <w:r>
              <w:rPr>
                <w:rFonts w:hint="default"/>
                <w:color w:val="181717" w:themeColor="background2" w:themeShade="1A"/>
                <w:lang w:val="en-US" w:eastAsia="zh-CN"/>
              </w:rPr>
              <w:t>《海南省屯昌县生态文明建设示范区规划（2025—2030年）》</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6CDAD">
            <w:pPr>
              <w:pStyle w:val="16"/>
              <w:rPr>
                <w:rFonts w:hint="default"/>
                <w:color w:val="181717" w:themeColor="background2" w:themeShade="1A"/>
              </w:rPr>
            </w:pPr>
            <w:r>
              <w:rPr>
                <w:rFonts w:hint="default"/>
                <w:color w:val="181717" w:themeColor="background2" w:themeShade="1A"/>
                <w:lang w:val="en-US" w:eastAsia="zh-CN"/>
              </w:rPr>
              <w:t>2026年</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D2C2A">
            <w:pPr>
              <w:pStyle w:val="16"/>
              <w:rPr>
                <w:rFonts w:hint="default"/>
                <w:color w:val="181717" w:themeColor="background2" w:themeShade="1A"/>
              </w:rPr>
            </w:pPr>
            <w:r>
              <w:rPr>
                <w:rFonts w:hint="default"/>
                <w:color w:val="181717" w:themeColor="background2" w:themeShade="1A"/>
                <w:lang w:val="en-US" w:eastAsia="zh-CN"/>
              </w:rPr>
              <w:t>550</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F027B">
            <w:pPr>
              <w:pStyle w:val="16"/>
              <w:rPr>
                <w:rFonts w:hint="default"/>
                <w:color w:val="181717" w:themeColor="background2" w:themeShade="1A"/>
              </w:rPr>
            </w:pPr>
            <w:r>
              <w:rPr>
                <w:rFonts w:hint="default"/>
                <w:color w:val="181717" w:themeColor="background2" w:themeShade="1A"/>
                <w:lang w:val="en-US" w:eastAsia="zh-CN"/>
              </w:rPr>
              <w:t>县生态环境局</w:t>
            </w:r>
          </w:p>
        </w:tc>
      </w:tr>
      <w:tr w14:paraId="7E451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FA3FB">
            <w:pPr>
              <w:pStyle w:val="16"/>
              <w:rPr>
                <w:rFonts w:hint="default"/>
                <w:color w:val="181717" w:themeColor="background2" w:themeShade="1A"/>
              </w:rPr>
            </w:pPr>
            <w:r>
              <w:rPr>
                <w:rFonts w:hint="default"/>
                <w:color w:val="181717" w:themeColor="background2" w:themeShade="1A"/>
                <w:lang w:val="en-US" w:eastAsia="zh-CN"/>
              </w:rPr>
              <w:t>2</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87A42">
            <w:pPr>
              <w:pStyle w:val="16"/>
              <w:rPr>
                <w:rFonts w:hint="default"/>
                <w:color w:val="181717" w:themeColor="background2" w:themeShade="1A"/>
              </w:rPr>
            </w:pPr>
            <w:r>
              <w:rPr>
                <w:rFonts w:hint="default"/>
                <w:color w:val="181717" w:themeColor="background2" w:themeShade="1A"/>
                <w:lang w:val="en-US" w:eastAsia="zh-CN"/>
              </w:rPr>
              <w:t>生物多样性调查与监测工程</w:t>
            </w:r>
          </w:p>
        </w:tc>
        <w:tc>
          <w:tcPr>
            <w:tcW w:w="1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49655">
            <w:pPr>
              <w:pStyle w:val="16"/>
              <w:jc w:val="left"/>
              <w:rPr>
                <w:rFonts w:hint="default"/>
                <w:color w:val="181717" w:themeColor="background2" w:themeShade="1A"/>
                <w:lang w:val="en-US" w:eastAsia="zh-CN"/>
              </w:rPr>
            </w:pPr>
            <w:r>
              <w:rPr>
                <w:rFonts w:hint="eastAsia"/>
                <w:color w:val="181717" w:themeColor="background2" w:themeShade="1A"/>
                <w:lang w:val="en-US" w:eastAsia="zh-CN"/>
              </w:rPr>
              <w:t>开展</w:t>
            </w:r>
            <w:r>
              <w:rPr>
                <w:rFonts w:hint="default"/>
                <w:color w:val="181717" w:themeColor="background2" w:themeShade="1A"/>
                <w:lang w:val="en-US" w:eastAsia="zh-CN"/>
              </w:rPr>
              <w:t>外来入侵物种普查调查、监测、防控等。</w:t>
            </w:r>
          </w:p>
        </w:tc>
        <w:tc>
          <w:tcPr>
            <w:tcW w:w="8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7B084">
            <w:pPr>
              <w:pStyle w:val="16"/>
              <w:jc w:val="left"/>
              <w:rPr>
                <w:rFonts w:hint="default"/>
                <w:color w:val="181717" w:themeColor="background2" w:themeShade="1A"/>
              </w:rPr>
            </w:pPr>
            <w:r>
              <w:rPr>
                <w:rFonts w:hint="default"/>
                <w:color w:val="181717" w:themeColor="background2" w:themeShade="1A"/>
                <w:lang w:val="en-US" w:eastAsia="zh-CN"/>
              </w:rPr>
              <w:t>《海南省屯昌县生态文明建设示范区规划（2025—2030年）》</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B4A3F">
            <w:pPr>
              <w:pStyle w:val="16"/>
              <w:rPr>
                <w:rFonts w:hint="default"/>
                <w:color w:val="181717" w:themeColor="background2" w:themeShade="1A"/>
              </w:rPr>
            </w:pPr>
            <w:r>
              <w:rPr>
                <w:rFonts w:hint="default"/>
                <w:color w:val="181717" w:themeColor="background2" w:themeShade="1A"/>
                <w:lang w:val="en-US" w:eastAsia="zh-CN"/>
              </w:rPr>
              <w:t>2026-2027年</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8C232">
            <w:pPr>
              <w:pStyle w:val="16"/>
              <w:rPr>
                <w:rFonts w:hint="default"/>
                <w:color w:val="181717" w:themeColor="background2" w:themeShade="1A"/>
                <w:lang w:val="en-US"/>
              </w:rPr>
            </w:pPr>
            <w:r>
              <w:rPr>
                <w:rFonts w:hint="eastAsia"/>
                <w:color w:val="181717" w:themeColor="background2" w:themeShade="1A"/>
                <w:lang w:val="en-US" w:eastAsia="zh-CN"/>
              </w:rPr>
              <w:t>400</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B0D66">
            <w:pPr>
              <w:pStyle w:val="16"/>
              <w:rPr>
                <w:rFonts w:hint="default"/>
                <w:color w:val="181717" w:themeColor="background2" w:themeShade="1A"/>
              </w:rPr>
            </w:pPr>
            <w:r>
              <w:rPr>
                <w:rFonts w:hint="default"/>
                <w:color w:val="181717" w:themeColor="background2" w:themeShade="1A"/>
                <w:lang w:val="en-US" w:eastAsia="zh-CN"/>
              </w:rPr>
              <w:t>县生态环境局</w:t>
            </w:r>
          </w:p>
        </w:tc>
      </w:tr>
      <w:tr w14:paraId="09DD5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A4F4F">
            <w:pPr>
              <w:pStyle w:val="16"/>
              <w:rPr>
                <w:rFonts w:hint="default"/>
                <w:color w:val="181717" w:themeColor="background2" w:themeShade="1A"/>
                <w:lang w:val="en-US" w:eastAsia="zh-CN"/>
              </w:rPr>
            </w:pPr>
            <w:r>
              <w:rPr>
                <w:rFonts w:hint="default"/>
                <w:color w:val="181717" w:themeColor="background2" w:themeShade="1A"/>
                <w:lang w:val="en-US" w:eastAsia="zh-CN"/>
              </w:rPr>
              <w:t>3</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1E2AD">
            <w:pPr>
              <w:pStyle w:val="16"/>
              <w:rPr>
                <w:rFonts w:hint="default"/>
                <w:color w:val="181717" w:themeColor="background2" w:themeShade="1A"/>
                <w:lang w:val="en-US" w:eastAsia="zh-CN"/>
              </w:rPr>
            </w:pPr>
            <w:r>
              <w:rPr>
                <w:rFonts w:hint="default"/>
                <w:color w:val="181717" w:themeColor="background2" w:themeShade="1A"/>
                <w:lang w:val="en-US" w:eastAsia="zh-CN"/>
              </w:rPr>
              <w:t>制定《屯昌县生态产品价值转化实施方案》</w:t>
            </w:r>
          </w:p>
        </w:tc>
        <w:tc>
          <w:tcPr>
            <w:tcW w:w="1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E4B83">
            <w:pPr>
              <w:pStyle w:val="16"/>
              <w:jc w:val="left"/>
              <w:rPr>
                <w:rFonts w:hint="default"/>
                <w:color w:val="181717" w:themeColor="background2" w:themeShade="1A"/>
                <w:lang w:val="en-US" w:eastAsia="zh-CN"/>
              </w:rPr>
            </w:pPr>
            <w:r>
              <w:rPr>
                <w:rFonts w:hint="default"/>
                <w:color w:val="181717" w:themeColor="background2" w:themeShade="1A"/>
                <w:lang w:val="en-US" w:eastAsia="zh-CN"/>
              </w:rPr>
              <w:t>根据《海南省生态产品总值核算技术规范》（DB46/T 611-2023），制定符合县情的生态产品价值转换实施方案、制度及技术指导文件。</w:t>
            </w:r>
          </w:p>
        </w:tc>
        <w:tc>
          <w:tcPr>
            <w:tcW w:w="8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AFD76">
            <w:pPr>
              <w:pStyle w:val="16"/>
              <w:jc w:val="left"/>
              <w:rPr>
                <w:rFonts w:hint="default"/>
                <w:color w:val="181717" w:themeColor="background2" w:themeShade="1A"/>
                <w:lang w:val="en-US" w:eastAsia="zh-CN"/>
              </w:rPr>
            </w:pPr>
            <w:r>
              <w:rPr>
                <w:rFonts w:hint="default"/>
                <w:color w:val="181717" w:themeColor="background2" w:themeShade="1A"/>
                <w:lang w:val="en-US" w:eastAsia="zh-CN"/>
              </w:rPr>
              <w:t>《海南省屯昌县生态文明建设示范区规划（2025</w:t>
            </w:r>
            <w:r>
              <w:rPr>
                <w:rFonts w:hint="eastAsia"/>
                <w:color w:val="181717" w:themeColor="background2" w:themeShade="1A"/>
                <w:lang w:val="en-US" w:eastAsia="zh-CN"/>
              </w:rPr>
              <w:t>—</w:t>
            </w:r>
            <w:r>
              <w:rPr>
                <w:rFonts w:hint="default"/>
                <w:color w:val="181717" w:themeColor="background2" w:themeShade="1A"/>
                <w:lang w:val="en-US" w:eastAsia="zh-CN"/>
              </w:rPr>
              <w:t>2030）》</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9A160">
            <w:pPr>
              <w:pStyle w:val="16"/>
              <w:rPr>
                <w:rFonts w:hint="default"/>
                <w:color w:val="181717" w:themeColor="background2" w:themeShade="1A"/>
                <w:lang w:val="en-US" w:eastAsia="zh-CN"/>
              </w:rPr>
            </w:pPr>
            <w:r>
              <w:rPr>
                <w:rFonts w:hint="default"/>
                <w:color w:val="181717" w:themeColor="background2" w:themeShade="1A"/>
                <w:lang w:val="en-US" w:eastAsia="zh-CN"/>
              </w:rPr>
              <w:t>2026-2030年</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A677E">
            <w:pPr>
              <w:pStyle w:val="16"/>
              <w:rPr>
                <w:rFonts w:hint="default"/>
                <w:color w:val="181717" w:themeColor="background2" w:themeShade="1A"/>
                <w:lang w:val="en-US" w:eastAsia="zh-CN"/>
              </w:rPr>
            </w:pPr>
            <w:r>
              <w:rPr>
                <w:rFonts w:hint="default"/>
                <w:color w:val="181717" w:themeColor="background2" w:themeShade="1A"/>
                <w:lang w:val="en-US" w:eastAsia="zh-CN"/>
              </w:rPr>
              <w:t>50</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5FFC9">
            <w:pPr>
              <w:pStyle w:val="16"/>
              <w:rPr>
                <w:rFonts w:hint="default"/>
                <w:color w:val="181717" w:themeColor="background2" w:themeShade="1A"/>
                <w:lang w:val="en-US" w:eastAsia="zh-CN"/>
              </w:rPr>
            </w:pPr>
            <w:r>
              <w:rPr>
                <w:rFonts w:hint="default"/>
                <w:color w:val="181717" w:themeColor="background2" w:themeShade="1A"/>
                <w:lang w:val="en-US" w:eastAsia="zh-CN"/>
              </w:rPr>
              <w:t>县生态环境局</w:t>
            </w:r>
          </w:p>
        </w:tc>
      </w:tr>
      <w:tr w14:paraId="76CCD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7E8C6">
            <w:pPr>
              <w:pStyle w:val="16"/>
              <w:rPr>
                <w:rFonts w:hint="default"/>
                <w:color w:val="181717" w:themeColor="background2" w:themeShade="1A"/>
                <w:lang w:val="en-US" w:eastAsia="zh-CN"/>
              </w:rPr>
            </w:pPr>
            <w:r>
              <w:rPr>
                <w:rFonts w:hint="default"/>
                <w:color w:val="181717" w:themeColor="background2" w:themeShade="1A"/>
                <w:lang w:val="en-US" w:eastAsia="zh-CN"/>
              </w:rPr>
              <w:t>4</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CDD71">
            <w:pPr>
              <w:pStyle w:val="16"/>
              <w:rPr>
                <w:rFonts w:hint="default"/>
                <w:color w:val="181717" w:themeColor="background2" w:themeShade="1A"/>
                <w:lang w:val="en-US" w:eastAsia="zh-CN"/>
              </w:rPr>
            </w:pPr>
            <w:r>
              <w:rPr>
                <w:rFonts w:hint="default"/>
                <w:color w:val="181717" w:themeColor="background2" w:themeShade="1A"/>
                <w:lang w:val="en-US" w:eastAsia="zh-CN"/>
              </w:rPr>
              <w:t>数字孪生水利工程</w:t>
            </w:r>
          </w:p>
        </w:tc>
        <w:tc>
          <w:tcPr>
            <w:tcW w:w="1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1C74E">
            <w:pPr>
              <w:pStyle w:val="16"/>
              <w:jc w:val="left"/>
              <w:rPr>
                <w:rFonts w:hint="default"/>
                <w:color w:val="181717" w:themeColor="background2" w:themeShade="1A"/>
                <w:lang w:val="en-US" w:eastAsia="zh-CN"/>
              </w:rPr>
            </w:pPr>
            <w:r>
              <w:rPr>
                <w:rFonts w:hint="default"/>
                <w:color w:val="181717" w:themeColor="background2" w:themeShade="1A"/>
                <w:lang w:val="en-US" w:eastAsia="zh-CN"/>
              </w:rPr>
              <w:t>包括“天空地水工”一体化监测体系建设、数字孪生万泉河流域、数字</w:t>
            </w:r>
            <w:r>
              <w:rPr>
                <w:rFonts w:hint="eastAsia"/>
                <w:color w:val="181717" w:themeColor="background2" w:themeShade="1A"/>
                <w:lang w:val="en-US" w:eastAsia="zh-CN"/>
              </w:rPr>
              <w:t>孪生</w:t>
            </w:r>
            <w:r>
              <w:rPr>
                <w:rFonts w:hint="default"/>
                <w:color w:val="181717" w:themeColor="background2" w:themeShade="1A"/>
                <w:lang w:val="en-US" w:eastAsia="zh-CN"/>
              </w:rPr>
              <w:t>红岭灌区、数字</w:t>
            </w:r>
            <w:r>
              <w:rPr>
                <w:rFonts w:hint="eastAsia"/>
                <w:color w:val="181717" w:themeColor="background2" w:themeShade="1A"/>
                <w:lang w:val="en-US" w:eastAsia="zh-CN"/>
              </w:rPr>
              <w:t>孪生</w:t>
            </w:r>
            <w:r>
              <w:rPr>
                <w:rFonts w:hint="default"/>
                <w:color w:val="181717" w:themeColor="background2" w:themeShade="1A"/>
                <w:lang w:val="en-US" w:eastAsia="zh-CN"/>
              </w:rPr>
              <w:t>迈湾水库、数字</w:t>
            </w:r>
            <w:r>
              <w:rPr>
                <w:rFonts w:hint="eastAsia"/>
                <w:color w:val="181717" w:themeColor="background2" w:themeShade="1A"/>
                <w:lang w:val="en-US" w:eastAsia="zh-CN"/>
              </w:rPr>
              <w:t>孪生</w:t>
            </w:r>
            <w:r>
              <w:rPr>
                <w:rFonts w:hint="default"/>
                <w:color w:val="181717" w:themeColor="background2" w:themeShade="1A"/>
                <w:lang w:val="en-US" w:eastAsia="zh-CN"/>
              </w:rPr>
              <w:t>牛路岭水库以及屯昌县数字</w:t>
            </w:r>
            <w:r>
              <w:rPr>
                <w:rFonts w:hint="eastAsia"/>
                <w:color w:val="181717" w:themeColor="background2" w:themeShade="1A"/>
                <w:lang w:val="en-US" w:eastAsia="zh-CN"/>
              </w:rPr>
              <w:t>孪生</w:t>
            </w:r>
            <w:r>
              <w:rPr>
                <w:rFonts w:hint="default"/>
                <w:color w:val="181717" w:themeColor="background2" w:themeShade="1A"/>
                <w:lang w:val="en-US" w:eastAsia="zh-CN"/>
              </w:rPr>
              <w:t>水网平台建设。</w:t>
            </w:r>
          </w:p>
        </w:tc>
        <w:tc>
          <w:tcPr>
            <w:tcW w:w="8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E14E6">
            <w:pPr>
              <w:pStyle w:val="16"/>
              <w:jc w:val="left"/>
              <w:rPr>
                <w:rFonts w:hint="default"/>
                <w:color w:val="181717" w:themeColor="background2" w:themeShade="1A"/>
                <w:lang w:val="en-US" w:eastAsia="zh-CN"/>
              </w:rPr>
            </w:pPr>
            <w:r>
              <w:rPr>
                <w:rFonts w:hint="default"/>
                <w:color w:val="181717" w:themeColor="background2" w:themeShade="1A"/>
                <w:lang w:eastAsia="zh-CN"/>
              </w:rPr>
              <w:t>《</w:t>
            </w:r>
            <w:r>
              <w:rPr>
                <w:rFonts w:hint="eastAsia"/>
                <w:color w:val="181717" w:themeColor="background2" w:themeShade="1A"/>
              </w:rPr>
              <w:t>屯昌县水安全保障总体规划方案（2026-2030年）</w:t>
            </w:r>
            <w:r>
              <w:rPr>
                <w:rFonts w:hint="default"/>
                <w:color w:val="181717" w:themeColor="background2" w:themeShade="1A"/>
                <w:lang w:eastAsia="zh-CN"/>
              </w:rPr>
              <w:t>》</w:t>
            </w:r>
            <w:r>
              <w:rPr>
                <w:rFonts w:hint="default"/>
                <w:color w:val="181717" w:themeColor="background2" w:themeShade="1A"/>
                <w:lang w:val="en-US" w:eastAsia="zh-CN"/>
              </w:rPr>
              <w:t>草案</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0774F">
            <w:pPr>
              <w:pStyle w:val="16"/>
              <w:rPr>
                <w:rFonts w:hint="default"/>
                <w:color w:val="181717" w:themeColor="background2" w:themeShade="1A"/>
                <w:lang w:val="en-US" w:eastAsia="zh-CN"/>
              </w:rPr>
            </w:pPr>
            <w:r>
              <w:rPr>
                <w:rFonts w:hint="default"/>
                <w:color w:val="181717" w:themeColor="background2" w:themeShade="1A"/>
                <w:lang w:val="en-US" w:eastAsia="zh-CN"/>
              </w:rPr>
              <w:t>2026-2030年</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63D3F">
            <w:pPr>
              <w:pStyle w:val="16"/>
              <w:rPr>
                <w:rFonts w:hint="default"/>
                <w:color w:val="181717" w:themeColor="background2" w:themeShade="1A"/>
                <w:lang w:val="en-US" w:eastAsia="zh-CN"/>
              </w:rPr>
            </w:pPr>
            <w:r>
              <w:rPr>
                <w:rFonts w:hint="default"/>
                <w:color w:val="181717" w:themeColor="background2" w:themeShade="1A"/>
                <w:lang w:val="en-US" w:eastAsia="zh-CN"/>
              </w:rPr>
              <w:t>6000</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951E3">
            <w:pPr>
              <w:pStyle w:val="16"/>
              <w:rPr>
                <w:rFonts w:hint="default"/>
                <w:color w:val="181717" w:themeColor="background2" w:themeShade="1A"/>
                <w:lang w:val="en-US" w:eastAsia="zh-CN"/>
              </w:rPr>
            </w:pPr>
            <w:r>
              <w:rPr>
                <w:rFonts w:hint="default"/>
                <w:color w:val="181717" w:themeColor="background2" w:themeShade="1A"/>
                <w:lang w:val="en-US" w:eastAsia="zh-CN"/>
              </w:rPr>
              <w:t>县水务局</w:t>
            </w:r>
          </w:p>
        </w:tc>
      </w:tr>
      <w:tr w14:paraId="6C1AE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D6C2E">
            <w:pPr>
              <w:pStyle w:val="16"/>
              <w:rPr>
                <w:rFonts w:hint="default"/>
                <w:color w:val="181717" w:themeColor="background2" w:themeShade="1A"/>
                <w:lang w:val="en-US" w:eastAsia="zh-CN"/>
              </w:rPr>
            </w:pPr>
            <w:r>
              <w:rPr>
                <w:rFonts w:hint="default"/>
                <w:color w:val="181717" w:themeColor="background2" w:themeShade="1A"/>
                <w:lang w:val="en-US" w:eastAsia="zh-CN"/>
              </w:rPr>
              <w:t>5</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0EB1A">
            <w:pPr>
              <w:pStyle w:val="16"/>
              <w:rPr>
                <w:rFonts w:hint="default"/>
                <w:color w:val="181717" w:themeColor="background2" w:themeShade="1A"/>
                <w:lang w:val="en-US" w:eastAsia="zh-CN"/>
              </w:rPr>
            </w:pPr>
            <w:r>
              <w:rPr>
                <w:rFonts w:hint="default"/>
                <w:color w:val="181717" w:themeColor="background2" w:themeShade="1A"/>
                <w:lang w:val="en-US" w:eastAsia="zh-CN"/>
              </w:rPr>
              <w:t>供水物联智能感知设备和信息化平台建设项目</w:t>
            </w:r>
          </w:p>
        </w:tc>
        <w:tc>
          <w:tcPr>
            <w:tcW w:w="1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F8118">
            <w:pPr>
              <w:pStyle w:val="16"/>
              <w:jc w:val="left"/>
              <w:rPr>
                <w:rFonts w:hint="default"/>
                <w:color w:val="181717" w:themeColor="background2" w:themeShade="1A"/>
                <w:lang w:val="en-US" w:eastAsia="zh-CN"/>
              </w:rPr>
            </w:pPr>
            <w:r>
              <w:rPr>
                <w:rFonts w:hint="default"/>
                <w:color w:val="181717" w:themeColor="background2" w:themeShade="1A"/>
                <w:lang w:val="en-US" w:eastAsia="zh-CN"/>
              </w:rPr>
              <w:t>包括从源头到龙头供水各环节在线水质、水压及流量监测，从水源、水厂、泵站、管网的感知终端直接采集数据，推动物联网平台建设，进一步实现实时动态集约化监管。</w:t>
            </w:r>
          </w:p>
        </w:tc>
        <w:tc>
          <w:tcPr>
            <w:tcW w:w="8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C44F0">
            <w:pPr>
              <w:pStyle w:val="16"/>
              <w:jc w:val="left"/>
              <w:rPr>
                <w:rFonts w:hint="default"/>
                <w:color w:val="181717" w:themeColor="background2" w:themeShade="1A"/>
                <w:lang w:eastAsia="zh-CN"/>
              </w:rPr>
            </w:pPr>
            <w:r>
              <w:rPr>
                <w:rFonts w:hint="default"/>
                <w:color w:val="181717" w:themeColor="background2" w:themeShade="1A"/>
                <w:lang w:eastAsia="zh-CN"/>
              </w:rPr>
              <w:t>1.《关于加强城市地下市政基础设施建设的指导意见》建城〔2020〕111号</w:t>
            </w:r>
          </w:p>
          <w:p w14:paraId="4E79BCBD">
            <w:pPr>
              <w:pStyle w:val="16"/>
              <w:jc w:val="left"/>
              <w:rPr>
                <w:rFonts w:hint="default"/>
                <w:color w:val="181717" w:themeColor="background2" w:themeShade="1A"/>
                <w:lang w:eastAsia="zh-CN"/>
              </w:rPr>
            </w:pPr>
            <w:r>
              <w:rPr>
                <w:rFonts w:hint="default"/>
                <w:color w:val="181717" w:themeColor="background2" w:themeShade="1A"/>
                <w:lang w:eastAsia="zh-CN"/>
              </w:rPr>
              <w:t>2.《中共中央办公厅 国务院办公厅</w:t>
            </w:r>
          </w:p>
          <w:p w14:paraId="326DC355">
            <w:pPr>
              <w:pStyle w:val="16"/>
              <w:jc w:val="left"/>
              <w:rPr>
                <w:rFonts w:hint="default"/>
                <w:color w:val="181717" w:themeColor="background2" w:themeShade="1A"/>
                <w:lang w:val="en-US" w:eastAsia="zh-CN"/>
              </w:rPr>
            </w:pPr>
            <w:r>
              <w:rPr>
                <w:rFonts w:hint="default"/>
                <w:color w:val="181717" w:themeColor="background2" w:themeShade="1A"/>
                <w:lang w:eastAsia="zh-CN"/>
              </w:rPr>
              <w:t>关于推进新型城市基础设施建设打造韧性城市的意见》（2024年11月26日）</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0E215">
            <w:pPr>
              <w:pStyle w:val="16"/>
              <w:rPr>
                <w:rFonts w:hint="default"/>
                <w:color w:val="181717" w:themeColor="background2" w:themeShade="1A"/>
                <w:lang w:val="en-US" w:eastAsia="zh-CN"/>
              </w:rPr>
            </w:pPr>
            <w:r>
              <w:rPr>
                <w:rFonts w:hint="default"/>
                <w:color w:val="181717" w:themeColor="background2" w:themeShade="1A"/>
                <w:lang w:val="en-US" w:eastAsia="zh-CN"/>
              </w:rPr>
              <w:t>2027-2030年</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B0DB8">
            <w:pPr>
              <w:pStyle w:val="16"/>
              <w:rPr>
                <w:rFonts w:hint="default"/>
                <w:color w:val="181717" w:themeColor="background2" w:themeShade="1A"/>
                <w:lang w:val="en-US" w:eastAsia="zh-CN"/>
              </w:rPr>
            </w:pPr>
            <w:r>
              <w:rPr>
                <w:rFonts w:hint="default"/>
                <w:color w:val="181717" w:themeColor="background2" w:themeShade="1A"/>
                <w:lang w:val="en-US" w:eastAsia="zh-CN"/>
              </w:rPr>
              <w:t>8000</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1C62B">
            <w:pPr>
              <w:pStyle w:val="16"/>
              <w:rPr>
                <w:rFonts w:hint="default"/>
                <w:color w:val="181717" w:themeColor="background2" w:themeShade="1A"/>
                <w:lang w:val="en-US" w:eastAsia="zh-CN"/>
              </w:rPr>
            </w:pPr>
            <w:r>
              <w:rPr>
                <w:rFonts w:hint="default"/>
                <w:color w:val="181717" w:themeColor="background2" w:themeShade="1A"/>
                <w:lang w:val="en-US" w:eastAsia="zh-CN"/>
              </w:rPr>
              <w:t>县水务局</w:t>
            </w:r>
          </w:p>
        </w:tc>
      </w:tr>
      <w:tr w14:paraId="551BA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42095">
            <w:pPr>
              <w:pStyle w:val="16"/>
              <w:rPr>
                <w:rFonts w:hint="default"/>
                <w:color w:val="181717" w:themeColor="background2" w:themeShade="1A"/>
                <w:lang w:val="en-US" w:eastAsia="zh-CN"/>
              </w:rPr>
            </w:pPr>
            <w:r>
              <w:rPr>
                <w:rFonts w:hint="default"/>
                <w:color w:val="181717" w:themeColor="background2" w:themeShade="1A"/>
                <w:lang w:val="en-US" w:eastAsia="zh-CN"/>
              </w:rPr>
              <w:t>6</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78DDE">
            <w:pPr>
              <w:pStyle w:val="16"/>
              <w:rPr>
                <w:rFonts w:hint="default"/>
                <w:color w:val="181717" w:themeColor="background2" w:themeShade="1A"/>
                <w:lang w:val="en-US" w:eastAsia="zh-CN"/>
              </w:rPr>
            </w:pPr>
            <w:r>
              <w:rPr>
                <w:rFonts w:hint="default"/>
                <w:color w:val="181717" w:themeColor="background2" w:themeShade="1A"/>
                <w:lang w:val="en-US" w:eastAsia="zh-CN"/>
              </w:rPr>
              <w:t>地下排水物联智能感知设备和信息化平台建设项目</w:t>
            </w:r>
          </w:p>
        </w:tc>
        <w:tc>
          <w:tcPr>
            <w:tcW w:w="1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8CA56">
            <w:pPr>
              <w:pStyle w:val="16"/>
              <w:jc w:val="left"/>
              <w:rPr>
                <w:rFonts w:hint="default"/>
                <w:color w:val="181717" w:themeColor="background2" w:themeShade="1A"/>
                <w:lang w:val="en-US" w:eastAsia="zh-CN"/>
              </w:rPr>
            </w:pPr>
            <w:r>
              <w:rPr>
                <w:rFonts w:hint="default"/>
                <w:color w:val="181717" w:themeColor="background2" w:themeShade="1A"/>
                <w:lang w:val="en-US" w:eastAsia="zh-CN"/>
              </w:rPr>
              <w:t>构建一套集实时感知、智能分析、预警预报、调度指挥于一体的智慧排水系统，实现对城市排水系统的全面智能化管理，提升排水效率、防灾减灾能力和运维水平。智能感知设备层主要包括水位监测、流量监测、水质监测、管网结构安全监测等，主要分布于排水系统的关键节点，负责采集数据，传输数据，进行数据的汇聚、处理、分析、展现与应用。</w:t>
            </w:r>
          </w:p>
        </w:tc>
        <w:tc>
          <w:tcPr>
            <w:tcW w:w="8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AFEB0">
            <w:pPr>
              <w:pStyle w:val="16"/>
              <w:jc w:val="left"/>
              <w:rPr>
                <w:rFonts w:hint="eastAsia" w:ascii="Times New Roman" w:hAnsi="Times New Roman" w:eastAsia="仿宋_GB2312" w:cs="Times New Roman"/>
                <w:color w:val="171717"/>
                <w:kern w:val="2"/>
                <w:sz w:val="24"/>
                <w:szCs w:val="22"/>
                <w:lang w:val="en-US" w:eastAsia="zh-CN" w:bidi="ar-SA"/>
              </w:rPr>
            </w:pPr>
            <w:r>
              <w:rPr>
                <w:rFonts w:hint="default" w:ascii="Times New Roman" w:hAnsi="Times New Roman" w:eastAsia="仿宋_GB2312" w:cs="Times New Roman"/>
                <w:color w:val="171717"/>
                <w:kern w:val="2"/>
                <w:sz w:val="24"/>
                <w:szCs w:val="22"/>
                <w:lang w:val="en-US" w:eastAsia="zh-CN" w:bidi="ar-SA"/>
              </w:rPr>
              <w:t>1.</w:t>
            </w:r>
            <w:r>
              <w:rPr>
                <w:rFonts w:hint="eastAsia" w:ascii="Times New Roman" w:hAnsi="Times New Roman" w:eastAsia="仿宋_GB2312" w:cs="Times New Roman"/>
                <w:color w:val="171717"/>
                <w:kern w:val="2"/>
                <w:sz w:val="24"/>
                <w:szCs w:val="22"/>
                <w:lang w:val="en-US" w:eastAsia="zh-CN" w:bidi="ar-SA"/>
              </w:rPr>
              <w:t>《住房和城乡建设部关于加强城市地下市政基础设施建设的指导意见》（建城〔2020〕111号）。</w:t>
            </w:r>
          </w:p>
          <w:p w14:paraId="3F9A9B2A">
            <w:pPr>
              <w:pStyle w:val="16"/>
              <w:jc w:val="left"/>
              <w:rPr>
                <w:rFonts w:hint="default"/>
                <w:color w:val="181717" w:themeColor="background2" w:themeShade="1A"/>
                <w:lang w:val="en-US" w:eastAsia="zh-CN"/>
              </w:rPr>
            </w:pPr>
            <w:r>
              <w:rPr>
                <w:rFonts w:hint="eastAsia" w:ascii="Times New Roman" w:hAnsi="Times New Roman" w:eastAsia="仿宋_GB2312" w:cs="Times New Roman"/>
                <w:color w:val="171717"/>
                <w:kern w:val="2"/>
                <w:sz w:val="24"/>
                <w:szCs w:val="22"/>
                <w:lang w:val="en-US" w:eastAsia="zh-CN" w:bidi="ar-SA"/>
              </w:rPr>
              <w:t>。</w:t>
            </w:r>
            <w:r>
              <w:rPr>
                <w:rFonts w:hint="default" w:ascii="Times New Roman" w:hAnsi="Times New Roman" w:eastAsia="仿宋_GB2312" w:cs="Times New Roman"/>
                <w:color w:val="171717"/>
                <w:kern w:val="2"/>
                <w:sz w:val="24"/>
                <w:szCs w:val="22"/>
                <w:lang w:val="en-US" w:eastAsia="zh-CN" w:bidi="ar-SA"/>
              </w:rPr>
              <w:t>2.《关于推进新型城市基础设施建设打造韧性城市的意见》（2024年11月26日）</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E8270">
            <w:pPr>
              <w:pStyle w:val="16"/>
              <w:rPr>
                <w:rFonts w:hint="default"/>
                <w:color w:val="181717" w:themeColor="background2" w:themeShade="1A"/>
                <w:lang w:val="en-US" w:eastAsia="zh-CN"/>
              </w:rPr>
            </w:pPr>
            <w:r>
              <w:rPr>
                <w:rFonts w:hint="default"/>
                <w:color w:val="181717" w:themeColor="background2" w:themeShade="1A"/>
                <w:lang w:val="en-US" w:eastAsia="zh-CN"/>
              </w:rPr>
              <w:t>202</w:t>
            </w:r>
            <w:r>
              <w:rPr>
                <w:rFonts w:hint="eastAsia"/>
                <w:color w:val="181717" w:themeColor="background2" w:themeShade="1A"/>
                <w:lang w:val="en-US" w:eastAsia="zh-CN"/>
              </w:rPr>
              <w:t>6</w:t>
            </w:r>
            <w:r>
              <w:rPr>
                <w:rFonts w:hint="default"/>
                <w:color w:val="181717" w:themeColor="background2" w:themeShade="1A"/>
                <w:lang w:val="en-US" w:eastAsia="zh-CN"/>
              </w:rPr>
              <w:t>-2030年</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6EE1A">
            <w:pPr>
              <w:pStyle w:val="16"/>
              <w:rPr>
                <w:rFonts w:hint="default"/>
                <w:color w:val="181717" w:themeColor="background2" w:themeShade="1A"/>
                <w:lang w:val="en-US" w:eastAsia="zh-CN"/>
              </w:rPr>
            </w:pPr>
            <w:r>
              <w:rPr>
                <w:rFonts w:hint="eastAsia"/>
                <w:color w:val="181717" w:themeColor="background2" w:themeShade="1A"/>
                <w:lang w:val="en-US" w:eastAsia="zh-CN"/>
              </w:rPr>
              <w:t>5</w:t>
            </w:r>
            <w:r>
              <w:rPr>
                <w:rFonts w:hint="default"/>
                <w:color w:val="181717" w:themeColor="background2" w:themeShade="1A"/>
                <w:lang w:val="en-US" w:eastAsia="zh-CN"/>
              </w:rPr>
              <w:t>000</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9FE56">
            <w:pPr>
              <w:pStyle w:val="16"/>
              <w:rPr>
                <w:rFonts w:hint="default"/>
                <w:color w:val="181717" w:themeColor="background2" w:themeShade="1A"/>
                <w:lang w:val="en-US" w:eastAsia="zh-CN"/>
              </w:rPr>
            </w:pPr>
            <w:r>
              <w:rPr>
                <w:rFonts w:hint="default"/>
                <w:color w:val="181717" w:themeColor="background2" w:themeShade="1A"/>
                <w:lang w:val="en-US" w:eastAsia="zh-CN"/>
              </w:rPr>
              <w:t>县水务局</w:t>
            </w:r>
          </w:p>
        </w:tc>
      </w:tr>
    </w:tbl>
    <w:p w14:paraId="04B31042">
      <w:pPr>
        <w:pStyle w:val="25"/>
        <w:keepNext w:val="0"/>
        <w:keepLines w:val="0"/>
        <w:pageBreakBefore w:val="0"/>
        <w:widowControl w:val="0"/>
        <w:kinsoku/>
        <w:wordWrap/>
        <w:overflowPunct/>
        <w:topLinePunct w:val="0"/>
        <w:autoSpaceDE/>
        <w:autoSpaceDN/>
        <w:bidi w:val="0"/>
        <w:adjustRightInd/>
        <w:snapToGrid/>
        <w:textAlignment w:val="auto"/>
        <w:outlineLvl w:val="9"/>
        <w:rPr>
          <w:rFonts w:hint="eastAsia"/>
          <w:color w:val="181717" w:themeColor="background2" w:themeShade="1A"/>
          <w:lang w:val="en-US" w:eastAsia="zh-CN"/>
        </w:rPr>
      </w:pPr>
    </w:p>
    <w:p w14:paraId="15FAC7E9">
      <w:pPr>
        <w:pStyle w:val="25"/>
        <w:keepNext w:val="0"/>
        <w:keepLines w:val="0"/>
        <w:pageBreakBefore w:val="0"/>
        <w:widowControl w:val="0"/>
        <w:kinsoku/>
        <w:wordWrap/>
        <w:overflowPunct/>
        <w:topLinePunct w:val="0"/>
        <w:autoSpaceDE/>
        <w:autoSpaceDN/>
        <w:bidi w:val="0"/>
        <w:adjustRightInd/>
        <w:snapToGrid/>
        <w:textAlignment w:val="auto"/>
        <w:outlineLvl w:val="9"/>
        <w:rPr>
          <w:rFonts w:hint="eastAsia"/>
          <w:color w:val="181717" w:themeColor="background2" w:themeShade="1A"/>
          <w:lang w:val="en-US" w:eastAsia="zh-CN"/>
        </w:rPr>
      </w:pPr>
    </w:p>
    <w:p w14:paraId="7EA76F59">
      <w:pPr>
        <w:pStyle w:val="25"/>
        <w:keepNext w:val="0"/>
        <w:keepLines w:val="0"/>
        <w:pageBreakBefore w:val="0"/>
        <w:widowControl w:val="0"/>
        <w:kinsoku/>
        <w:wordWrap/>
        <w:overflowPunct/>
        <w:topLinePunct w:val="0"/>
        <w:autoSpaceDE/>
        <w:autoSpaceDN/>
        <w:bidi w:val="0"/>
        <w:adjustRightInd/>
        <w:snapToGrid/>
        <w:textAlignment w:val="auto"/>
        <w:outlineLvl w:val="9"/>
        <w:rPr>
          <w:rFonts w:hint="eastAsia"/>
          <w:color w:val="181717" w:themeColor="background2" w:themeShade="1A"/>
          <w:lang w:val="en-US" w:eastAsia="zh-CN"/>
        </w:rPr>
      </w:pPr>
    </w:p>
    <w:p w14:paraId="5167D675">
      <w:pPr>
        <w:pStyle w:val="25"/>
        <w:keepNext w:val="0"/>
        <w:keepLines w:val="0"/>
        <w:pageBreakBefore w:val="0"/>
        <w:widowControl w:val="0"/>
        <w:kinsoku/>
        <w:wordWrap/>
        <w:overflowPunct/>
        <w:topLinePunct w:val="0"/>
        <w:autoSpaceDE/>
        <w:autoSpaceDN/>
        <w:bidi w:val="0"/>
        <w:adjustRightInd/>
        <w:snapToGrid/>
        <w:textAlignment w:val="auto"/>
        <w:outlineLvl w:val="9"/>
        <w:rPr>
          <w:rFonts w:hint="eastAsia"/>
          <w:color w:val="181717" w:themeColor="background2" w:themeShade="1A"/>
          <w:lang w:val="en-US" w:eastAsia="zh-CN"/>
        </w:rPr>
      </w:pPr>
    </w:p>
    <w:p w14:paraId="33A15693">
      <w:pPr>
        <w:pStyle w:val="25"/>
        <w:keepNext w:val="0"/>
        <w:keepLines w:val="0"/>
        <w:pageBreakBefore w:val="0"/>
        <w:widowControl w:val="0"/>
        <w:kinsoku/>
        <w:wordWrap/>
        <w:overflowPunct/>
        <w:topLinePunct w:val="0"/>
        <w:autoSpaceDE/>
        <w:autoSpaceDN/>
        <w:bidi w:val="0"/>
        <w:adjustRightInd/>
        <w:snapToGrid/>
        <w:textAlignment w:val="auto"/>
        <w:outlineLvl w:val="9"/>
        <w:rPr>
          <w:rFonts w:hint="eastAsia"/>
          <w:color w:val="181717" w:themeColor="background2" w:themeShade="1A"/>
          <w:lang w:val="en-US" w:eastAsia="zh-CN"/>
        </w:rPr>
      </w:pPr>
    </w:p>
    <w:p w14:paraId="1FA0C111">
      <w:pPr>
        <w:pStyle w:val="25"/>
        <w:keepNext w:val="0"/>
        <w:keepLines w:val="0"/>
        <w:pageBreakBefore w:val="0"/>
        <w:widowControl w:val="0"/>
        <w:kinsoku/>
        <w:wordWrap/>
        <w:overflowPunct/>
        <w:topLinePunct w:val="0"/>
        <w:autoSpaceDE/>
        <w:autoSpaceDN/>
        <w:bidi w:val="0"/>
        <w:adjustRightInd/>
        <w:snapToGrid/>
        <w:textAlignment w:val="auto"/>
        <w:outlineLvl w:val="9"/>
        <w:rPr>
          <w:rFonts w:hint="eastAsia"/>
          <w:color w:val="181717" w:themeColor="background2" w:themeShade="1A"/>
          <w:lang w:val="en-US" w:eastAsia="zh-CN"/>
        </w:rPr>
      </w:pPr>
    </w:p>
    <w:p w14:paraId="6B39B4A3">
      <w:pPr>
        <w:pStyle w:val="25"/>
        <w:keepNext w:val="0"/>
        <w:keepLines w:val="0"/>
        <w:pageBreakBefore w:val="0"/>
        <w:widowControl w:val="0"/>
        <w:kinsoku/>
        <w:wordWrap/>
        <w:overflowPunct/>
        <w:topLinePunct w:val="0"/>
        <w:autoSpaceDE/>
        <w:autoSpaceDN/>
        <w:bidi w:val="0"/>
        <w:adjustRightInd/>
        <w:snapToGrid/>
        <w:textAlignment w:val="auto"/>
        <w:outlineLvl w:val="9"/>
        <w:rPr>
          <w:rFonts w:hint="eastAsia"/>
          <w:color w:val="181717" w:themeColor="background2" w:themeShade="1A"/>
          <w:lang w:val="en-US" w:eastAsia="zh-CN"/>
        </w:rPr>
      </w:pPr>
    </w:p>
    <w:p w14:paraId="5EE7CE93">
      <w:pPr>
        <w:pStyle w:val="25"/>
        <w:keepNext w:val="0"/>
        <w:keepLines w:val="0"/>
        <w:pageBreakBefore w:val="0"/>
        <w:widowControl w:val="0"/>
        <w:kinsoku/>
        <w:wordWrap/>
        <w:overflowPunct/>
        <w:topLinePunct w:val="0"/>
        <w:autoSpaceDE/>
        <w:autoSpaceDN/>
        <w:bidi w:val="0"/>
        <w:adjustRightInd/>
        <w:snapToGrid/>
        <w:textAlignment w:val="auto"/>
        <w:outlineLvl w:val="9"/>
        <w:rPr>
          <w:rFonts w:hint="eastAsia"/>
          <w:color w:val="181717" w:themeColor="background2" w:themeShade="1A"/>
          <w:lang w:val="en-US" w:eastAsia="zh-CN"/>
        </w:rPr>
      </w:pPr>
    </w:p>
    <w:p w14:paraId="68F71256">
      <w:pPr>
        <w:pStyle w:val="25"/>
        <w:keepNext w:val="0"/>
        <w:keepLines w:val="0"/>
        <w:pageBreakBefore w:val="0"/>
        <w:widowControl w:val="0"/>
        <w:kinsoku/>
        <w:wordWrap/>
        <w:overflowPunct/>
        <w:topLinePunct w:val="0"/>
        <w:autoSpaceDE/>
        <w:autoSpaceDN/>
        <w:bidi w:val="0"/>
        <w:adjustRightInd/>
        <w:snapToGrid/>
        <w:textAlignment w:val="auto"/>
        <w:outlineLvl w:val="9"/>
        <w:rPr>
          <w:rFonts w:hint="eastAsia"/>
          <w:color w:val="181717" w:themeColor="background2" w:themeShade="1A"/>
          <w:lang w:val="en-US" w:eastAsia="zh-CN"/>
        </w:rPr>
      </w:pPr>
    </w:p>
    <w:p w14:paraId="368BE45A">
      <w:pPr>
        <w:pStyle w:val="25"/>
        <w:keepNext w:val="0"/>
        <w:keepLines w:val="0"/>
        <w:pageBreakBefore w:val="0"/>
        <w:widowControl w:val="0"/>
        <w:kinsoku/>
        <w:wordWrap/>
        <w:overflowPunct/>
        <w:topLinePunct w:val="0"/>
        <w:autoSpaceDE/>
        <w:autoSpaceDN/>
        <w:bidi w:val="0"/>
        <w:adjustRightInd/>
        <w:snapToGrid/>
        <w:textAlignment w:val="auto"/>
        <w:outlineLvl w:val="9"/>
        <w:rPr>
          <w:rFonts w:hint="default"/>
          <w:color w:val="181717" w:themeColor="background2" w:themeShade="1A"/>
          <w:lang w:val="en-US" w:eastAsia="zh-CN"/>
        </w:rPr>
      </w:pPr>
      <w:r>
        <w:rPr>
          <w:rFonts w:hint="eastAsia"/>
          <w:color w:val="181717" w:themeColor="background2" w:themeShade="1A"/>
          <w:lang w:val="en-US" w:eastAsia="zh-CN"/>
        </w:rPr>
        <w:t>表10-6 “十五五”人居环境重点工程</w:t>
      </w:r>
    </w:p>
    <w:tbl>
      <w:tblPr>
        <w:tblStyle w:val="20"/>
        <w:tblW w:w="499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9"/>
        <w:gridCol w:w="1750"/>
        <w:gridCol w:w="5455"/>
        <w:gridCol w:w="2675"/>
        <w:gridCol w:w="1402"/>
        <w:gridCol w:w="1262"/>
        <w:gridCol w:w="1607"/>
      </w:tblGrid>
      <w:tr w14:paraId="582B3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F1FE3">
            <w:pPr>
              <w:pStyle w:val="16"/>
              <w:bidi w:val="0"/>
              <w:rPr>
                <w:rFonts w:hint="eastAsia"/>
                <w:b/>
                <w:bCs/>
                <w:color w:val="181717" w:themeColor="background2" w:themeShade="1A"/>
              </w:rPr>
            </w:pPr>
            <w:r>
              <w:rPr>
                <w:rFonts w:hint="eastAsia"/>
                <w:b/>
                <w:bCs/>
                <w:color w:val="181717" w:themeColor="background2" w:themeShade="1A"/>
                <w:lang w:val="en-US" w:eastAsia="zh-CN"/>
              </w:rPr>
              <w:t>序号</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B5F0C">
            <w:pPr>
              <w:pStyle w:val="16"/>
              <w:bidi w:val="0"/>
              <w:rPr>
                <w:rFonts w:hint="eastAsia"/>
                <w:b/>
                <w:bCs/>
                <w:color w:val="181717" w:themeColor="background2" w:themeShade="1A"/>
              </w:rPr>
            </w:pPr>
            <w:r>
              <w:rPr>
                <w:rFonts w:hint="eastAsia"/>
                <w:b/>
                <w:bCs/>
                <w:color w:val="181717" w:themeColor="background2" w:themeShade="1A"/>
                <w:lang w:val="en-US" w:eastAsia="zh-CN"/>
              </w:rPr>
              <w:t>工程名称</w:t>
            </w:r>
          </w:p>
        </w:tc>
        <w:tc>
          <w:tcPr>
            <w:tcW w:w="1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624B9">
            <w:pPr>
              <w:pStyle w:val="16"/>
              <w:bidi w:val="0"/>
              <w:rPr>
                <w:rFonts w:hint="eastAsia"/>
                <w:b/>
                <w:bCs/>
                <w:color w:val="181717" w:themeColor="background2" w:themeShade="1A"/>
              </w:rPr>
            </w:pPr>
            <w:r>
              <w:rPr>
                <w:rFonts w:hint="eastAsia"/>
                <w:b/>
                <w:bCs/>
                <w:color w:val="181717" w:themeColor="background2" w:themeShade="1A"/>
                <w:lang w:val="en-US" w:eastAsia="zh-CN"/>
              </w:rPr>
              <w:t>建设内容</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CF67A">
            <w:pPr>
              <w:pStyle w:val="16"/>
              <w:bidi w:val="0"/>
              <w:rPr>
                <w:rFonts w:hint="eastAsia"/>
                <w:b/>
                <w:bCs/>
                <w:color w:val="181717" w:themeColor="background2" w:themeShade="1A"/>
              </w:rPr>
            </w:pPr>
            <w:r>
              <w:rPr>
                <w:rFonts w:hint="eastAsia"/>
                <w:b/>
                <w:bCs/>
                <w:color w:val="181717" w:themeColor="background2" w:themeShade="1A"/>
                <w:lang w:val="en-US" w:eastAsia="zh-CN"/>
              </w:rPr>
              <w:t>策划依据</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D8AF8">
            <w:pPr>
              <w:pStyle w:val="16"/>
              <w:bidi w:val="0"/>
              <w:rPr>
                <w:rFonts w:hint="eastAsia"/>
                <w:b/>
                <w:bCs/>
                <w:color w:val="181717" w:themeColor="background2" w:themeShade="1A"/>
              </w:rPr>
            </w:pPr>
            <w:r>
              <w:rPr>
                <w:rFonts w:hint="eastAsia"/>
                <w:b/>
                <w:bCs/>
                <w:color w:val="181717" w:themeColor="background2" w:themeShade="1A"/>
                <w:lang w:val="en-US" w:eastAsia="zh-CN"/>
              </w:rPr>
              <w:t>起止年限</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42DAA">
            <w:pPr>
              <w:pStyle w:val="16"/>
              <w:bidi w:val="0"/>
              <w:rPr>
                <w:rFonts w:hint="eastAsia"/>
                <w:b/>
                <w:bCs/>
                <w:color w:val="181717" w:themeColor="background2" w:themeShade="1A"/>
              </w:rPr>
            </w:pPr>
            <w:r>
              <w:rPr>
                <w:rFonts w:hint="eastAsia"/>
                <w:b/>
                <w:bCs/>
                <w:color w:val="181717" w:themeColor="background2" w:themeShade="1A"/>
                <w:lang w:val="en-US" w:eastAsia="zh-CN"/>
              </w:rPr>
              <w:t>投资预算（万元）</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39814">
            <w:pPr>
              <w:pStyle w:val="16"/>
              <w:bidi w:val="0"/>
              <w:rPr>
                <w:rFonts w:hint="eastAsia"/>
                <w:b/>
                <w:bCs/>
                <w:color w:val="181717" w:themeColor="background2" w:themeShade="1A"/>
              </w:rPr>
            </w:pPr>
            <w:r>
              <w:rPr>
                <w:rFonts w:hint="eastAsia"/>
                <w:b/>
                <w:bCs/>
                <w:color w:val="181717" w:themeColor="background2" w:themeShade="1A"/>
                <w:lang w:val="en-US" w:eastAsia="zh-CN"/>
              </w:rPr>
              <w:t>责任单位</w:t>
            </w:r>
          </w:p>
        </w:tc>
      </w:tr>
      <w:tr w14:paraId="2C512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6997D">
            <w:pPr>
              <w:pStyle w:val="16"/>
              <w:rPr>
                <w:rFonts w:hint="default"/>
                <w:color w:val="181717" w:themeColor="background2" w:themeShade="1A"/>
              </w:rPr>
            </w:pPr>
            <w:r>
              <w:rPr>
                <w:rFonts w:hint="default"/>
                <w:color w:val="181717" w:themeColor="background2" w:themeShade="1A"/>
                <w:lang w:val="en-US" w:eastAsia="zh-CN"/>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178D1">
            <w:pPr>
              <w:pStyle w:val="16"/>
              <w:rPr>
                <w:rFonts w:hint="default"/>
                <w:color w:val="181717" w:themeColor="background2" w:themeShade="1A"/>
              </w:rPr>
            </w:pPr>
            <w:r>
              <w:rPr>
                <w:rFonts w:hint="default"/>
                <w:color w:val="181717" w:themeColor="background2" w:themeShade="1A"/>
              </w:rPr>
              <w:t>和美乡村建设项目</w:t>
            </w:r>
          </w:p>
        </w:tc>
        <w:tc>
          <w:tcPr>
            <w:tcW w:w="1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7505B">
            <w:pPr>
              <w:pStyle w:val="16"/>
              <w:jc w:val="left"/>
              <w:rPr>
                <w:rFonts w:hint="default"/>
                <w:color w:val="181717" w:themeColor="background2" w:themeShade="1A"/>
              </w:rPr>
            </w:pPr>
            <w:r>
              <w:rPr>
                <w:rFonts w:hint="default"/>
                <w:color w:val="181717" w:themeColor="background2" w:themeShade="1A"/>
              </w:rPr>
              <w:t>建设150个和美乡村。种植绿化、道路硬化（包括环村路、巷路等）、污水处理措施、路灯、挡土墙、生态停车场、篮球场及排球场等。</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0D381">
            <w:pPr>
              <w:pStyle w:val="16"/>
              <w:jc w:val="left"/>
              <w:rPr>
                <w:rFonts w:hint="default"/>
                <w:color w:val="181717" w:themeColor="background2" w:themeShade="1A"/>
              </w:rPr>
            </w:pPr>
            <w:r>
              <w:rPr>
                <w:rFonts w:hint="default"/>
                <w:color w:val="181717" w:themeColor="background2" w:themeShade="1A"/>
              </w:rPr>
              <w:t>《屯昌县“十五五”农业农村现代化发展规划》</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8FC98">
            <w:pPr>
              <w:pStyle w:val="16"/>
              <w:rPr>
                <w:rFonts w:hint="default" w:eastAsia="仿宋_GB2312"/>
                <w:color w:val="181717" w:themeColor="background2" w:themeShade="1A"/>
                <w:lang w:val="en-US" w:eastAsia="zh-CN"/>
              </w:rPr>
            </w:pPr>
            <w:r>
              <w:rPr>
                <w:rFonts w:hint="default"/>
                <w:color w:val="181717" w:themeColor="background2" w:themeShade="1A"/>
                <w:lang w:val="en-US" w:eastAsia="zh-CN"/>
              </w:rPr>
              <w:t>2025-2030年</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97A08">
            <w:pPr>
              <w:pStyle w:val="16"/>
              <w:rPr>
                <w:rFonts w:hint="default"/>
                <w:color w:val="181717" w:themeColor="background2" w:themeShade="1A"/>
              </w:rPr>
            </w:pPr>
            <w:r>
              <w:rPr>
                <w:rFonts w:hint="default"/>
                <w:color w:val="181717" w:themeColor="background2" w:themeShade="1A"/>
              </w:rPr>
              <w:t>22500</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FFAFD">
            <w:pPr>
              <w:pStyle w:val="16"/>
              <w:rPr>
                <w:rFonts w:hint="default" w:eastAsia="仿宋_GB2312"/>
                <w:color w:val="181717" w:themeColor="background2" w:themeShade="1A"/>
                <w:lang w:eastAsia="zh-CN"/>
              </w:rPr>
            </w:pPr>
            <w:r>
              <w:rPr>
                <w:rFonts w:hint="default"/>
                <w:color w:val="181717" w:themeColor="background2" w:themeShade="1A"/>
                <w:lang w:eastAsia="zh-CN"/>
              </w:rPr>
              <w:t>农业农村局</w:t>
            </w:r>
          </w:p>
        </w:tc>
      </w:tr>
      <w:tr w14:paraId="702C7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3F20F">
            <w:pPr>
              <w:pStyle w:val="16"/>
              <w:rPr>
                <w:rFonts w:hint="default"/>
                <w:color w:val="181717" w:themeColor="background2" w:themeShade="1A"/>
              </w:rPr>
            </w:pPr>
            <w:r>
              <w:rPr>
                <w:rFonts w:hint="default"/>
                <w:color w:val="181717" w:themeColor="background2" w:themeShade="1A"/>
                <w:lang w:val="en-US" w:eastAsia="zh-CN"/>
              </w:rPr>
              <w:t>2</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100B5">
            <w:pPr>
              <w:pStyle w:val="16"/>
              <w:rPr>
                <w:rFonts w:hint="default"/>
                <w:color w:val="181717" w:themeColor="background2" w:themeShade="1A"/>
              </w:rPr>
            </w:pPr>
            <w:r>
              <w:rPr>
                <w:rFonts w:hint="default"/>
                <w:color w:val="181717" w:themeColor="background2" w:themeShade="1A"/>
              </w:rPr>
              <w:t>农村人居环境整治提升项目</w:t>
            </w:r>
          </w:p>
        </w:tc>
        <w:tc>
          <w:tcPr>
            <w:tcW w:w="1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5B747">
            <w:pPr>
              <w:pStyle w:val="16"/>
              <w:jc w:val="left"/>
              <w:rPr>
                <w:rFonts w:hint="default"/>
                <w:color w:val="181717" w:themeColor="background2" w:themeShade="1A"/>
              </w:rPr>
            </w:pPr>
            <w:r>
              <w:rPr>
                <w:rFonts w:hint="default"/>
                <w:color w:val="181717" w:themeColor="background2" w:themeShade="1A"/>
              </w:rPr>
              <w:t>整治提升清洁乡村500个。</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FC1FD">
            <w:pPr>
              <w:pStyle w:val="16"/>
              <w:jc w:val="left"/>
              <w:rPr>
                <w:rFonts w:hint="default"/>
                <w:color w:val="181717" w:themeColor="background2" w:themeShade="1A"/>
              </w:rPr>
            </w:pPr>
            <w:r>
              <w:rPr>
                <w:rFonts w:hint="eastAsia"/>
                <w:color w:val="181717" w:themeColor="background2" w:themeShade="1A"/>
                <w:lang w:eastAsia="zh-CN"/>
              </w:rPr>
              <w:t>《</w:t>
            </w:r>
            <w:r>
              <w:rPr>
                <w:rFonts w:hint="default"/>
                <w:color w:val="181717" w:themeColor="background2" w:themeShade="1A"/>
              </w:rPr>
              <w:t>屯昌县“十五五”农业农村现代化发展规划》</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AFADE">
            <w:pPr>
              <w:pStyle w:val="16"/>
              <w:rPr>
                <w:rFonts w:hint="default"/>
                <w:color w:val="181717" w:themeColor="background2" w:themeShade="1A"/>
                <w:lang w:val="en-US"/>
              </w:rPr>
            </w:pPr>
            <w:r>
              <w:rPr>
                <w:rFonts w:hint="default"/>
                <w:color w:val="181717" w:themeColor="background2" w:themeShade="1A"/>
                <w:lang w:val="en-US" w:eastAsia="zh-CN"/>
              </w:rPr>
              <w:t>2025-2030年</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F2E75">
            <w:pPr>
              <w:pStyle w:val="16"/>
              <w:rPr>
                <w:rFonts w:hint="default" w:eastAsia="仿宋_GB2312"/>
                <w:color w:val="181717" w:themeColor="background2" w:themeShade="1A"/>
                <w:lang w:val="en-US" w:eastAsia="zh-CN"/>
              </w:rPr>
            </w:pPr>
            <w:r>
              <w:rPr>
                <w:rFonts w:hint="default"/>
                <w:color w:val="181717" w:themeColor="background2" w:themeShade="1A"/>
                <w:lang w:val="en-US" w:eastAsia="zh-CN"/>
              </w:rPr>
              <w:t>25000</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52332">
            <w:pPr>
              <w:pStyle w:val="16"/>
              <w:rPr>
                <w:rFonts w:hint="default"/>
                <w:color w:val="181717" w:themeColor="background2" w:themeShade="1A"/>
              </w:rPr>
            </w:pPr>
            <w:r>
              <w:rPr>
                <w:rFonts w:hint="default"/>
                <w:color w:val="181717" w:themeColor="background2" w:themeShade="1A"/>
                <w:lang w:eastAsia="zh-CN"/>
              </w:rPr>
              <w:t>农业农村局</w:t>
            </w:r>
          </w:p>
        </w:tc>
      </w:tr>
    </w:tbl>
    <w:p w14:paraId="7C57119D">
      <w:pPr>
        <w:pStyle w:val="3"/>
        <w:bidi w:val="0"/>
        <w:rPr>
          <w:color w:val="000000" w:themeColor="text1"/>
          <w14:textFill>
            <w14:solidFill>
              <w14:schemeClr w14:val="tx1"/>
            </w14:solidFill>
          </w14:textFill>
        </w:rPr>
      </w:pPr>
    </w:p>
    <w:sectPr>
      <w:pgSz w:w="16838" w:h="11906" w:orient="landscape"/>
      <w:pgMar w:top="1440" w:right="1080" w:bottom="1440" w:left="108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36F5ABB-544D-42EF-8527-16A2B47038F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3C2A37D6-0895-42C6-A7BC-0D1D707E2E33}"/>
  </w:font>
  <w:font w:name="仿宋_GB2312">
    <w:altName w:val="仿宋"/>
    <w:panose1 w:val="02010609030101010101"/>
    <w:charset w:val="86"/>
    <w:family w:val="auto"/>
    <w:pitch w:val="default"/>
    <w:sig w:usb0="00000000" w:usb1="00000000" w:usb2="00000000" w:usb3="00000000" w:csb0="00040000" w:csb1="00000000"/>
    <w:embedRegular r:id="rId3" w:fontKey="{FF5EF66A-72AC-47E1-8FAA-96272221BE5C}"/>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4" w:fontKey="{355537FE-DE9A-447F-890F-170435017254}"/>
  </w:font>
  <w:font w:name="Tahoma">
    <w:panose1 w:val="020B0604030504040204"/>
    <w:charset w:val="00"/>
    <w:family w:val="auto"/>
    <w:pitch w:val="default"/>
    <w:sig w:usb0="E1002EFF" w:usb1="C000605B" w:usb2="00000029" w:usb3="00000000" w:csb0="200101FF" w:csb1="20280000"/>
  </w:font>
  <w:font w:name="Gulim">
    <w:panose1 w:val="020B0600000101010101"/>
    <w:charset w:val="81"/>
    <w:family w:val="auto"/>
    <w:pitch w:val="default"/>
    <w:sig w:usb0="B00002AF" w:usb1="69D77CFB" w:usb2="00000030" w:usb3="00000000" w:csb0="4008009F" w:csb1="DFD7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61463">
    <w:pPr>
      <w:pStyle w:val="11"/>
      <w:ind w:firstLine="360"/>
      <w:jc w:val="center"/>
    </w:pPr>
    <w:sdt>
      <w:sdtPr>
        <w:id w:val="10907996"/>
      </w:sdtPr>
      <w:sdtContent/>
    </w:sdt>
  </w:p>
  <w:p w14:paraId="7C0A014B">
    <w:pPr>
      <w:pStyle w:val="1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40225">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90E04">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475B8">
    <w:pPr>
      <w:pStyle w:val="11"/>
      <w:ind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32CF9B">
                          <w:pPr>
                            <w:pStyle w:val="11"/>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432CF9B">
                    <w:pPr>
                      <w:pStyle w:val="11"/>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sdt>
      <w:sdtPr>
        <w:id w:val="147471415"/>
        <w:showingPlcHdr/>
      </w:sdtPr>
      <w:sdtContent>
        <w:r>
          <w:rPr>
            <w:rFonts w:hint="eastAsia"/>
            <w:lang w:eastAsia="zh-CN"/>
          </w:rPr>
          <w:t xml:space="preserve">     </w:t>
        </w:r>
      </w:sdtContent>
    </w:sdt>
  </w:p>
  <w:p w14:paraId="23F39623">
    <w:pPr>
      <w:pStyle w:val="11"/>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B7D0B">
    <w:pPr>
      <w:pStyle w:val="11"/>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43AF70">
                          <w:pPr>
                            <w:pStyle w:val="11"/>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943AF70">
                    <w:pPr>
                      <w:pStyle w:val="11"/>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sdt>
      <w:sdtPr>
        <w:id w:val="147469750"/>
      </w:sdtPr>
      <w:sdtContent/>
    </w:sdt>
  </w:p>
  <w:p w14:paraId="64B8CA49">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
    <w:p>
      <w:pPr>
        <w:spacing w:line="240" w:lineRule="auto"/>
        <w:ind w:firstLine="640"/>
      </w:pPr>
      <w:r>
        <w:separator/>
      </w:r>
    </w:p>
  </w:footnote>
  <w:footnote w:type="continuationSeparator" w:id="13">
    <w:p>
      <w:pPr>
        <w:spacing w:line="240" w:lineRule="auto"/>
        <w:ind w:firstLine="640"/>
      </w:pPr>
      <w:r>
        <w:continuationSeparator/>
      </w:r>
    </w:p>
  </w:footnote>
  <w:footnote w:id="0">
    <w:p w14:paraId="52D8B1E7">
      <w:pPr>
        <w:pStyle w:val="17"/>
        <w:snapToGrid w:val="0"/>
      </w:pPr>
      <w:r>
        <w:rPr>
          <w:rStyle w:val="24"/>
        </w:rPr>
        <w:footnoteRef/>
      </w:r>
      <w:r>
        <w:t xml:space="preserve"> </w:t>
      </w:r>
      <w:r>
        <w:rPr>
          <w:rFonts w:hint="eastAsia"/>
          <w:lang w:val="en-US" w:eastAsia="zh-CN"/>
        </w:rPr>
        <w:t>一园三区两中心：</w:t>
      </w:r>
      <w:r>
        <w:rPr>
          <w:rFonts w:hint="eastAsia"/>
        </w:rPr>
        <w:t>一园是大同产业园，三区是绿色低碳循环经济产业区、新型石材建材产业区、林木精深加工产业区，两中心是特色农产品区域中心、中医养生和旅游康养中心。</w:t>
      </w:r>
    </w:p>
  </w:footnote>
  <w:footnote w:id="1">
    <w:p w14:paraId="26E6EE61">
      <w:pPr>
        <w:pStyle w:val="17"/>
        <w:snapToGrid w:val="0"/>
        <w:rPr>
          <w:rFonts w:hint="eastAsia" w:eastAsia="仿宋_GB2312"/>
          <w:lang w:val="en-US" w:eastAsia="zh-CN"/>
        </w:rPr>
      </w:pPr>
      <w:r>
        <w:rPr>
          <w:rStyle w:val="24"/>
        </w:rPr>
        <w:footnoteRef/>
      </w:r>
      <w:r>
        <w:t xml:space="preserve"> </w:t>
      </w:r>
      <w:r>
        <w:rPr>
          <w:rFonts w:hint="eastAsia"/>
          <w:lang w:val="en-US" w:eastAsia="zh-CN"/>
        </w:rPr>
        <w:t>源网荷储：一种以源网联动和荷储协同为特征的能源技术，通过优化能源利用效率和改善能源结构，实现可持续发展。</w:t>
      </w:r>
    </w:p>
  </w:footnote>
  <w:footnote w:id="2">
    <w:p w14:paraId="3D113660">
      <w:pPr>
        <w:pStyle w:val="17"/>
        <w:snapToGrid w:val="0"/>
        <w:rPr>
          <w:rFonts w:hint="eastAsia" w:eastAsia="仿宋_GB2312"/>
          <w:lang w:eastAsia="zh-CN"/>
        </w:rPr>
      </w:pPr>
      <w:r>
        <w:rPr>
          <w:rStyle w:val="24"/>
        </w:rPr>
        <w:footnoteRef/>
      </w:r>
      <w:r>
        <w:t xml:space="preserve"> </w:t>
      </w:r>
      <w:r>
        <w:rPr>
          <w:rFonts w:hint="eastAsia"/>
        </w:rPr>
        <w:t>气肥联产：指将农业废弃物转化为沼气（能源）和有机肥（肥料）的联产技术</w:t>
      </w:r>
      <w:r>
        <w:rPr>
          <w:rFonts w:hint="eastAsia"/>
          <w:lang w:eastAsia="zh-CN"/>
        </w:rPr>
        <w:t>。</w:t>
      </w:r>
    </w:p>
  </w:footnote>
  <w:footnote w:id="3">
    <w:p w14:paraId="667634CB">
      <w:pPr>
        <w:pStyle w:val="17"/>
        <w:snapToGrid w:val="0"/>
        <w:rPr>
          <w:rFonts w:hint="eastAsia" w:eastAsia="仿宋_GB2312"/>
          <w:lang w:val="en-US" w:eastAsia="zh-CN"/>
        </w:rPr>
      </w:pPr>
      <w:r>
        <w:rPr>
          <w:rStyle w:val="24"/>
        </w:rPr>
        <w:footnoteRef/>
      </w:r>
      <w:r>
        <w:t xml:space="preserve"> </w:t>
      </w:r>
      <w:r>
        <w:rPr>
          <w:rFonts w:hint="eastAsia"/>
          <w:lang w:val="en-US" w:eastAsia="zh-CN"/>
        </w:rPr>
        <w:t>六水共治：治污水、保供水、排涝水、防洪水、抓节水、优海水。</w:t>
      </w:r>
    </w:p>
  </w:footnote>
  <w:footnote w:id="4">
    <w:p w14:paraId="5D44F1C1">
      <w:pPr>
        <w:pStyle w:val="17"/>
        <w:snapToGrid w:val="0"/>
      </w:pPr>
      <w:r>
        <w:rPr>
          <w:rStyle w:val="24"/>
        </w:rPr>
        <w:footnoteRef/>
      </w:r>
      <w:r>
        <w:t xml:space="preserve"> </w:t>
      </w:r>
      <w:r>
        <w:rPr>
          <w:rFonts w:hint="eastAsia"/>
        </w:rPr>
        <w:t>节水“三同时”：指配套建设的节水措施与主体工程同时设计、同时施工、同时投入生产和使用。</w:t>
      </w:r>
    </w:p>
  </w:footnote>
  <w:footnote w:id="5">
    <w:p w14:paraId="43B62C2A">
      <w:pPr>
        <w:pStyle w:val="17"/>
        <w:snapToGrid w:val="0"/>
        <w:rPr>
          <w:rFonts w:hint="eastAsia" w:eastAsia="仿宋_GB2312"/>
          <w:lang w:val="en-US" w:eastAsia="zh-CN"/>
        </w:rPr>
      </w:pPr>
      <w:r>
        <w:rPr>
          <w:rStyle w:val="24"/>
        </w:rPr>
        <w:footnoteRef/>
      </w:r>
      <w:r>
        <w:t xml:space="preserve"> </w:t>
      </w:r>
      <w:r>
        <w:rPr>
          <w:rFonts w:hint="eastAsia"/>
          <w:lang w:val="en-US" w:eastAsia="zh-CN"/>
        </w:rPr>
        <w:t>无废细胞：是践行“无废城市”建设理念，采取有效技术、工程和管理措施，推广绿色生产生活方式，培育固体废物源头减量、资源化利用和无害化处置的社会生产生活各类组成单元。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7CC72">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EE9DA">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4F29D">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04A22F"/>
    <w:multiLevelType w:val="multilevel"/>
    <w:tmpl w:val="4504A22F"/>
    <w:lvl w:ilvl="0" w:tentative="0">
      <w:start w:val="1"/>
      <w:numFmt w:val="chineseCounting"/>
      <w:pStyle w:val="2"/>
      <w:suff w:val="nothing"/>
      <w:lvlText w:val="第%1章　"/>
      <w:lvlJc w:val="left"/>
      <w:pPr>
        <w:tabs>
          <w:tab w:val="left" w:pos="0"/>
        </w:tabs>
        <w:ind w:left="0" w:firstLine="402"/>
      </w:pPr>
      <w:rPr>
        <w:rFonts w:hint="eastAsia"/>
      </w:rPr>
    </w:lvl>
    <w:lvl w:ilvl="1" w:tentative="0">
      <w:start w:val="1"/>
      <w:numFmt w:val="chineseCounting"/>
      <w:pStyle w:val="4"/>
      <w:suff w:val="nothing"/>
      <w:lvlText w:val="第%2节　"/>
      <w:lvlJc w:val="left"/>
      <w:pPr>
        <w:tabs>
          <w:tab w:val="left" w:pos="420"/>
        </w:tabs>
        <w:ind w:left="0" w:firstLine="402"/>
      </w:pPr>
      <w:rPr>
        <w:rFonts w:hint="eastAsia"/>
      </w:rPr>
    </w:lvl>
    <w:lvl w:ilvl="2" w:tentative="0">
      <w:start w:val="1"/>
      <w:numFmt w:val="none"/>
      <w:pStyle w:val="5"/>
      <w:suff w:val="space"/>
      <w:lvlText w:val=""/>
      <w:lvlJc w:val="left"/>
      <w:pPr>
        <w:tabs>
          <w:tab w:val="left" w:pos="420"/>
        </w:tabs>
        <w:ind w:left="0" w:firstLine="402"/>
      </w:pPr>
      <w:rPr>
        <w:rFonts w:hint="eastAsia"/>
      </w:rPr>
    </w:lvl>
    <w:lvl w:ilvl="3" w:tentative="0">
      <w:start w:val="1"/>
      <w:numFmt w:val="chineseCounting"/>
      <w:pStyle w:val="6"/>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footnotePr>
    <w:footnote w:id="12"/>
    <w:footnote w:id="13"/>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F60B0"/>
    <w:rsid w:val="002C0F6E"/>
    <w:rsid w:val="008B6257"/>
    <w:rsid w:val="00A75600"/>
    <w:rsid w:val="00AB1BA4"/>
    <w:rsid w:val="00C8333A"/>
    <w:rsid w:val="00E6284A"/>
    <w:rsid w:val="00FC24EE"/>
    <w:rsid w:val="010232AB"/>
    <w:rsid w:val="01085685"/>
    <w:rsid w:val="0109665B"/>
    <w:rsid w:val="01322415"/>
    <w:rsid w:val="01446C44"/>
    <w:rsid w:val="01515DAE"/>
    <w:rsid w:val="018816F6"/>
    <w:rsid w:val="018A148B"/>
    <w:rsid w:val="01AC5842"/>
    <w:rsid w:val="01B21AF5"/>
    <w:rsid w:val="01B77815"/>
    <w:rsid w:val="01BF37C7"/>
    <w:rsid w:val="01CA3E04"/>
    <w:rsid w:val="01F16F87"/>
    <w:rsid w:val="01FF4EA0"/>
    <w:rsid w:val="02005C7C"/>
    <w:rsid w:val="0202311A"/>
    <w:rsid w:val="020B3FDE"/>
    <w:rsid w:val="02126CE6"/>
    <w:rsid w:val="021F3445"/>
    <w:rsid w:val="022853A0"/>
    <w:rsid w:val="023228C0"/>
    <w:rsid w:val="02385327"/>
    <w:rsid w:val="023C691D"/>
    <w:rsid w:val="023E2B96"/>
    <w:rsid w:val="024B6E08"/>
    <w:rsid w:val="0284067F"/>
    <w:rsid w:val="029562D6"/>
    <w:rsid w:val="02C06286"/>
    <w:rsid w:val="02C54724"/>
    <w:rsid w:val="02DA63DE"/>
    <w:rsid w:val="02E30A02"/>
    <w:rsid w:val="02F0175E"/>
    <w:rsid w:val="0303424A"/>
    <w:rsid w:val="03433F84"/>
    <w:rsid w:val="035C11FB"/>
    <w:rsid w:val="035E700F"/>
    <w:rsid w:val="03666F38"/>
    <w:rsid w:val="036F24AE"/>
    <w:rsid w:val="037C3A0B"/>
    <w:rsid w:val="037C5567"/>
    <w:rsid w:val="037F28BF"/>
    <w:rsid w:val="038E6351"/>
    <w:rsid w:val="039B6FA2"/>
    <w:rsid w:val="03B814DA"/>
    <w:rsid w:val="03DD7F34"/>
    <w:rsid w:val="047351D8"/>
    <w:rsid w:val="04750B3D"/>
    <w:rsid w:val="04775006"/>
    <w:rsid w:val="04785984"/>
    <w:rsid w:val="047863B0"/>
    <w:rsid w:val="04C26ED5"/>
    <w:rsid w:val="04C87B82"/>
    <w:rsid w:val="04EF7F4A"/>
    <w:rsid w:val="05012E3A"/>
    <w:rsid w:val="0513166D"/>
    <w:rsid w:val="0524747B"/>
    <w:rsid w:val="05317630"/>
    <w:rsid w:val="05381412"/>
    <w:rsid w:val="0542030B"/>
    <w:rsid w:val="05455393"/>
    <w:rsid w:val="05594E8C"/>
    <w:rsid w:val="055A6B5A"/>
    <w:rsid w:val="056946F1"/>
    <w:rsid w:val="05777F14"/>
    <w:rsid w:val="05851049"/>
    <w:rsid w:val="059E7B97"/>
    <w:rsid w:val="059F22C5"/>
    <w:rsid w:val="05B24421"/>
    <w:rsid w:val="05B77D32"/>
    <w:rsid w:val="05C872D3"/>
    <w:rsid w:val="05E04A82"/>
    <w:rsid w:val="06271C8F"/>
    <w:rsid w:val="06333229"/>
    <w:rsid w:val="063860AA"/>
    <w:rsid w:val="063B3638"/>
    <w:rsid w:val="063C3527"/>
    <w:rsid w:val="06477ADF"/>
    <w:rsid w:val="06522162"/>
    <w:rsid w:val="06562E62"/>
    <w:rsid w:val="065760FB"/>
    <w:rsid w:val="06602727"/>
    <w:rsid w:val="06610D8F"/>
    <w:rsid w:val="06735060"/>
    <w:rsid w:val="06B76528"/>
    <w:rsid w:val="06F242BF"/>
    <w:rsid w:val="071C0767"/>
    <w:rsid w:val="075A13C6"/>
    <w:rsid w:val="076E34FC"/>
    <w:rsid w:val="0771709A"/>
    <w:rsid w:val="078D1055"/>
    <w:rsid w:val="079F70B5"/>
    <w:rsid w:val="07A07A8D"/>
    <w:rsid w:val="07BB4295"/>
    <w:rsid w:val="07D35584"/>
    <w:rsid w:val="08002443"/>
    <w:rsid w:val="08010FD4"/>
    <w:rsid w:val="0818406B"/>
    <w:rsid w:val="083C072F"/>
    <w:rsid w:val="084B1864"/>
    <w:rsid w:val="08520FA2"/>
    <w:rsid w:val="08761790"/>
    <w:rsid w:val="08781D64"/>
    <w:rsid w:val="087F39C8"/>
    <w:rsid w:val="089E2DB3"/>
    <w:rsid w:val="089F067F"/>
    <w:rsid w:val="089F5FAF"/>
    <w:rsid w:val="08A54080"/>
    <w:rsid w:val="08A555D9"/>
    <w:rsid w:val="08A70AE1"/>
    <w:rsid w:val="08B379D1"/>
    <w:rsid w:val="08B738C6"/>
    <w:rsid w:val="08D1180B"/>
    <w:rsid w:val="08DA6AC0"/>
    <w:rsid w:val="08E21EF2"/>
    <w:rsid w:val="08E4265C"/>
    <w:rsid w:val="09136F91"/>
    <w:rsid w:val="0915377C"/>
    <w:rsid w:val="0919178E"/>
    <w:rsid w:val="093A139C"/>
    <w:rsid w:val="09677BC2"/>
    <w:rsid w:val="098E6D32"/>
    <w:rsid w:val="098F3475"/>
    <w:rsid w:val="099377CB"/>
    <w:rsid w:val="09951334"/>
    <w:rsid w:val="09B00BAF"/>
    <w:rsid w:val="09D24653"/>
    <w:rsid w:val="09D557C4"/>
    <w:rsid w:val="09E4535D"/>
    <w:rsid w:val="09FD342B"/>
    <w:rsid w:val="0A170B4F"/>
    <w:rsid w:val="0A1F483C"/>
    <w:rsid w:val="0A350503"/>
    <w:rsid w:val="0A3B46F5"/>
    <w:rsid w:val="0A5F13F2"/>
    <w:rsid w:val="0A680B0D"/>
    <w:rsid w:val="0ABB08A3"/>
    <w:rsid w:val="0AD57C26"/>
    <w:rsid w:val="0AFD4FBA"/>
    <w:rsid w:val="0B341D58"/>
    <w:rsid w:val="0B3B74C8"/>
    <w:rsid w:val="0B745622"/>
    <w:rsid w:val="0B8A1B79"/>
    <w:rsid w:val="0BBA710A"/>
    <w:rsid w:val="0BD643B3"/>
    <w:rsid w:val="0C0A0EAA"/>
    <w:rsid w:val="0C0E5349"/>
    <w:rsid w:val="0C135B4B"/>
    <w:rsid w:val="0C430DFB"/>
    <w:rsid w:val="0C44364C"/>
    <w:rsid w:val="0C595CC2"/>
    <w:rsid w:val="0C7F6D56"/>
    <w:rsid w:val="0C940FEC"/>
    <w:rsid w:val="0C9B3A6C"/>
    <w:rsid w:val="0CB66EF5"/>
    <w:rsid w:val="0CE51C08"/>
    <w:rsid w:val="0CE84A2D"/>
    <w:rsid w:val="0CF140DE"/>
    <w:rsid w:val="0CFB24A4"/>
    <w:rsid w:val="0D154B1C"/>
    <w:rsid w:val="0D196BC0"/>
    <w:rsid w:val="0D24449E"/>
    <w:rsid w:val="0D2602B8"/>
    <w:rsid w:val="0D272220"/>
    <w:rsid w:val="0D342E76"/>
    <w:rsid w:val="0D530400"/>
    <w:rsid w:val="0D58687D"/>
    <w:rsid w:val="0D670946"/>
    <w:rsid w:val="0D872355"/>
    <w:rsid w:val="0D872881"/>
    <w:rsid w:val="0D893516"/>
    <w:rsid w:val="0D973652"/>
    <w:rsid w:val="0DA02EFC"/>
    <w:rsid w:val="0DD506AB"/>
    <w:rsid w:val="0DD97E58"/>
    <w:rsid w:val="0E176074"/>
    <w:rsid w:val="0E1D16EA"/>
    <w:rsid w:val="0E325320"/>
    <w:rsid w:val="0E57246B"/>
    <w:rsid w:val="0E5C7457"/>
    <w:rsid w:val="0E647EF4"/>
    <w:rsid w:val="0E7A3184"/>
    <w:rsid w:val="0E9C343C"/>
    <w:rsid w:val="0EA60641"/>
    <w:rsid w:val="0EEF4FBF"/>
    <w:rsid w:val="0F1546BD"/>
    <w:rsid w:val="0F2904D1"/>
    <w:rsid w:val="0F4351D1"/>
    <w:rsid w:val="0F573D18"/>
    <w:rsid w:val="0F7622F6"/>
    <w:rsid w:val="0F841BAC"/>
    <w:rsid w:val="0F8E15B9"/>
    <w:rsid w:val="0FB63339"/>
    <w:rsid w:val="0FBD466A"/>
    <w:rsid w:val="0FD46C30"/>
    <w:rsid w:val="0FD92ACB"/>
    <w:rsid w:val="0FFE27FE"/>
    <w:rsid w:val="101C1DE4"/>
    <w:rsid w:val="10283879"/>
    <w:rsid w:val="10593DE8"/>
    <w:rsid w:val="106777F6"/>
    <w:rsid w:val="106C3764"/>
    <w:rsid w:val="10742D84"/>
    <w:rsid w:val="107D109B"/>
    <w:rsid w:val="112A013A"/>
    <w:rsid w:val="11325285"/>
    <w:rsid w:val="1140173B"/>
    <w:rsid w:val="11533CD1"/>
    <w:rsid w:val="11813B28"/>
    <w:rsid w:val="11866C61"/>
    <w:rsid w:val="11B505A1"/>
    <w:rsid w:val="11E15B8A"/>
    <w:rsid w:val="11F12C9F"/>
    <w:rsid w:val="11FA7724"/>
    <w:rsid w:val="121110CD"/>
    <w:rsid w:val="12655CC4"/>
    <w:rsid w:val="12730A42"/>
    <w:rsid w:val="12A92261"/>
    <w:rsid w:val="12B94E7D"/>
    <w:rsid w:val="12FF4E19"/>
    <w:rsid w:val="13255391"/>
    <w:rsid w:val="13284836"/>
    <w:rsid w:val="13450550"/>
    <w:rsid w:val="136119B4"/>
    <w:rsid w:val="137C0A6C"/>
    <w:rsid w:val="137D41A8"/>
    <w:rsid w:val="138008DC"/>
    <w:rsid w:val="1385604B"/>
    <w:rsid w:val="13AD36FA"/>
    <w:rsid w:val="13AF03BF"/>
    <w:rsid w:val="13C40795"/>
    <w:rsid w:val="13C62EF6"/>
    <w:rsid w:val="13DA5EE0"/>
    <w:rsid w:val="13EE6C0A"/>
    <w:rsid w:val="13F51E06"/>
    <w:rsid w:val="13FE44C2"/>
    <w:rsid w:val="14067292"/>
    <w:rsid w:val="140D23CA"/>
    <w:rsid w:val="140D3097"/>
    <w:rsid w:val="140D6BDF"/>
    <w:rsid w:val="14144181"/>
    <w:rsid w:val="14201385"/>
    <w:rsid w:val="14294AD0"/>
    <w:rsid w:val="14303DBD"/>
    <w:rsid w:val="14481B08"/>
    <w:rsid w:val="145009E3"/>
    <w:rsid w:val="14607FC4"/>
    <w:rsid w:val="148D5741"/>
    <w:rsid w:val="14922675"/>
    <w:rsid w:val="14AB76C7"/>
    <w:rsid w:val="14D233B9"/>
    <w:rsid w:val="14D8199E"/>
    <w:rsid w:val="14F23E72"/>
    <w:rsid w:val="150517D8"/>
    <w:rsid w:val="152F3984"/>
    <w:rsid w:val="153276B3"/>
    <w:rsid w:val="153E308A"/>
    <w:rsid w:val="154A629A"/>
    <w:rsid w:val="155868E7"/>
    <w:rsid w:val="157D4E69"/>
    <w:rsid w:val="15896A5D"/>
    <w:rsid w:val="158F12AA"/>
    <w:rsid w:val="15BE25A3"/>
    <w:rsid w:val="15E42EFD"/>
    <w:rsid w:val="15FC0C1F"/>
    <w:rsid w:val="16060965"/>
    <w:rsid w:val="16094A25"/>
    <w:rsid w:val="162B610C"/>
    <w:rsid w:val="16431A70"/>
    <w:rsid w:val="164B6AF4"/>
    <w:rsid w:val="167749A6"/>
    <w:rsid w:val="16873544"/>
    <w:rsid w:val="169A38C0"/>
    <w:rsid w:val="16B326B5"/>
    <w:rsid w:val="16DB2718"/>
    <w:rsid w:val="16F93A4C"/>
    <w:rsid w:val="17086AAE"/>
    <w:rsid w:val="170B4AC6"/>
    <w:rsid w:val="171D207F"/>
    <w:rsid w:val="172A411A"/>
    <w:rsid w:val="173825A4"/>
    <w:rsid w:val="173D7210"/>
    <w:rsid w:val="174C1201"/>
    <w:rsid w:val="178879A8"/>
    <w:rsid w:val="17AA4A64"/>
    <w:rsid w:val="17D72662"/>
    <w:rsid w:val="182E6FA9"/>
    <w:rsid w:val="187F1FE8"/>
    <w:rsid w:val="18954832"/>
    <w:rsid w:val="18965C8D"/>
    <w:rsid w:val="18A636B3"/>
    <w:rsid w:val="18B26C2E"/>
    <w:rsid w:val="18B72D91"/>
    <w:rsid w:val="18CA609F"/>
    <w:rsid w:val="18CE437F"/>
    <w:rsid w:val="18E32AAE"/>
    <w:rsid w:val="18F25DD8"/>
    <w:rsid w:val="190E15C2"/>
    <w:rsid w:val="191B532F"/>
    <w:rsid w:val="192945B4"/>
    <w:rsid w:val="193C213D"/>
    <w:rsid w:val="195635FB"/>
    <w:rsid w:val="195B49E1"/>
    <w:rsid w:val="196D1AD9"/>
    <w:rsid w:val="196E5555"/>
    <w:rsid w:val="196F567B"/>
    <w:rsid w:val="19806CE7"/>
    <w:rsid w:val="19852553"/>
    <w:rsid w:val="198558D4"/>
    <w:rsid w:val="19922F14"/>
    <w:rsid w:val="19962C07"/>
    <w:rsid w:val="199D0604"/>
    <w:rsid w:val="19A722CA"/>
    <w:rsid w:val="19CD0519"/>
    <w:rsid w:val="19F577C6"/>
    <w:rsid w:val="1A01154A"/>
    <w:rsid w:val="1A1B4EBB"/>
    <w:rsid w:val="1A1C65FD"/>
    <w:rsid w:val="1A2E60F8"/>
    <w:rsid w:val="1A350C09"/>
    <w:rsid w:val="1A3F113F"/>
    <w:rsid w:val="1A5212B3"/>
    <w:rsid w:val="1A583787"/>
    <w:rsid w:val="1A601163"/>
    <w:rsid w:val="1AB03FC1"/>
    <w:rsid w:val="1AB96638"/>
    <w:rsid w:val="1AC362FF"/>
    <w:rsid w:val="1AEA46C4"/>
    <w:rsid w:val="1B1A7868"/>
    <w:rsid w:val="1B4709A9"/>
    <w:rsid w:val="1B813443"/>
    <w:rsid w:val="1BAD0859"/>
    <w:rsid w:val="1BB4020C"/>
    <w:rsid w:val="1BBF3F24"/>
    <w:rsid w:val="1BD76309"/>
    <w:rsid w:val="1BE14978"/>
    <w:rsid w:val="1BF919E5"/>
    <w:rsid w:val="1C0025BA"/>
    <w:rsid w:val="1C013A85"/>
    <w:rsid w:val="1C036BB6"/>
    <w:rsid w:val="1C117FB1"/>
    <w:rsid w:val="1C177197"/>
    <w:rsid w:val="1C204001"/>
    <w:rsid w:val="1C296277"/>
    <w:rsid w:val="1C441E18"/>
    <w:rsid w:val="1C6A3176"/>
    <w:rsid w:val="1C8C53F3"/>
    <w:rsid w:val="1CAE40D6"/>
    <w:rsid w:val="1D00067C"/>
    <w:rsid w:val="1D0911E3"/>
    <w:rsid w:val="1D293954"/>
    <w:rsid w:val="1D997010"/>
    <w:rsid w:val="1DA8115B"/>
    <w:rsid w:val="1DC469C3"/>
    <w:rsid w:val="1DC54C2C"/>
    <w:rsid w:val="1DF955F5"/>
    <w:rsid w:val="1E0740D4"/>
    <w:rsid w:val="1E127BB9"/>
    <w:rsid w:val="1E502EE9"/>
    <w:rsid w:val="1E522E75"/>
    <w:rsid w:val="1E6B664D"/>
    <w:rsid w:val="1E6E14F5"/>
    <w:rsid w:val="1E727554"/>
    <w:rsid w:val="1E9D43EC"/>
    <w:rsid w:val="1E9E10AA"/>
    <w:rsid w:val="1EA25B19"/>
    <w:rsid w:val="1EA4684C"/>
    <w:rsid w:val="1EA91422"/>
    <w:rsid w:val="1EAB5D3A"/>
    <w:rsid w:val="1EAF47B4"/>
    <w:rsid w:val="1EC32DE8"/>
    <w:rsid w:val="1EF02DBA"/>
    <w:rsid w:val="1F0B63F4"/>
    <w:rsid w:val="1F1D4B30"/>
    <w:rsid w:val="1F565046"/>
    <w:rsid w:val="1F652565"/>
    <w:rsid w:val="1F66307C"/>
    <w:rsid w:val="1F8120EE"/>
    <w:rsid w:val="1F8C1C0E"/>
    <w:rsid w:val="1FAC1C99"/>
    <w:rsid w:val="1FB4678C"/>
    <w:rsid w:val="1FBD2FAF"/>
    <w:rsid w:val="1FCE627F"/>
    <w:rsid w:val="1FD36B7A"/>
    <w:rsid w:val="1FD42ECF"/>
    <w:rsid w:val="1FD67A28"/>
    <w:rsid w:val="200262AF"/>
    <w:rsid w:val="20442BE7"/>
    <w:rsid w:val="206C0B11"/>
    <w:rsid w:val="206C7D88"/>
    <w:rsid w:val="206E2F5D"/>
    <w:rsid w:val="20912AA7"/>
    <w:rsid w:val="20941494"/>
    <w:rsid w:val="20A41C71"/>
    <w:rsid w:val="20A56CC4"/>
    <w:rsid w:val="20D12B0B"/>
    <w:rsid w:val="20DA03F5"/>
    <w:rsid w:val="20EA2671"/>
    <w:rsid w:val="2119632E"/>
    <w:rsid w:val="211D776A"/>
    <w:rsid w:val="2124312A"/>
    <w:rsid w:val="212A1E87"/>
    <w:rsid w:val="21423539"/>
    <w:rsid w:val="21457A53"/>
    <w:rsid w:val="21727D5E"/>
    <w:rsid w:val="21775AB6"/>
    <w:rsid w:val="2181097D"/>
    <w:rsid w:val="21DA1AFF"/>
    <w:rsid w:val="21EB6987"/>
    <w:rsid w:val="21EC0618"/>
    <w:rsid w:val="22075524"/>
    <w:rsid w:val="220D486B"/>
    <w:rsid w:val="221E0FBC"/>
    <w:rsid w:val="222F1702"/>
    <w:rsid w:val="22463ED4"/>
    <w:rsid w:val="22594506"/>
    <w:rsid w:val="229A09FF"/>
    <w:rsid w:val="229B3ED6"/>
    <w:rsid w:val="22AB2EC8"/>
    <w:rsid w:val="22C83CD2"/>
    <w:rsid w:val="22CB23CB"/>
    <w:rsid w:val="22E10830"/>
    <w:rsid w:val="22FE7513"/>
    <w:rsid w:val="23004A32"/>
    <w:rsid w:val="23016DB6"/>
    <w:rsid w:val="231B417D"/>
    <w:rsid w:val="23390004"/>
    <w:rsid w:val="23522309"/>
    <w:rsid w:val="235C5308"/>
    <w:rsid w:val="235F17D2"/>
    <w:rsid w:val="23694EE9"/>
    <w:rsid w:val="23893C48"/>
    <w:rsid w:val="23A814E9"/>
    <w:rsid w:val="23BF3BB0"/>
    <w:rsid w:val="23E4475D"/>
    <w:rsid w:val="23FC7B0B"/>
    <w:rsid w:val="24076576"/>
    <w:rsid w:val="24103F52"/>
    <w:rsid w:val="2418246B"/>
    <w:rsid w:val="24362FA3"/>
    <w:rsid w:val="24AA12D3"/>
    <w:rsid w:val="24AA3562"/>
    <w:rsid w:val="24C4336F"/>
    <w:rsid w:val="24DA715F"/>
    <w:rsid w:val="24F5112A"/>
    <w:rsid w:val="257A7406"/>
    <w:rsid w:val="25846608"/>
    <w:rsid w:val="25857E3F"/>
    <w:rsid w:val="258F09B5"/>
    <w:rsid w:val="259F444E"/>
    <w:rsid w:val="25B31BA0"/>
    <w:rsid w:val="25DD44E2"/>
    <w:rsid w:val="25DF4828"/>
    <w:rsid w:val="25E46AA9"/>
    <w:rsid w:val="261E6C5F"/>
    <w:rsid w:val="26253634"/>
    <w:rsid w:val="26274A1D"/>
    <w:rsid w:val="26280641"/>
    <w:rsid w:val="262C54FE"/>
    <w:rsid w:val="262D587F"/>
    <w:rsid w:val="26396DF4"/>
    <w:rsid w:val="263E61BF"/>
    <w:rsid w:val="26816FB2"/>
    <w:rsid w:val="26AF313E"/>
    <w:rsid w:val="26B245A4"/>
    <w:rsid w:val="26D22DA5"/>
    <w:rsid w:val="26DC1973"/>
    <w:rsid w:val="270711DF"/>
    <w:rsid w:val="274468A2"/>
    <w:rsid w:val="276F7982"/>
    <w:rsid w:val="27724334"/>
    <w:rsid w:val="277637DB"/>
    <w:rsid w:val="27811A75"/>
    <w:rsid w:val="27812395"/>
    <w:rsid w:val="27C04855"/>
    <w:rsid w:val="27D81649"/>
    <w:rsid w:val="27DC538D"/>
    <w:rsid w:val="27DD2CFC"/>
    <w:rsid w:val="2802668E"/>
    <w:rsid w:val="28026EF3"/>
    <w:rsid w:val="281D11EB"/>
    <w:rsid w:val="2828362E"/>
    <w:rsid w:val="283269F1"/>
    <w:rsid w:val="285F7ED8"/>
    <w:rsid w:val="286B4F73"/>
    <w:rsid w:val="28767625"/>
    <w:rsid w:val="2886459F"/>
    <w:rsid w:val="28A906B0"/>
    <w:rsid w:val="28B114EF"/>
    <w:rsid w:val="28B334A6"/>
    <w:rsid w:val="28B36AF7"/>
    <w:rsid w:val="28B9246E"/>
    <w:rsid w:val="28D74067"/>
    <w:rsid w:val="28E55011"/>
    <w:rsid w:val="28F37951"/>
    <w:rsid w:val="29347F6F"/>
    <w:rsid w:val="29354B40"/>
    <w:rsid w:val="293B5152"/>
    <w:rsid w:val="293D4E4D"/>
    <w:rsid w:val="29D82DC8"/>
    <w:rsid w:val="29F3555E"/>
    <w:rsid w:val="2A073A5D"/>
    <w:rsid w:val="2A1A0433"/>
    <w:rsid w:val="2A301A6C"/>
    <w:rsid w:val="2A4577CC"/>
    <w:rsid w:val="2A5F0DF4"/>
    <w:rsid w:val="2A5F214E"/>
    <w:rsid w:val="2A660DAC"/>
    <w:rsid w:val="2A7E1CD3"/>
    <w:rsid w:val="2A9A7DE2"/>
    <w:rsid w:val="2AA174EC"/>
    <w:rsid w:val="2AAD13D8"/>
    <w:rsid w:val="2AE5754B"/>
    <w:rsid w:val="2AED129F"/>
    <w:rsid w:val="2AEE19C8"/>
    <w:rsid w:val="2AEE5236"/>
    <w:rsid w:val="2AF17DC1"/>
    <w:rsid w:val="2B102DA4"/>
    <w:rsid w:val="2B132E66"/>
    <w:rsid w:val="2B1A4634"/>
    <w:rsid w:val="2B2329A9"/>
    <w:rsid w:val="2B4221FD"/>
    <w:rsid w:val="2B5252B0"/>
    <w:rsid w:val="2B5446D0"/>
    <w:rsid w:val="2B617527"/>
    <w:rsid w:val="2B621490"/>
    <w:rsid w:val="2B673FC0"/>
    <w:rsid w:val="2B7512D4"/>
    <w:rsid w:val="2BA80578"/>
    <w:rsid w:val="2BBD2276"/>
    <w:rsid w:val="2BC1277E"/>
    <w:rsid w:val="2BC93802"/>
    <w:rsid w:val="2BCC4267"/>
    <w:rsid w:val="2BCD3DA1"/>
    <w:rsid w:val="2BCE49C5"/>
    <w:rsid w:val="2BD952D3"/>
    <w:rsid w:val="2BE24455"/>
    <w:rsid w:val="2BEB54C9"/>
    <w:rsid w:val="2BF0264B"/>
    <w:rsid w:val="2C051248"/>
    <w:rsid w:val="2C140914"/>
    <w:rsid w:val="2C147441"/>
    <w:rsid w:val="2C1B0BB6"/>
    <w:rsid w:val="2C6A44E3"/>
    <w:rsid w:val="2C7B06C4"/>
    <w:rsid w:val="2C7C7A3B"/>
    <w:rsid w:val="2C844B41"/>
    <w:rsid w:val="2C9B7731"/>
    <w:rsid w:val="2D042DE3"/>
    <w:rsid w:val="2D1A7C52"/>
    <w:rsid w:val="2D1F38C0"/>
    <w:rsid w:val="2D384E57"/>
    <w:rsid w:val="2D396D0E"/>
    <w:rsid w:val="2D3C355A"/>
    <w:rsid w:val="2D5B1D46"/>
    <w:rsid w:val="2D630BFB"/>
    <w:rsid w:val="2D7A66C3"/>
    <w:rsid w:val="2D8D274C"/>
    <w:rsid w:val="2DA04A84"/>
    <w:rsid w:val="2DA50731"/>
    <w:rsid w:val="2DF57FA7"/>
    <w:rsid w:val="2DFE2AB3"/>
    <w:rsid w:val="2E045F3A"/>
    <w:rsid w:val="2E050A23"/>
    <w:rsid w:val="2E371D6E"/>
    <w:rsid w:val="2E3F1FC7"/>
    <w:rsid w:val="2E434E34"/>
    <w:rsid w:val="2E4D67AF"/>
    <w:rsid w:val="2E563DBD"/>
    <w:rsid w:val="2E566991"/>
    <w:rsid w:val="2E68307B"/>
    <w:rsid w:val="2E816A9D"/>
    <w:rsid w:val="2E821554"/>
    <w:rsid w:val="2E8E6370"/>
    <w:rsid w:val="2E9F48D0"/>
    <w:rsid w:val="2EAA0044"/>
    <w:rsid w:val="2EBA27DE"/>
    <w:rsid w:val="2EE54B4E"/>
    <w:rsid w:val="2EE67135"/>
    <w:rsid w:val="2EF43ABE"/>
    <w:rsid w:val="2EFD32B1"/>
    <w:rsid w:val="2F063F34"/>
    <w:rsid w:val="2F06727D"/>
    <w:rsid w:val="2F3D15F2"/>
    <w:rsid w:val="2F4221ED"/>
    <w:rsid w:val="2F5C7FD6"/>
    <w:rsid w:val="2F653D5F"/>
    <w:rsid w:val="2F713AA3"/>
    <w:rsid w:val="2F786B4C"/>
    <w:rsid w:val="2F847430"/>
    <w:rsid w:val="2FD6245B"/>
    <w:rsid w:val="2FD63906"/>
    <w:rsid w:val="2FE06533"/>
    <w:rsid w:val="2FFB01C9"/>
    <w:rsid w:val="302C32B4"/>
    <w:rsid w:val="30307CAE"/>
    <w:rsid w:val="303560CE"/>
    <w:rsid w:val="307153DD"/>
    <w:rsid w:val="3076603D"/>
    <w:rsid w:val="30837B34"/>
    <w:rsid w:val="30861B05"/>
    <w:rsid w:val="30B5176D"/>
    <w:rsid w:val="30B605D9"/>
    <w:rsid w:val="30F100C1"/>
    <w:rsid w:val="31074971"/>
    <w:rsid w:val="310F7CF0"/>
    <w:rsid w:val="314436AE"/>
    <w:rsid w:val="315C7DFC"/>
    <w:rsid w:val="31770F12"/>
    <w:rsid w:val="31776787"/>
    <w:rsid w:val="31AC5C11"/>
    <w:rsid w:val="31C16A5C"/>
    <w:rsid w:val="31C7024A"/>
    <w:rsid w:val="31E93831"/>
    <w:rsid w:val="31F64379"/>
    <w:rsid w:val="32034EF7"/>
    <w:rsid w:val="320F2352"/>
    <w:rsid w:val="32144B1C"/>
    <w:rsid w:val="321C5981"/>
    <w:rsid w:val="32362642"/>
    <w:rsid w:val="323B5CA2"/>
    <w:rsid w:val="32425283"/>
    <w:rsid w:val="327A1535"/>
    <w:rsid w:val="32801B87"/>
    <w:rsid w:val="328B7412"/>
    <w:rsid w:val="32CC7242"/>
    <w:rsid w:val="32D527AE"/>
    <w:rsid w:val="330304C7"/>
    <w:rsid w:val="33184235"/>
    <w:rsid w:val="3341553A"/>
    <w:rsid w:val="33416048"/>
    <w:rsid w:val="3349001C"/>
    <w:rsid w:val="33793277"/>
    <w:rsid w:val="339B3B60"/>
    <w:rsid w:val="33CD6900"/>
    <w:rsid w:val="33EC0C99"/>
    <w:rsid w:val="33F11798"/>
    <w:rsid w:val="33FD0918"/>
    <w:rsid w:val="341B5D8B"/>
    <w:rsid w:val="343845A9"/>
    <w:rsid w:val="34487E83"/>
    <w:rsid w:val="344E67EC"/>
    <w:rsid w:val="34536DC7"/>
    <w:rsid w:val="34627052"/>
    <w:rsid w:val="346D6601"/>
    <w:rsid w:val="347C4F83"/>
    <w:rsid w:val="34916A44"/>
    <w:rsid w:val="349E65D2"/>
    <w:rsid w:val="34A35D81"/>
    <w:rsid w:val="34B84990"/>
    <w:rsid w:val="34B9075D"/>
    <w:rsid w:val="34C3321F"/>
    <w:rsid w:val="34EF252D"/>
    <w:rsid w:val="352A556C"/>
    <w:rsid w:val="352C3920"/>
    <w:rsid w:val="3566658F"/>
    <w:rsid w:val="358636D8"/>
    <w:rsid w:val="35A20892"/>
    <w:rsid w:val="35B675F7"/>
    <w:rsid w:val="35BF175E"/>
    <w:rsid w:val="35CB50C3"/>
    <w:rsid w:val="35D36FA8"/>
    <w:rsid w:val="360F1D32"/>
    <w:rsid w:val="361751DD"/>
    <w:rsid w:val="362D43D1"/>
    <w:rsid w:val="364A15A0"/>
    <w:rsid w:val="364E49E9"/>
    <w:rsid w:val="365E5002"/>
    <w:rsid w:val="36664716"/>
    <w:rsid w:val="36BA523F"/>
    <w:rsid w:val="36D24792"/>
    <w:rsid w:val="36EA58C4"/>
    <w:rsid w:val="36F30C44"/>
    <w:rsid w:val="37046A7A"/>
    <w:rsid w:val="370E607B"/>
    <w:rsid w:val="37467E16"/>
    <w:rsid w:val="3749503C"/>
    <w:rsid w:val="37531CE0"/>
    <w:rsid w:val="3759522B"/>
    <w:rsid w:val="3766050E"/>
    <w:rsid w:val="37774A03"/>
    <w:rsid w:val="3794197D"/>
    <w:rsid w:val="37A22B83"/>
    <w:rsid w:val="37AE6F16"/>
    <w:rsid w:val="37B22EAA"/>
    <w:rsid w:val="37B5535F"/>
    <w:rsid w:val="37BD52DE"/>
    <w:rsid w:val="37E1167F"/>
    <w:rsid w:val="37F107C7"/>
    <w:rsid w:val="38132F10"/>
    <w:rsid w:val="381462DE"/>
    <w:rsid w:val="382650D1"/>
    <w:rsid w:val="383C1E93"/>
    <w:rsid w:val="383C4522"/>
    <w:rsid w:val="38597BE9"/>
    <w:rsid w:val="385A0318"/>
    <w:rsid w:val="38637C6F"/>
    <w:rsid w:val="387414E8"/>
    <w:rsid w:val="3886411E"/>
    <w:rsid w:val="38B11820"/>
    <w:rsid w:val="38B41D5B"/>
    <w:rsid w:val="38B5716A"/>
    <w:rsid w:val="38B8018D"/>
    <w:rsid w:val="38D03858"/>
    <w:rsid w:val="38DB378D"/>
    <w:rsid w:val="38FD1F03"/>
    <w:rsid w:val="391C744D"/>
    <w:rsid w:val="391D07F7"/>
    <w:rsid w:val="39301A51"/>
    <w:rsid w:val="3940310E"/>
    <w:rsid w:val="395B42FA"/>
    <w:rsid w:val="397E7B9C"/>
    <w:rsid w:val="39850284"/>
    <w:rsid w:val="399161E1"/>
    <w:rsid w:val="39CB3F65"/>
    <w:rsid w:val="39D8027E"/>
    <w:rsid w:val="39D85952"/>
    <w:rsid w:val="39E756F8"/>
    <w:rsid w:val="39FD4DBA"/>
    <w:rsid w:val="39FF4852"/>
    <w:rsid w:val="3A6935D8"/>
    <w:rsid w:val="3A8E5F37"/>
    <w:rsid w:val="3AA765CB"/>
    <w:rsid w:val="3ACE5B8D"/>
    <w:rsid w:val="3AE6205D"/>
    <w:rsid w:val="3AEA3559"/>
    <w:rsid w:val="3AFE184E"/>
    <w:rsid w:val="3B08753A"/>
    <w:rsid w:val="3B096234"/>
    <w:rsid w:val="3B1971B1"/>
    <w:rsid w:val="3B354D4A"/>
    <w:rsid w:val="3B36697E"/>
    <w:rsid w:val="3B401F03"/>
    <w:rsid w:val="3B8844FE"/>
    <w:rsid w:val="3B8D4CB6"/>
    <w:rsid w:val="3BA97ED4"/>
    <w:rsid w:val="3BAE44A6"/>
    <w:rsid w:val="3BAF608E"/>
    <w:rsid w:val="3BBA1CF9"/>
    <w:rsid w:val="3BBC698F"/>
    <w:rsid w:val="3BDD426E"/>
    <w:rsid w:val="3BEB0739"/>
    <w:rsid w:val="3C16472F"/>
    <w:rsid w:val="3C2F7828"/>
    <w:rsid w:val="3C4847F2"/>
    <w:rsid w:val="3C8C6120"/>
    <w:rsid w:val="3C942775"/>
    <w:rsid w:val="3C9626F9"/>
    <w:rsid w:val="3CAB05EE"/>
    <w:rsid w:val="3CAB333B"/>
    <w:rsid w:val="3CAF3A9E"/>
    <w:rsid w:val="3CB049C3"/>
    <w:rsid w:val="3CC5189A"/>
    <w:rsid w:val="3CE26CE4"/>
    <w:rsid w:val="3CEF1B62"/>
    <w:rsid w:val="3D070528"/>
    <w:rsid w:val="3D0D14F5"/>
    <w:rsid w:val="3D171791"/>
    <w:rsid w:val="3D313941"/>
    <w:rsid w:val="3D522125"/>
    <w:rsid w:val="3D5513A1"/>
    <w:rsid w:val="3D770D9C"/>
    <w:rsid w:val="3D7D7027"/>
    <w:rsid w:val="3D89645B"/>
    <w:rsid w:val="3D905729"/>
    <w:rsid w:val="3DA2056F"/>
    <w:rsid w:val="3DA36A46"/>
    <w:rsid w:val="3DB66154"/>
    <w:rsid w:val="3DD57BBB"/>
    <w:rsid w:val="3DE334D3"/>
    <w:rsid w:val="3DE55DAA"/>
    <w:rsid w:val="3DEB2B90"/>
    <w:rsid w:val="3E0236F3"/>
    <w:rsid w:val="3E140DB1"/>
    <w:rsid w:val="3E194430"/>
    <w:rsid w:val="3E25326A"/>
    <w:rsid w:val="3E493BC4"/>
    <w:rsid w:val="3E494997"/>
    <w:rsid w:val="3E636A3D"/>
    <w:rsid w:val="3E75001D"/>
    <w:rsid w:val="3E925BB5"/>
    <w:rsid w:val="3EE772A6"/>
    <w:rsid w:val="3EF622CD"/>
    <w:rsid w:val="3F140256"/>
    <w:rsid w:val="3F1531DB"/>
    <w:rsid w:val="3F5E3952"/>
    <w:rsid w:val="3FB248E1"/>
    <w:rsid w:val="3FD3583C"/>
    <w:rsid w:val="3FD6525C"/>
    <w:rsid w:val="3FE0432D"/>
    <w:rsid w:val="3FE623A9"/>
    <w:rsid w:val="3FF43FD3"/>
    <w:rsid w:val="40104C12"/>
    <w:rsid w:val="40166DA9"/>
    <w:rsid w:val="4030628C"/>
    <w:rsid w:val="40331CEB"/>
    <w:rsid w:val="40361065"/>
    <w:rsid w:val="403F039C"/>
    <w:rsid w:val="404A34DB"/>
    <w:rsid w:val="405C433E"/>
    <w:rsid w:val="406F4BE8"/>
    <w:rsid w:val="40743433"/>
    <w:rsid w:val="408325C0"/>
    <w:rsid w:val="40834825"/>
    <w:rsid w:val="40881DA5"/>
    <w:rsid w:val="408B17E5"/>
    <w:rsid w:val="40B71F73"/>
    <w:rsid w:val="40D47E46"/>
    <w:rsid w:val="40E6414F"/>
    <w:rsid w:val="40F85AFF"/>
    <w:rsid w:val="41016309"/>
    <w:rsid w:val="410C1742"/>
    <w:rsid w:val="41105E87"/>
    <w:rsid w:val="411E7924"/>
    <w:rsid w:val="41405083"/>
    <w:rsid w:val="41455A8E"/>
    <w:rsid w:val="41474973"/>
    <w:rsid w:val="416326A7"/>
    <w:rsid w:val="41705A8E"/>
    <w:rsid w:val="4171348E"/>
    <w:rsid w:val="417874AF"/>
    <w:rsid w:val="418436DD"/>
    <w:rsid w:val="41A2776C"/>
    <w:rsid w:val="41B54938"/>
    <w:rsid w:val="41B7503F"/>
    <w:rsid w:val="41BE0B1C"/>
    <w:rsid w:val="41D810EC"/>
    <w:rsid w:val="41E11A52"/>
    <w:rsid w:val="41FA0E63"/>
    <w:rsid w:val="42141447"/>
    <w:rsid w:val="422139E6"/>
    <w:rsid w:val="422C63A5"/>
    <w:rsid w:val="42310E9B"/>
    <w:rsid w:val="423C54A6"/>
    <w:rsid w:val="423E4BA3"/>
    <w:rsid w:val="4255002A"/>
    <w:rsid w:val="425D30F6"/>
    <w:rsid w:val="4266222F"/>
    <w:rsid w:val="426B25D4"/>
    <w:rsid w:val="4278043C"/>
    <w:rsid w:val="427E2307"/>
    <w:rsid w:val="42B07205"/>
    <w:rsid w:val="42B9420D"/>
    <w:rsid w:val="42BE63AF"/>
    <w:rsid w:val="42CC52E8"/>
    <w:rsid w:val="42D8092A"/>
    <w:rsid w:val="42F308B1"/>
    <w:rsid w:val="42FE6579"/>
    <w:rsid w:val="4305067F"/>
    <w:rsid w:val="430C7C4A"/>
    <w:rsid w:val="431B4BEF"/>
    <w:rsid w:val="431E13F4"/>
    <w:rsid w:val="432F2A03"/>
    <w:rsid w:val="438602FE"/>
    <w:rsid w:val="43D52822"/>
    <w:rsid w:val="43E65744"/>
    <w:rsid w:val="44066B6B"/>
    <w:rsid w:val="440E76BA"/>
    <w:rsid w:val="44131F4E"/>
    <w:rsid w:val="441F1431"/>
    <w:rsid w:val="44580D8A"/>
    <w:rsid w:val="44611214"/>
    <w:rsid w:val="4466465B"/>
    <w:rsid w:val="449206B8"/>
    <w:rsid w:val="449A7EB1"/>
    <w:rsid w:val="44C03837"/>
    <w:rsid w:val="44C71617"/>
    <w:rsid w:val="450331CB"/>
    <w:rsid w:val="45080558"/>
    <w:rsid w:val="451032DC"/>
    <w:rsid w:val="45137103"/>
    <w:rsid w:val="45222155"/>
    <w:rsid w:val="452E2295"/>
    <w:rsid w:val="455C0F34"/>
    <w:rsid w:val="45B2139F"/>
    <w:rsid w:val="45BC1C73"/>
    <w:rsid w:val="45C229F0"/>
    <w:rsid w:val="45C27BC5"/>
    <w:rsid w:val="45CC4A5F"/>
    <w:rsid w:val="45D205B4"/>
    <w:rsid w:val="460F5756"/>
    <w:rsid w:val="461D2463"/>
    <w:rsid w:val="461F1714"/>
    <w:rsid w:val="4626655A"/>
    <w:rsid w:val="46364CA7"/>
    <w:rsid w:val="46794278"/>
    <w:rsid w:val="4679606A"/>
    <w:rsid w:val="467F4660"/>
    <w:rsid w:val="46817F48"/>
    <w:rsid w:val="46896525"/>
    <w:rsid w:val="46B1266F"/>
    <w:rsid w:val="46BA11E1"/>
    <w:rsid w:val="46C557DB"/>
    <w:rsid w:val="46CB2E25"/>
    <w:rsid w:val="46DE0983"/>
    <w:rsid w:val="46E14AAA"/>
    <w:rsid w:val="474156B1"/>
    <w:rsid w:val="47574ED5"/>
    <w:rsid w:val="47633230"/>
    <w:rsid w:val="4770243A"/>
    <w:rsid w:val="47A13E8C"/>
    <w:rsid w:val="47AD61D7"/>
    <w:rsid w:val="47CA7F52"/>
    <w:rsid w:val="47D457D8"/>
    <w:rsid w:val="47F90D4E"/>
    <w:rsid w:val="47FB4D4A"/>
    <w:rsid w:val="480D673A"/>
    <w:rsid w:val="48201100"/>
    <w:rsid w:val="482E25FC"/>
    <w:rsid w:val="48555276"/>
    <w:rsid w:val="485B46E2"/>
    <w:rsid w:val="48AB55BE"/>
    <w:rsid w:val="48BB152E"/>
    <w:rsid w:val="48F7775B"/>
    <w:rsid w:val="48F928E6"/>
    <w:rsid w:val="491D6C6D"/>
    <w:rsid w:val="4962072E"/>
    <w:rsid w:val="499341E0"/>
    <w:rsid w:val="49980F14"/>
    <w:rsid w:val="49B863C4"/>
    <w:rsid w:val="49C537E1"/>
    <w:rsid w:val="49C837C0"/>
    <w:rsid w:val="49CB1C5D"/>
    <w:rsid w:val="49CC218A"/>
    <w:rsid w:val="49CE00ED"/>
    <w:rsid w:val="49D04732"/>
    <w:rsid w:val="49D14281"/>
    <w:rsid w:val="4A050C18"/>
    <w:rsid w:val="4A165E2F"/>
    <w:rsid w:val="4A44648C"/>
    <w:rsid w:val="4A663590"/>
    <w:rsid w:val="4A6F2E8A"/>
    <w:rsid w:val="4A8105F5"/>
    <w:rsid w:val="4A8204BA"/>
    <w:rsid w:val="4A831B71"/>
    <w:rsid w:val="4AA45E75"/>
    <w:rsid w:val="4AAA358D"/>
    <w:rsid w:val="4AB67E32"/>
    <w:rsid w:val="4ACD68D8"/>
    <w:rsid w:val="4AD55CF6"/>
    <w:rsid w:val="4AD83372"/>
    <w:rsid w:val="4B1769E8"/>
    <w:rsid w:val="4B225A34"/>
    <w:rsid w:val="4B3E2804"/>
    <w:rsid w:val="4B62209A"/>
    <w:rsid w:val="4B9A0A39"/>
    <w:rsid w:val="4BA23B1B"/>
    <w:rsid w:val="4BA24F39"/>
    <w:rsid w:val="4BC318AF"/>
    <w:rsid w:val="4BD9745B"/>
    <w:rsid w:val="4BDD31A1"/>
    <w:rsid w:val="4BE326A5"/>
    <w:rsid w:val="4C0F18C5"/>
    <w:rsid w:val="4C6D1B1B"/>
    <w:rsid w:val="4C876AE9"/>
    <w:rsid w:val="4CC2352C"/>
    <w:rsid w:val="4CDE6317"/>
    <w:rsid w:val="4CEC67C0"/>
    <w:rsid w:val="4CEE6E31"/>
    <w:rsid w:val="4CEF795D"/>
    <w:rsid w:val="4D0D10CA"/>
    <w:rsid w:val="4D145493"/>
    <w:rsid w:val="4D245392"/>
    <w:rsid w:val="4D325AB1"/>
    <w:rsid w:val="4D4945A9"/>
    <w:rsid w:val="4D6C7200"/>
    <w:rsid w:val="4D6F0072"/>
    <w:rsid w:val="4D742364"/>
    <w:rsid w:val="4D797787"/>
    <w:rsid w:val="4D807686"/>
    <w:rsid w:val="4D8207D1"/>
    <w:rsid w:val="4DDC6134"/>
    <w:rsid w:val="4DDD0F6C"/>
    <w:rsid w:val="4DF122FB"/>
    <w:rsid w:val="4E0660FD"/>
    <w:rsid w:val="4E233A5C"/>
    <w:rsid w:val="4E5E3773"/>
    <w:rsid w:val="4E6A2995"/>
    <w:rsid w:val="4E994025"/>
    <w:rsid w:val="4EB96110"/>
    <w:rsid w:val="4EC8226C"/>
    <w:rsid w:val="4EC95E85"/>
    <w:rsid w:val="4EE21722"/>
    <w:rsid w:val="4EEB1302"/>
    <w:rsid w:val="4F061B33"/>
    <w:rsid w:val="4F1C7673"/>
    <w:rsid w:val="4F20462E"/>
    <w:rsid w:val="4F32536A"/>
    <w:rsid w:val="4F333B72"/>
    <w:rsid w:val="4F357723"/>
    <w:rsid w:val="4F436A0B"/>
    <w:rsid w:val="4F5D6DF8"/>
    <w:rsid w:val="4F631117"/>
    <w:rsid w:val="4F6C28BC"/>
    <w:rsid w:val="4F78617A"/>
    <w:rsid w:val="4F820F5D"/>
    <w:rsid w:val="4F910CFD"/>
    <w:rsid w:val="4F9E4E53"/>
    <w:rsid w:val="4FA40747"/>
    <w:rsid w:val="4FA96BCF"/>
    <w:rsid w:val="500A28C8"/>
    <w:rsid w:val="500B69FA"/>
    <w:rsid w:val="501C3E49"/>
    <w:rsid w:val="501D030A"/>
    <w:rsid w:val="503C1316"/>
    <w:rsid w:val="503C7042"/>
    <w:rsid w:val="503E1D1A"/>
    <w:rsid w:val="50465897"/>
    <w:rsid w:val="50491BDF"/>
    <w:rsid w:val="5059342B"/>
    <w:rsid w:val="505E1D58"/>
    <w:rsid w:val="50711D16"/>
    <w:rsid w:val="508C3C9A"/>
    <w:rsid w:val="509A48C9"/>
    <w:rsid w:val="50AB523A"/>
    <w:rsid w:val="50AD5F8B"/>
    <w:rsid w:val="50B907A2"/>
    <w:rsid w:val="50D15CF8"/>
    <w:rsid w:val="50DA243F"/>
    <w:rsid w:val="50DD3A82"/>
    <w:rsid w:val="50DD6B77"/>
    <w:rsid w:val="50DE5653"/>
    <w:rsid w:val="50E04888"/>
    <w:rsid w:val="50E22E50"/>
    <w:rsid w:val="50FB4EBC"/>
    <w:rsid w:val="512247A5"/>
    <w:rsid w:val="5122751A"/>
    <w:rsid w:val="512F6EC2"/>
    <w:rsid w:val="513200E7"/>
    <w:rsid w:val="51385D77"/>
    <w:rsid w:val="51426D19"/>
    <w:rsid w:val="514E6A25"/>
    <w:rsid w:val="51580759"/>
    <w:rsid w:val="517A6C11"/>
    <w:rsid w:val="518267FF"/>
    <w:rsid w:val="51984A67"/>
    <w:rsid w:val="51BD43B0"/>
    <w:rsid w:val="51BF01B2"/>
    <w:rsid w:val="51BF7E8E"/>
    <w:rsid w:val="51C10AA6"/>
    <w:rsid w:val="51C749D7"/>
    <w:rsid w:val="51D81BF1"/>
    <w:rsid w:val="51DB7574"/>
    <w:rsid w:val="51E76BF6"/>
    <w:rsid w:val="52047308"/>
    <w:rsid w:val="52097A8C"/>
    <w:rsid w:val="52432F98"/>
    <w:rsid w:val="525C1B63"/>
    <w:rsid w:val="52682D0F"/>
    <w:rsid w:val="5281374D"/>
    <w:rsid w:val="528245E6"/>
    <w:rsid w:val="52884862"/>
    <w:rsid w:val="528B637A"/>
    <w:rsid w:val="52AA2CA4"/>
    <w:rsid w:val="52AD3934"/>
    <w:rsid w:val="52D675F5"/>
    <w:rsid w:val="52F51E26"/>
    <w:rsid w:val="52FA25D3"/>
    <w:rsid w:val="53000B16"/>
    <w:rsid w:val="5317660D"/>
    <w:rsid w:val="531C4604"/>
    <w:rsid w:val="53271D3A"/>
    <w:rsid w:val="5338382A"/>
    <w:rsid w:val="533E519B"/>
    <w:rsid w:val="537D42F8"/>
    <w:rsid w:val="53876B42"/>
    <w:rsid w:val="539348F0"/>
    <w:rsid w:val="53A616BE"/>
    <w:rsid w:val="53C33470"/>
    <w:rsid w:val="53CB7E01"/>
    <w:rsid w:val="53D01E55"/>
    <w:rsid w:val="53E5132F"/>
    <w:rsid w:val="53F10FBF"/>
    <w:rsid w:val="5421430D"/>
    <w:rsid w:val="54322FE6"/>
    <w:rsid w:val="5433691E"/>
    <w:rsid w:val="543E04BD"/>
    <w:rsid w:val="545D5E57"/>
    <w:rsid w:val="546561F5"/>
    <w:rsid w:val="54994F68"/>
    <w:rsid w:val="549F6690"/>
    <w:rsid w:val="54A92200"/>
    <w:rsid w:val="54C20811"/>
    <w:rsid w:val="54E02639"/>
    <w:rsid w:val="54E51D72"/>
    <w:rsid w:val="550D0957"/>
    <w:rsid w:val="552D3CD5"/>
    <w:rsid w:val="5532108A"/>
    <w:rsid w:val="55523647"/>
    <w:rsid w:val="55637869"/>
    <w:rsid w:val="55B641F8"/>
    <w:rsid w:val="55B738AF"/>
    <w:rsid w:val="55C01E60"/>
    <w:rsid w:val="55C23648"/>
    <w:rsid w:val="55D37750"/>
    <w:rsid w:val="55D50038"/>
    <w:rsid w:val="55F11167"/>
    <w:rsid w:val="5606196D"/>
    <w:rsid w:val="56356D29"/>
    <w:rsid w:val="563F226F"/>
    <w:rsid w:val="56510085"/>
    <w:rsid w:val="56533F5A"/>
    <w:rsid w:val="56586CA5"/>
    <w:rsid w:val="56636203"/>
    <w:rsid w:val="56657ED3"/>
    <w:rsid w:val="566C3383"/>
    <w:rsid w:val="56C46F03"/>
    <w:rsid w:val="56E66484"/>
    <w:rsid w:val="56EE055B"/>
    <w:rsid w:val="56FB597C"/>
    <w:rsid w:val="570D33DF"/>
    <w:rsid w:val="572172AD"/>
    <w:rsid w:val="573742F3"/>
    <w:rsid w:val="576976F9"/>
    <w:rsid w:val="576C3C80"/>
    <w:rsid w:val="57CE35FB"/>
    <w:rsid w:val="57EA2C31"/>
    <w:rsid w:val="57FD1294"/>
    <w:rsid w:val="5809521A"/>
    <w:rsid w:val="580D4C44"/>
    <w:rsid w:val="580D5E43"/>
    <w:rsid w:val="580E022F"/>
    <w:rsid w:val="583E0E16"/>
    <w:rsid w:val="58456FD6"/>
    <w:rsid w:val="58564848"/>
    <w:rsid w:val="5886054A"/>
    <w:rsid w:val="58C0702C"/>
    <w:rsid w:val="58CC6203"/>
    <w:rsid w:val="58DC3900"/>
    <w:rsid w:val="58E16CCD"/>
    <w:rsid w:val="58E378BD"/>
    <w:rsid w:val="58EC4E27"/>
    <w:rsid w:val="58ED44A5"/>
    <w:rsid w:val="590F55C7"/>
    <w:rsid w:val="59321B35"/>
    <w:rsid w:val="59570D64"/>
    <w:rsid w:val="59790920"/>
    <w:rsid w:val="597B4402"/>
    <w:rsid w:val="59821018"/>
    <w:rsid w:val="59947479"/>
    <w:rsid w:val="59981AA8"/>
    <w:rsid w:val="599E06F9"/>
    <w:rsid w:val="59B75E53"/>
    <w:rsid w:val="59E67E79"/>
    <w:rsid w:val="59EB6D2F"/>
    <w:rsid w:val="5A0311FA"/>
    <w:rsid w:val="5A1C03A7"/>
    <w:rsid w:val="5A3423C2"/>
    <w:rsid w:val="5A382944"/>
    <w:rsid w:val="5A54704E"/>
    <w:rsid w:val="5A557EF1"/>
    <w:rsid w:val="5A5A6003"/>
    <w:rsid w:val="5A673229"/>
    <w:rsid w:val="5A6A10C1"/>
    <w:rsid w:val="5A6C4721"/>
    <w:rsid w:val="5A6F04AA"/>
    <w:rsid w:val="5A822585"/>
    <w:rsid w:val="5A893DAB"/>
    <w:rsid w:val="5A961BCC"/>
    <w:rsid w:val="5AC1599C"/>
    <w:rsid w:val="5ADA713B"/>
    <w:rsid w:val="5AF862BE"/>
    <w:rsid w:val="5B055E85"/>
    <w:rsid w:val="5B097D3B"/>
    <w:rsid w:val="5B0A3F92"/>
    <w:rsid w:val="5B0A5D6C"/>
    <w:rsid w:val="5B0E1326"/>
    <w:rsid w:val="5B17396B"/>
    <w:rsid w:val="5B367DFF"/>
    <w:rsid w:val="5B4204E6"/>
    <w:rsid w:val="5B49627E"/>
    <w:rsid w:val="5B595761"/>
    <w:rsid w:val="5B633BF7"/>
    <w:rsid w:val="5B9E15BC"/>
    <w:rsid w:val="5BE167C4"/>
    <w:rsid w:val="5BE83EBF"/>
    <w:rsid w:val="5C234AF9"/>
    <w:rsid w:val="5C32236E"/>
    <w:rsid w:val="5C5773BA"/>
    <w:rsid w:val="5C5F5885"/>
    <w:rsid w:val="5C7746F1"/>
    <w:rsid w:val="5C7928A5"/>
    <w:rsid w:val="5C7F50E2"/>
    <w:rsid w:val="5C854316"/>
    <w:rsid w:val="5C913DE2"/>
    <w:rsid w:val="5C9601B8"/>
    <w:rsid w:val="5C9C6C0F"/>
    <w:rsid w:val="5C9D7314"/>
    <w:rsid w:val="5CA37E0E"/>
    <w:rsid w:val="5CA923DE"/>
    <w:rsid w:val="5CCB0A9A"/>
    <w:rsid w:val="5CCB5CF1"/>
    <w:rsid w:val="5CD05A8B"/>
    <w:rsid w:val="5CE34E1E"/>
    <w:rsid w:val="5CF117CD"/>
    <w:rsid w:val="5D4515B9"/>
    <w:rsid w:val="5D714FF5"/>
    <w:rsid w:val="5D964551"/>
    <w:rsid w:val="5DAC00E2"/>
    <w:rsid w:val="5DC67AEE"/>
    <w:rsid w:val="5DD16E2B"/>
    <w:rsid w:val="5DDA1BD3"/>
    <w:rsid w:val="5E083B9E"/>
    <w:rsid w:val="5E11373E"/>
    <w:rsid w:val="5E3736A2"/>
    <w:rsid w:val="5E4C4C10"/>
    <w:rsid w:val="5E5835B4"/>
    <w:rsid w:val="5E6F6B50"/>
    <w:rsid w:val="5E7E7998"/>
    <w:rsid w:val="5E8223DB"/>
    <w:rsid w:val="5EAD41E1"/>
    <w:rsid w:val="5EB30CD9"/>
    <w:rsid w:val="5EC0198E"/>
    <w:rsid w:val="5EF2008C"/>
    <w:rsid w:val="5F075E39"/>
    <w:rsid w:val="5F1438FF"/>
    <w:rsid w:val="5F1A0888"/>
    <w:rsid w:val="5F3B02CD"/>
    <w:rsid w:val="5F4D7B24"/>
    <w:rsid w:val="5F5426AB"/>
    <w:rsid w:val="5F8F3CA2"/>
    <w:rsid w:val="5FA52946"/>
    <w:rsid w:val="5FD12AC5"/>
    <w:rsid w:val="5FD21114"/>
    <w:rsid w:val="5FDE21DF"/>
    <w:rsid w:val="6019214A"/>
    <w:rsid w:val="602D1E31"/>
    <w:rsid w:val="602F0BA5"/>
    <w:rsid w:val="603A715E"/>
    <w:rsid w:val="603B1686"/>
    <w:rsid w:val="60407720"/>
    <w:rsid w:val="604B528F"/>
    <w:rsid w:val="60560028"/>
    <w:rsid w:val="607A37CB"/>
    <w:rsid w:val="60940DC9"/>
    <w:rsid w:val="60B426AA"/>
    <w:rsid w:val="60B5002E"/>
    <w:rsid w:val="60D66A94"/>
    <w:rsid w:val="60E017B0"/>
    <w:rsid w:val="60E76E71"/>
    <w:rsid w:val="611D7DE0"/>
    <w:rsid w:val="61376CC0"/>
    <w:rsid w:val="613A2D92"/>
    <w:rsid w:val="615E45C7"/>
    <w:rsid w:val="619E1C26"/>
    <w:rsid w:val="61D4389A"/>
    <w:rsid w:val="61F6559B"/>
    <w:rsid w:val="62466860"/>
    <w:rsid w:val="62652BF8"/>
    <w:rsid w:val="62664847"/>
    <w:rsid w:val="62683328"/>
    <w:rsid w:val="629259B4"/>
    <w:rsid w:val="62B07190"/>
    <w:rsid w:val="62C236F2"/>
    <w:rsid w:val="62E278F0"/>
    <w:rsid w:val="63366E5E"/>
    <w:rsid w:val="6339498C"/>
    <w:rsid w:val="635051A2"/>
    <w:rsid w:val="63542AD3"/>
    <w:rsid w:val="63626C83"/>
    <w:rsid w:val="63BD2367"/>
    <w:rsid w:val="63C049B1"/>
    <w:rsid w:val="63CC5E41"/>
    <w:rsid w:val="63E952D4"/>
    <w:rsid w:val="64371CD5"/>
    <w:rsid w:val="643B6378"/>
    <w:rsid w:val="643B6B1A"/>
    <w:rsid w:val="64471190"/>
    <w:rsid w:val="64584DE8"/>
    <w:rsid w:val="647F0C1A"/>
    <w:rsid w:val="64C61B93"/>
    <w:rsid w:val="64CB460B"/>
    <w:rsid w:val="64EC1485"/>
    <w:rsid w:val="65265B43"/>
    <w:rsid w:val="65273A87"/>
    <w:rsid w:val="652F20D7"/>
    <w:rsid w:val="654152A8"/>
    <w:rsid w:val="656E5FF8"/>
    <w:rsid w:val="65807C48"/>
    <w:rsid w:val="65A23A87"/>
    <w:rsid w:val="65BF03BD"/>
    <w:rsid w:val="65C44262"/>
    <w:rsid w:val="65D56F1D"/>
    <w:rsid w:val="65F0429F"/>
    <w:rsid w:val="65FC7C00"/>
    <w:rsid w:val="660472BC"/>
    <w:rsid w:val="660547CA"/>
    <w:rsid w:val="66074E9E"/>
    <w:rsid w:val="663B6CAE"/>
    <w:rsid w:val="665F28F1"/>
    <w:rsid w:val="667B3FDC"/>
    <w:rsid w:val="66867433"/>
    <w:rsid w:val="66BF7B3B"/>
    <w:rsid w:val="66CA3897"/>
    <w:rsid w:val="66E513FF"/>
    <w:rsid w:val="66EC1529"/>
    <w:rsid w:val="66F375AB"/>
    <w:rsid w:val="66F928BE"/>
    <w:rsid w:val="670C04C4"/>
    <w:rsid w:val="672B4C36"/>
    <w:rsid w:val="67414044"/>
    <w:rsid w:val="674164B7"/>
    <w:rsid w:val="674548F2"/>
    <w:rsid w:val="67855863"/>
    <w:rsid w:val="67862A84"/>
    <w:rsid w:val="67AF5DEF"/>
    <w:rsid w:val="67F73C18"/>
    <w:rsid w:val="681C3A2B"/>
    <w:rsid w:val="682732A7"/>
    <w:rsid w:val="682A3025"/>
    <w:rsid w:val="6832198B"/>
    <w:rsid w:val="68332C5A"/>
    <w:rsid w:val="683A1C32"/>
    <w:rsid w:val="68445480"/>
    <w:rsid w:val="685E3EBD"/>
    <w:rsid w:val="686123A7"/>
    <w:rsid w:val="68814A73"/>
    <w:rsid w:val="689C529D"/>
    <w:rsid w:val="689F6284"/>
    <w:rsid w:val="68A14946"/>
    <w:rsid w:val="68AD0582"/>
    <w:rsid w:val="68C62500"/>
    <w:rsid w:val="68D92F07"/>
    <w:rsid w:val="68F0088D"/>
    <w:rsid w:val="68F9558A"/>
    <w:rsid w:val="68FE1CA4"/>
    <w:rsid w:val="690814B0"/>
    <w:rsid w:val="691476A2"/>
    <w:rsid w:val="6915025A"/>
    <w:rsid w:val="691D1FE4"/>
    <w:rsid w:val="698625E6"/>
    <w:rsid w:val="69A16C59"/>
    <w:rsid w:val="69A842DD"/>
    <w:rsid w:val="69B678C2"/>
    <w:rsid w:val="69BA0910"/>
    <w:rsid w:val="69D81FA3"/>
    <w:rsid w:val="6A531ABD"/>
    <w:rsid w:val="6A5448D8"/>
    <w:rsid w:val="6A7A7665"/>
    <w:rsid w:val="6A814878"/>
    <w:rsid w:val="6A8C4E31"/>
    <w:rsid w:val="6A966DFE"/>
    <w:rsid w:val="6AA35969"/>
    <w:rsid w:val="6AAC3883"/>
    <w:rsid w:val="6AB90AB2"/>
    <w:rsid w:val="6ABA07E9"/>
    <w:rsid w:val="6AEB3A02"/>
    <w:rsid w:val="6AFB6FD3"/>
    <w:rsid w:val="6B226AF8"/>
    <w:rsid w:val="6B2450EC"/>
    <w:rsid w:val="6B2F64D3"/>
    <w:rsid w:val="6B49016B"/>
    <w:rsid w:val="6B57626C"/>
    <w:rsid w:val="6B924B8A"/>
    <w:rsid w:val="6B981141"/>
    <w:rsid w:val="6B9E0FF1"/>
    <w:rsid w:val="6BBC7A12"/>
    <w:rsid w:val="6BC62925"/>
    <w:rsid w:val="6C0C2D84"/>
    <w:rsid w:val="6C1E57A4"/>
    <w:rsid w:val="6C284CD4"/>
    <w:rsid w:val="6C3171FA"/>
    <w:rsid w:val="6C3B793A"/>
    <w:rsid w:val="6C4E4249"/>
    <w:rsid w:val="6C76712C"/>
    <w:rsid w:val="6C7F7123"/>
    <w:rsid w:val="6CA4199A"/>
    <w:rsid w:val="6CAF69CC"/>
    <w:rsid w:val="6CB41B6B"/>
    <w:rsid w:val="6CBC568F"/>
    <w:rsid w:val="6CDF0A1F"/>
    <w:rsid w:val="6CE1067C"/>
    <w:rsid w:val="6CE66C1F"/>
    <w:rsid w:val="6D0938B4"/>
    <w:rsid w:val="6D165E19"/>
    <w:rsid w:val="6D805399"/>
    <w:rsid w:val="6D847BD9"/>
    <w:rsid w:val="6D852C5F"/>
    <w:rsid w:val="6D880877"/>
    <w:rsid w:val="6D91176B"/>
    <w:rsid w:val="6D9D51D9"/>
    <w:rsid w:val="6DAE525B"/>
    <w:rsid w:val="6DB32200"/>
    <w:rsid w:val="6DC3394D"/>
    <w:rsid w:val="6DD56C75"/>
    <w:rsid w:val="6DEB098B"/>
    <w:rsid w:val="6DF52255"/>
    <w:rsid w:val="6E1024B7"/>
    <w:rsid w:val="6E125634"/>
    <w:rsid w:val="6E130D4F"/>
    <w:rsid w:val="6E167244"/>
    <w:rsid w:val="6E200E80"/>
    <w:rsid w:val="6E3702A1"/>
    <w:rsid w:val="6E3D58D8"/>
    <w:rsid w:val="6E521BEF"/>
    <w:rsid w:val="6E7D71CC"/>
    <w:rsid w:val="6E921603"/>
    <w:rsid w:val="6E9814A5"/>
    <w:rsid w:val="6EAB3732"/>
    <w:rsid w:val="6EC31657"/>
    <w:rsid w:val="6EC95CE8"/>
    <w:rsid w:val="6EDE4773"/>
    <w:rsid w:val="6EF46A71"/>
    <w:rsid w:val="6EF93776"/>
    <w:rsid w:val="6EFF794D"/>
    <w:rsid w:val="6F062BB9"/>
    <w:rsid w:val="6F0D43EB"/>
    <w:rsid w:val="6F1C66E7"/>
    <w:rsid w:val="6F3040D9"/>
    <w:rsid w:val="6F4F31D2"/>
    <w:rsid w:val="6F7E6E0E"/>
    <w:rsid w:val="6F8B746E"/>
    <w:rsid w:val="6FA76390"/>
    <w:rsid w:val="6FD61566"/>
    <w:rsid w:val="6FDC1B6B"/>
    <w:rsid w:val="6FDE6524"/>
    <w:rsid w:val="6FDF49B5"/>
    <w:rsid w:val="6FED0B93"/>
    <w:rsid w:val="6FF32143"/>
    <w:rsid w:val="70046337"/>
    <w:rsid w:val="70177F35"/>
    <w:rsid w:val="701A4FDA"/>
    <w:rsid w:val="701D28B0"/>
    <w:rsid w:val="70214D16"/>
    <w:rsid w:val="7037434E"/>
    <w:rsid w:val="70380F47"/>
    <w:rsid w:val="703B647C"/>
    <w:rsid w:val="70446AF2"/>
    <w:rsid w:val="70455963"/>
    <w:rsid w:val="706A2A9F"/>
    <w:rsid w:val="706C017D"/>
    <w:rsid w:val="707E0F40"/>
    <w:rsid w:val="707F41C5"/>
    <w:rsid w:val="70A17975"/>
    <w:rsid w:val="70BD5BE1"/>
    <w:rsid w:val="70D30931"/>
    <w:rsid w:val="70DA42FD"/>
    <w:rsid w:val="70F37B8E"/>
    <w:rsid w:val="70F8208F"/>
    <w:rsid w:val="71265794"/>
    <w:rsid w:val="7168469E"/>
    <w:rsid w:val="71752DEB"/>
    <w:rsid w:val="71A36DE5"/>
    <w:rsid w:val="71B2150C"/>
    <w:rsid w:val="71BC7EA6"/>
    <w:rsid w:val="71D92CDF"/>
    <w:rsid w:val="71DF3072"/>
    <w:rsid w:val="724A7B93"/>
    <w:rsid w:val="7259433D"/>
    <w:rsid w:val="725D6F93"/>
    <w:rsid w:val="726C7762"/>
    <w:rsid w:val="7270451D"/>
    <w:rsid w:val="7275170A"/>
    <w:rsid w:val="72751DAD"/>
    <w:rsid w:val="728A7225"/>
    <w:rsid w:val="72AC7F1B"/>
    <w:rsid w:val="72B11BD0"/>
    <w:rsid w:val="72BF37AA"/>
    <w:rsid w:val="72C70138"/>
    <w:rsid w:val="72F12BA5"/>
    <w:rsid w:val="72F20CDA"/>
    <w:rsid w:val="72FD7534"/>
    <w:rsid w:val="73271EAB"/>
    <w:rsid w:val="73323166"/>
    <w:rsid w:val="73374F36"/>
    <w:rsid w:val="736778EA"/>
    <w:rsid w:val="737C6F72"/>
    <w:rsid w:val="73843377"/>
    <w:rsid w:val="73874EC7"/>
    <w:rsid w:val="73A25793"/>
    <w:rsid w:val="73BD7567"/>
    <w:rsid w:val="73D82C63"/>
    <w:rsid w:val="73E52092"/>
    <w:rsid w:val="73FB54FC"/>
    <w:rsid w:val="740104A5"/>
    <w:rsid w:val="741C621C"/>
    <w:rsid w:val="741F2D62"/>
    <w:rsid w:val="742064CB"/>
    <w:rsid w:val="744253D0"/>
    <w:rsid w:val="744F2AF9"/>
    <w:rsid w:val="74782AB6"/>
    <w:rsid w:val="74924192"/>
    <w:rsid w:val="74BA54A7"/>
    <w:rsid w:val="74D20BB4"/>
    <w:rsid w:val="74D95226"/>
    <w:rsid w:val="74E038B2"/>
    <w:rsid w:val="74E127A7"/>
    <w:rsid w:val="74E56EB9"/>
    <w:rsid w:val="74F05D3C"/>
    <w:rsid w:val="75137D9E"/>
    <w:rsid w:val="753232E4"/>
    <w:rsid w:val="75363D99"/>
    <w:rsid w:val="753B7437"/>
    <w:rsid w:val="75423BED"/>
    <w:rsid w:val="757E457A"/>
    <w:rsid w:val="758F068F"/>
    <w:rsid w:val="75D14940"/>
    <w:rsid w:val="75F41D72"/>
    <w:rsid w:val="75F8024C"/>
    <w:rsid w:val="75FC1474"/>
    <w:rsid w:val="76227D12"/>
    <w:rsid w:val="76275B6C"/>
    <w:rsid w:val="763224E5"/>
    <w:rsid w:val="764D19B8"/>
    <w:rsid w:val="767135EB"/>
    <w:rsid w:val="767B0330"/>
    <w:rsid w:val="76A6241E"/>
    <w:rsid w:val="76BD4F21"/>
    <w:rsid w:val="76C16BB9"/>
    <w:rsid w:val="76E4472F"/>
    <w:rsid w:val="76F115AC"/>
    <w:rsid w:val="76FB4C75"/>
    <w:rsid w:val="77136E5E"/>
    <w:rsid w:val="77422BFC"/>
    <w:rsid w:val="774D12E0"/>
    <w:rsid w:val="778538F9"/>
    <w:rsid w:val="77883C36"/>
    <w:rsid w:val="778A7035"/>
    <w:rsid w:val="7791148D"/>
    <w:rsid w:val="77C21D02"/>
    <w:rsid w:val="77D17B38"/>
    <w:rsid w:val="77D93D37"/>
    <w:rsid w:val="77ED72BB"/>
    <w:rsid w:val="77F1292B"/>
    <w:rsid w:val="781A0151"/>
    <w:rsid w:val="78273BC7"/>
    <w:rsid w:val="783E17CA"/>
    <w:rsid w:val="78573DA0"/>
    <w:rsid w:val="78C168D4"/>
    <w:rsid w:val="78E87AC3"/>
    <w:rsid w:val="78F9372E"/>
    <w:rsid w:val="790A2D04"/>
    <w:rsid w:val="790A315A"/>
    <w:rsid w:val="790B08CE"/>
    <w:rsid w:val="79246B28"/>
    <w:rsid w:val="793D5DED"/>
    <w:rsid w:val="794404C5"/>
    <w:rsid w:val="79536ACE"/>
    <w:rsid w:val="79584B55"/>
    <w:rsid w:val="797402A8"/>
    <w:rsid w:val="797C7F88"/>
    <w:rsid w:val="79A4704E"/>
    <w:rsid w:val="79B53B29"/>
    <w:rsid w:val="79B95C80"/>
    <w:rsid w:val="79B95CA2"/>
    <w:rsid w:val="79BC6C95"/>
    <w:rsid w:val="79BF09E6"/>
    <w:rsid w:val="79CA37EA"/>
    <w:rsid w:val="7A102859"/>
    <w:rsid w:val="7A1C0277"/>
    <w:rsid w:val="7A28432B"/>
    <w:rsid w:val="7A671C00"/>
    <w:rsid w:val="7A935ED1"/>
    <w:rsid w:val="7A9E193A"/>
    <w:rsid w:val="7AA77ABF"/>
    <w:rsid w:val="7AE36A91"/>
    <w:rsid w:val="7AF17B29"/>
    <w:rsid w:val="7AFF2AEA"/>
    <w:rsid w:val="7B034EB4"/>
    <w:rsid w:val="7B08750D"/>
    <w:rsid w:val="7B1A350A"/>
    <w:rsid w:val="7B1E4FDC"/>
    <w:rsid w:val="7B303D4B"/>
    <w:rsid w:val="7B3311D9"/>
    <w:rsid w:val="7B364C78"/>
    <w:rsid w:val="7B606131"/>
    <w:rsid w:val="7B7E61EE"/>
    <w:rsid w:val="7BA13140"/>
    <w:rsid w:val="7BA7127F"/>
    <w:rsid w:val="7BBD4F47"/>
    <w:rsid w:val="7BCA13EA"/>
    <w:rsid w:val="7BD6440C"/>
    <w:rsid w:val="7BE10312"/>
    <w:rsid w:val="7BE225CF"/>
    <w:rsid w:val="7BE56DAE"/>
    <w:rsid w:val="7BEC43EE"/>
    <w:rsid w:val="7BF50E76"/>
    <w:rsid w:val="7BF87FE7"/>
    <w:rsid w:val="7BFF5403"/>
    <w:rsid w:val="7C095EF4"/>
    <w:rsid w:val="7C1032C9"/>
    <w:rsid w:val="7C1A0076"/>
    <w:rsid w:val="7C2B6FA4"/>
    <w:rsid w:val="7C394BBB"/>
    <w:rsid w:val="7C3F5B8B"/>
    <w:rsid w:val="7C546DF9"/>
    <w:rsid w:val="7C5551C5"/>
    <w:rsid w:val="7C584180"/>
    <w:rsid w:val="7C5A063C"/>
    <w:rsid w:val="7C753C0D"/>
    <w:rsid w:val="7C912CC8"/>
    <w:rsid w:val="7CCE52C5"/>
    <w:rsid w:val="7CEE0A08"/>
    <w:rsid w:val="7D282EAD"/>
    <w:rsid w:val="7D372903"/>
    <w:rsid w:val="7D3E12A7"/>
    <w:rsid w:val="7D406CC8"/>
    <w:rsid w:val="7D426A26"/>
    <w:rsid w:val="7D726EF7"/>
    <w:rsid w:val="7D853842"/>
    <w:rsid w:val="7D8B0203"/>
    <w:rsid w:val="7D904038"/>
    <w:rsid w:val="7D935F5F"/>
    <w:rsid w:val="7DAE0FEB"/>
    <w:rsid w:val="7DC46119"/>
    <w:rsid w:val="7DDC7237"/>
    <w:rsid w:val="7DE1157D"/>
    <w:rsid w:val="7E0B6418"/>
    <w:rsid w:val="7E1131A2"/>
    <w:rsid w:val="7E135D92"/>
    <w:rsid w:val="7E3A191E"/>
    <w:rsid w:val="7E3C1A8D"/>
    <w:rsid w:val="7E5B4207"/>
    <w:rsid w:val="7E6B2A38"/>
    <w:rsid w:val="7E85045E"/>
    <w:rsid w:val="7E8F6091"/>
    <w:rsid w:val="7E915CF1"/>
    <w:rsid w:val="7EB54470"/>
    <w:rsid w:val="7EBE2C2B"/>
    <w:rsid w:val="7EDF40D3"/>
    <w:rsid w:val="7F0B2116"/>
    <w:rsid w:val="7F23563E"/>
    <w:rsid w:val="7F26101F"/>
    <w:rsid w:val="7F542DE9"/>
    <w:rsid w:val="7F640060"/>
    <w:rsid w:val="7F6A5421"/>
    <w:rsid w:val="7F8E529E"/>
    <w:rsid w:val="7F9658C9"/>
    <w:rsid w:val="7FAE25C3"/>
    <w:rsid w:val="7FB64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40" w:lineRule="exact"/>
      <w:ind w:firstLine="200" w:firstLineChars="200"/>
      <w:jc w:val="both"/>
    </w:pPr>
    <w:rPr>
      <w:rFonts w:eastAsia="仿宋_GB2312" w:asciiTheme="minorHAnsi" w:hAnsiTheme="minorHAnsi" w:cstheme="minorBidi"/>
      <w:kern w:val="2"/>
      <w:sz w:val="32"/>
      <w:szCs w:val="22"/>
      <w:lang w:val="en-US" w:eastAsia="zh-CN" w:bidi="ar-SA"/>
    </w:rPr>
  </w:style>
  <w:style w:type="paragraph" w:styleId="2">
    <w:name w:val="heading 1"/>
    <w:basedOn w:val="1"/>
    <w:next w:val="3"/>
    <w:qFormat/>
    <w:uiPriority w:val="0"/>
    <w:pPr>
      <w:keepNext/>
      <w:keepLines/>
      <w:numPr>
        <w:ilvl w:val="0"/>
        <w:numId w:val="1"/>
      </w:numPr>
      <w:spacing w:before="200" w:beforeLines="0" w:beforeAutospacing="0" w:after="200" w:afterLines="0" w:afterAutospacing="0" w:line="560" w:lineRule="exact"/>
      <w:ind w:firstLine="402" w:firstLineChars="0"/>
      <w:jc w:val="center"/>
      <w:outlineLvl w:val="0"/>
    </w:pPr>
    <w:rPr>
      <w:rFonts w:ascii="Times New Roman" w:hAnsi="Times New Roman" w:eastAsia="微软雅黑"/>
      <w:b/>
      <w:kern w:val="44"/>
    </w:rPr>
  </w:style>
  <w:style w:type="paragraph" w:styleId="4">
    <w:name w:val="heading 2"/>
    <w:basedOn w:val="1"/>
    <w:next w:val="3"/>
    <w:unhideWhenUsed/>
    <w:qFormat/>
    <w:uiPriority w:val="0"/>
    <w:pPr>
      <w:keepNext/>
      <w:keepLines/>
      <w:numPr>
        <w:ilvl w:val="1"/>
        <w:numId w:val="1"/>
      </w:numPr>
      <w:spacing w:before="160" w:beforeLines="0" w:beforeAutospacing="0" w:after="160" w:afterLines="0" w:afterAutospacing="0" w:line="560" w:lineRule="exact"/>
      <w:ind w:firstLine="402" w:firstLineChars="0"/>
      <w:jc w:val="center"/>
      <w:outlineLvl w:val="1"/>
    </w:pPr>
    <w:rPr>
      <w:rFonts w:ascii="Times New Roman" w:hAnsi="Times New Roman" w:eastAsia="黑体"/>
    </w:rPr>
  </w:style>
  <w:style w:type="paragraph" w:styleId="5">
    <w:name w:val="heading 3"/>
    <w:basedOn w:val="1"/>
    <w:next w:val="1"/>
    <w:unhideWhenUsed/>
    <w:qFormat/>
    <w:uiPriority w:val="0"/>
    <w:pPr>
      <w:keepNext/>
      <w:keepLines/>
      <w:numPr>
        <w:ilvl w:val="2"/>
        <w:numId w:val="1"/>
      </w:numPr>
      <w:spacing w:before="50" w:beforeLines="50" w:beforeAutospacing="0" w:after="50" w:afterLines="50" w:afterAutospacing="0" w:line="240" w:lineRule="auto"/>
      <w:ind w:firstLine="480" w:firstLineChars="200"/>
      <w:outlineLvl w:val="2"/>
    </w:pPr>
    <w:rPr>
      <w:rFonts w:ascii="Times New Roman" w:hAnsi="Times New Roman"/>
      <w:b/>
      <w:sz w:val="30"/>
    </w:rPr>
  </w:style>
  <w:style w:type="paragraph" w:styleId="6">
    <w:name w:val="heading 4"/>
    <w:basedOn w:val="1"/>
    <w:next w:val="1"/>
    <w:unhideWhenUsed/>
    <w:qFormat/>
    <w:uiPriority w:val="0"/>
    <w:pPr>
      <w:keepNext/>
      <w:keepLines/>
      <w:numPr>
        <w:ilvl w:val="3"/>
        <w:numId w:val="1"/>
      </w:numPr>
      <w:spacing w:before="280" w:beforeLines="0" w:beforeAutospacing="0" w:after="290" w:afterLines="0" w:afterAutospacing="0" w:line="372" w:lineRule="auto"/>
      <w:ind w:firstLine="402" w:firstLineChars="0"/>
      <w:outlineLvl w:val="3"/>
    </w:pPr>
    <w:rPr>
      <w:rFonts w:ascii="Arial" w:hAnsi="Arial" w:eastAsia="黑体"/>
      <w:b/>
      <w:sz w:val="28"/>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Lines="0" w:afterAutospacing="0" w:line="360" w:lineRule="auto"/>
      <w:ind w:firstLine="420" w:firstLineChars="200"/>
    </w:pPr>
    <w:rPr>
      <w:rFonts w:ascii="Times New Roman" w:hAnsi="Times New Roman"/>
      <w:sz w:val="32"/>
    </w:rPr>
  </w:style>
  <w:style w:type="paragraph" w:styleId="7">
    <w:name w:val="caption"/>
    <w:basedOn w:val="8"/>
    <w:next w:val="3"/>
    <w:unhideWhenUsed/>
    <w:qFormat/>
    <w:uiPriority w:val="0"/>
    <w:rPr>
      <w:rFonts w:ascii="Times New Roman" w:hAnsi="Times New Roman" w:eastAsia="仿宋_GB2312"/>
      <w:sz w:val="28"/>
    </w:rPr>
  </w:style>
  <w:style w:type="paragraph" w:customStyle="1" w:styleId="8">
    <w:name w:val="图表标题"/>
    <w:basedOn w:val="1"/>
    <w:next w:val="3"/>
    <w:qFormat/>
    <w:uiPriority w:val="0"/>
    <w:pPr>
      <w:spacing w:afterLines="0" w:line="640" w:lineRule="exact"/>
      <w:ind w:firstLine="0" w:firstLineChars="0"/>
      <w:jc w:val="center"/>
    </w:pPr>
    <w:rPr>
      <w:rFonts w:hint="eastAsia" w:ascii="Times New Roman" w:hAnsi="Times New Roman" w:eastAsia="仿宋_GB2312"/>
      <w:b/>
      <w:sz w:val="28"/>
    </w:rPr>
  </w:style>
  <w:style w:type="paragraph" w:styleId="9">
    <w:name w:val="annotation text"/>
    <w:basedOn w:val="1"/>
    <w:qFormat/>
    <w:uiPriority w:val="0"/>
    <w:pPr>
      <w:jc w:val="left"/>
    </w:pPr>
    <w:rPr>
      <w:rFonts w:eastAsia="宋体" w:asciiTheme="minorAscii" w:hAnsiTheme="minorAscii"/>
    </w:rPr>
  </w:style>
  <w:style w:type="paragraph" w:styleId="10">
    <w:name w:val="toc 3"/>
    <w:basedOn w:val="1"/>
    <w:next w:val="1"/>
    <w:qFormat/>
    <w:uiPriority w:val="0"/>
    <w:pPr>
      <w:keepNext w:val="0"/>
      <w:keepLines w:val="0"/>
      <w:widowControl w:val="0"/>
      <w:suppressLineNumbers w:val="0"/>
      <w:ind w:left="840" w:leftChars="400"/>
      <w:jc w:val="both"/>
    </w:pPr>
    <w:rPr>
      <w:rFonts w:hint="default" w:ascii="Calibri" w:hAnsi="Calibri" w:eastAsia="宋体" w:cs="Times New Roman"/>
      <w:kern w:val="2"/>
      <w:sz w:val="21"/>
      <w:szCs w:val="21"/>
      <w:lang w:val="en-US" w:eastAsia="zh-CN" w:bidi="ar"/>
    </w:rPr>
  </w:style>
  <w:style w:type="paragraph" w:styleId="11">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12">
    <w:name w:val="header"/>
    <w:basedOn w:val="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3">
    <w:name w:val="toc 1"/>
    <w:basedOn w:val="1"/>
    <w:next w:val="1"/>
    <w:qFormat/>
    <w:uiPriority w:val="0"/>
    <w:pPr>
      <w:spacing w:line="360" w:lineRule="auto"/>
    </w:pPr>
    <w:rPr>
      <w:rFonts w:eastAsia="黑体" w:asciiTheme="minorAscii" w:hAnsiTheme="minorAscii"/>
      <w:sz w:val="24"/>
    </w:rPr>
  </w:style>
  <w:style w:type="paragraph" w:styleId="14">
    <w:name w:val="index heading"/>
    <w:basedOn w:val="1"/>
    <w:next w:val="15"/>
    <w:qFormat/>
    <w:uiPriority w:val="0"/>
    <w:rPr>
      <w:rFonts w:ascii="Arial" w:hAnsi="Arial" w:eastAsia="仿宋_GB2312" w:cs="Arial"/>
      <w:b/>
      <w:bCs/>
      <w:color w:val="000000"/>
      <w:kern w:val="0"/>
      <w:sz w:val="32"/>
      <w:szCs w:val="32"/>
    </w:rPr>
  </w:style>
  <w:style w:type="paragraph" w:styleId="15">
    <w:name w:val="index 1"/>
    <w:basedOn w:val="1"/>
    <w:next w:val="1"/>
    <w:qFormat/>
    <w:uiPriority w:val="0"/>
    <w:pPr>
      <w:spacing w:line="192" w:lineRule="auto"/>
      <w:jc w:val="center"/>
    </w:pPr>
    <w:rPr>
      <w:rFonts w:ascii="宋体" w:hAnsi="宋体" w:eastAsia="仿宋_GB2312" w:cs="宋体"/>
      <w:color w:val="000000"/>
      <w:kern w:val="0"/>
      <w:sz w:val="32"/>
      <w:szCs w:val="20"/>
    </w:rPr>
  </w:style>
  <w:style w:type="paragraph" w:styleId="16">
    <w:name w:val="List"/>
    <w:basedOn w:val="1"/>
    <w:qFormat/>
    <w:uiPriority w:val="0"/>
    <w:pPr>
      <w:spacing w:line="300" w:lineRule="exact"/>
      <w:ind w:left="0" w:firstLine="0" w:firstLineChars="0"/>
      <w:jc w:val="center"/>
    </w:pPr>
    <w:rPr>
      <w:rFonts w:ascii="Times New Roman" w:hAnsi="Times New Roman" w:eastAsia="仿宋_GB2312"/>
      <w:sz w:val="24"/>
    </w:rPr>
  </w:style>
  <w:style w:type="paragraph" w:styleId="17">
    <w:name w:val="footnote text"/>
    <w:basedOn w:val="1"/>
    <w:qFormat/>
    <w:uiPriority w:val="0"/>
    <w:pPr>
      <w:snapToGrid w:val="0"/>
      <w:spacing w:line="360" w:lineRule="auto"/>
      <w:jc w:val="left"/>
    </w:pPr>
    <w:rPr>
      <w:rFonts w:asciiTheme="minorAscii" w:hAnsiTheme="minorAscii"/>
      <w:sz w:val="21"/>
    </w:rPr>
  </w:style>
  <w:style w:type="paragraph" w:styleId="18">
    <w:name w:val="toc 2"/>
    <w:basedOn w:val="1"/>
    <w:next w:val="1"/>
    <w:qFormat/>
    <w:uiPriority w:val="0"/>
    <w:pPr>
      <w:spacing w:line="360" w:lineRule="auto"/>
      <w:ind w:left="420" w:leftChars="200"/>
    </w:pPr>
    <w:rPr>
      <w:rFonts w:eastAsia="宋体" w:asciiTheme="minorAscii" w:hAnsiTheme="minorAscii"/>
      <w:sz w:val="24"/>
    </w:rPr>
  </w:style>
  <w:style w:type="paragraph" w:styleId="19">
    <w:name w:val="Normal (Web)"/>
    <w:basedOn w:val="1"/>
    <w:qFormat/>
    <w:uiPriority w:val="0"/>
    <w:rPr>
      <w:sz w:val="24"/>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footnote reference"/>
    <w:basedOn w:val="22"/>
    <w:qFormat/>
    <w:uiPriority w:val="0"/>
    <w:rPr>
      <w:vertAlign w:val="superscript"/>
    </w:rPr>
  </w:style>
  <w:style w:type="paragraph" w:customStyle="1" w:styleId="25">
    <w:name w:val="图表标题（工程）"/>
    <w:basedOn w:val="8"/>
    <w:next w:val="3"/>
    <w:qFormat/>
    <w:uiPriority w:val="0"/>
    <w:pPr>
      <w:outlineLvl w:val="2"/>
    </w:pPr>
    <w:rPr>
      <w:rFonts w:ascii="Times New Roman" w:hAnsi="Times New Roman"/>
    </w:rPr>
  </w:style>
  <w:style w:type="paragraph" w:customStyle="1" w:styleId="26">
    <w:name w:val="Table Text"/>
    <w:basedOn w:val="1"/>
    <w:semiHidden/>
    <w:qFormat/>
    <w:uiPriority w:val="0"/>
    <w:rPr>
      <w:rFonts w:ascii="宋体" w:hAnsi="宋体" w:eastAsia="宋体" w:cs="宋体"/>
      <w:sz w:val="22"/>
      <w:szCs w:val="22"/>
      <w:lang w:val="en-US" w:eastAsia="en-US" w:bidi="ar-SA"/>
    </w:rPr>
  </w:style>
  <w:style w:type="table" w:customStyle="1" w:styleId="2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b8ff91f8-a9ff-4d34-9e1b-6fa4ab212234</errorID>
      <errorWord>统筹发展与安全</errorWord>
      <group>L1_Political</group>
      <groupName>政治性问题</groupName>
      <ability>L2_Unpolitical</ability>
      <abilityName>政治敏感错误</abilityName>
      <candidateList>
        <item>统筹发展和安全</item>
      </candidateList>
      <explain/>
      <paraID>2C73B7D3</paraID>
      <start>180</start>
      <end>187</end>
      <status>unmodified</status>
      <modifiedWord/>
      <trackRevisions>false</trackRevisions>
    </reviewItem>
    <reviewItem>
      <errorID>5bd6a1e4-ba28-43b4-a486-cdd1ba703507</errorID>
      <errorWord>经济社会发展绿色转型全面</errorWord>
      <group>L1_Political</group>
      <groupName>政治性问题</groupName>
      <ability>L2_Keyword</ability>
      <abilityName>固定表述</abilityName>
      <candidateList>
        <item>经济社会发展全面绿色转型</item>
      </candidateList>
      <explain>词汇“经济社会发展全面绿色转型”在特定场景下为固定表述形式，请确认此处的“经济社会发展绿色转型全面”是否存在不当。</explain>
      <paraID>29B00824</paraID>
      <start>0</start>
      <end>12</end>
      <status>unmodified</status>
      <modifiedWord/>
      <trackRevisions>false</trackRevisions>
    </reviewItem>
    <reviewItem>
      <errorID>bc5db777-26d7-4860-aa8a-c47c67ecebe2</errorID>
      <errorWord>（</errorWord>
      <group>L1_Format</group>
      <groupName>格式问题</groupName>
      <ability>L2_HalfPunc_CN</ability>
      <abilityName>全半角问题</abilityName>
      <candidateList>
        <item>(</item>
      </candidateList>
      <explain>文本全半角错误。</explain>
      <paraID>2A72E4DF</paraID>
      <start>0</start>
      <end>1</end>
      <status>unmodified</status>
      <modifiedWord/>
      <trackRevisions>false</trackRevisions>
    </reviewItem>
    <reviewItem>
      <errorID>9f418254-237f-4fd1-9538-b4a4875ccf6a</errorID>
      <errorWord>）</errorWord>
      <group>L1_Format</group>
      <groupName>格式问题</groupName>
      <ability>L2_HalfPunc_CN</ability>
      <abilityName>全半角问题</abilityName>
      <candidateList>
        <item>)</item>
      </candidateList>
      <explain>文本全半角错误。</explain>
      <paraID>2A72E4DF</paraID>
      <start>6</start>
      <end>7</end>
      <status>unmodified</status>
      <modifiedWord/>
      <trackRevisions>false</trackRevisions>
    </reviewItem>
    <reviewItem>
      <errorID>4997adf7-2dfe-4aec-bd5f-e9715823fef6</errorID>
      <errorWord>-</errorWord>
      <group>L1_Format</group>
      <groupName>格式问题</groupName>
      <ability>L2_HalfPunc_CN</ability>
      <abilityName>全半角问题</abilityName>
      <candidateList>
        <item>－</item>
      </candidateList>
      <explain>文本全半角错误。</explain>
      <paraID> AB2F5DD</paraID>
      <start>168</start>
      <end>169</end>
      <status>unmodified</status>
      <modifiedWord/>
      <trackRevisions>false</trackRevisions>
    </reviewItem>
    <reviewItem>
      <errorID>5854503c-c38e-46af-8ca0-ff21df409bc2</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583A6F15</paraID>
      <start>131</start>
      <end>138</end>
      <status>unmodified</status>
      <modifiedWord/>
      <trackRevisions>false</trackRevisions>
    </reviewItem>
    <reviewItem>
      <errorID>3affdb81-d9ff-4043-af54-eb9fa8ce075b</errorID>
      <errorWord>维护结构</errorWord>
      <group>L1_Word</group>
      <groupName>字词问题</groupName>
      <ability>L2_Typo</ability>
      <abilityName>字词错误</abilityName>
      <candidateList>
        <item>围护结构</item>
      </candidateList>
      <explain/>
      <paraID>25A9FCFC</paraID>
      <start>136</start>
      <end>140</end>
      <status>unmodified</status>
      <modifiedWord/>
      <trackRevisions>false</trackRevisions>
    </reviewItem>
    <reviewItem>
      <errorID>e5361194-410a-4a10-98b1-d90878c2b7f5</errorID>
      <errorWord>降碳、减污、扩绿、增长协同推进</errorWord>
      <group>L1_Political</group>
      <groupName>政治性问题</groupName>
      <ability>L2_Keyword</ability>
      <abilityName>固定表述</abilityName>
      <candidateList>
        <item>协同推进降碳、减污、扩绿、增长</item>
      </candidateList>
      <explain>词汇“协同推进降碳、减污、扩绿、增长”在特定场景下为固定表述形式，请确认此处的“降碳、减污、扩绿、增长协同推进”是否存在不当。</explain>
      <paraID> 30B2A4F</paraID>
      <start>15</start>
      <end>30</end>
      <status>unmodified</status>
      <modifiedWord/>
      <trackRevisions>false</trackRevisions>
    </reviewItem>
    <reviewItem>
      <errorID>a3515f0c-46b0-4b5c-8d2e-a5e09c16f527</errorID>
      <errorWord>、就</errorWord>
      <group>L1_Punc</group>
      <groupName>标点问题</groupName>
      <ability>L2_Punc_CN</ability>
      <abilityName>标点符号问题</abilityName>
      <candidateList>
        <item>，就</item>
      </candidateList>
      <explain>连接词前后不宜使用顿号，建议使用逗号。</explain>
      <paraID> 30B2A4F</paraID>
      <start>314</start>
      <end>316</end>
      <status>unmodified</status>
      <modifiedWord/>
      <trackRevisions>false</trackRevisions>
    </reviewItem>
    <reviewItem>
      <errorID>d58c3a23-b04e-46e5-aab6-7d2ae7a9f12a</errorID>
      <errorWord>胶粘剂</errorWord>
      <group>L1_Word</group>
      <groupName>字词问题</groupName>
      <ability>L2_Typo</ability>
      <abilityName>字词错误</abilityName>
      <candidateList>
        <item>胶黏剂</item>
      </candidateList>
      <explain/>
      <paraID>4AE5F2F1</paraID>
      <start>171</start>
      <end>174</end>
      <status>unmodified</status>
      <modifiedWord/>
      <trackRevisions>false</trackRevisions>
    </reviewItem>
    <reviewItem>
      <errorID>2ace1cce-c8ed-4784-ae56-d0e8c30e5c54</errorID>
      <errorWord>-</errorWord>
      <group>L1_Format</group>
      <groupName>格式问题</groupName>
      <ability>L2_HalfPunc_CN</ability>
      <abilityName>全半角问题</abilityName>
      <candidateList>
        <item>－</item>
      </candidateList>
      <explain>文本全半角错误。</explain>
      <paraID>40EB7849</paraID>
      <start>372</start>
      <end>373</end>
      <status>unmodified</status>
      <modifiedWord/>
      <trackRevisions>false</trackRevisions>
    </reviewItem>
    <reviewItem>
      <errorID>49cca6fd-beea-45eb-8328-11fd5ca5d34b</errorID>
      <errorWord>-</errorWord>
      <group>L1_Format</group>
      <groupName>格式问题</groupName>
      <ability>L2_HalfPunc_CN</ability>
      <abilityName>全半角问题</abilityName>
      <candidateList>
        <item>－</item>
      </candidateList>
      <explain>文本全半角错误。</explain>
      <paraID>40EB7849</paraID>
      <start>375</start>
      <end>376</end>
      <status>unmodified</status>
      <modifiedWord/>
      <trackRevisions>false</trackRevisions>
    </reviewItem>
    <reviewItem>
      <errorID>bb93e952-ad9d-40d5-9339-36cda967d0bc</errorID>
      <errorWord>-</errorWord>
      <group>L1_Format</group>
      <groupName>格式问题</groupName>
      <ability>L2_HalfPunc_CN</ability>
      <abilityName>全半角问题</abilityName>
      <candidateList>
        <item>－</item>
      </candidateList>
      <explain>文本全半角错误。</explain>
      <paraID>40EB7849</paraID>
      <start>378</start>
      <end>379</end>
      <status>unmodified</status>
      <modifiedWord/>
      <trackRevisions>false</trackRevisions>
    </reviewItem>
    <reviewItem>
      <errorID>e36a1595-0cd3-42df-b043-61838a0ba04f</errorID>
      <errorWord>-</errorWord>
      <group>L1_Format</group>
      <groupName>格式问题</groupName>
      <ability>L2_HalfPunc_CN</ability>
      <abilityName>全半角问题</abilityName>
      <candidateList>
        <item>－</item>
      </candidateList>
      <explain>文本全半角错误。</explain>
      <paraID>40EB7849</paraID>
      <start>381</start>
      <end>382</end>
      <status>unmodified</status>
      <modifiedWord/>
      <trackRevisions>false</trackRevisions>
    </reviewItem>
    <reviewItem>
      <errorID>5b299b44-5141-44cd-93c1-f59da0684049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6AEE97B7</paraID>
      <start>4</start>
      <end>5</end>
      <status>unmodified</status>
      <modifiedWord/>
      <trackRevisions>false</trackRevisions>
    </reviewItem>
    <reviewItem>
      <errorID>1e324787-c168-49c7-a897-6766761ec423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7D882221</paraID>
      <start>4</start>
      <end>5</end>
      <status>unmodified</status>
      <modifiedWord/>
      <trackRevisions>false</trackRevisions>
    </reviewItem>
    <reviewItem>
      <errorID>f6b162ee-2dd9-4b51-abba-c15d29e9c9ce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65F2386F</paraID>
      <start>4</start>
      <end>5</end>
      <status>unmodified</status>
      <modifiedWord/>
      <trackRevisions>false</trackRevisions>
    </reviewItem>
    <reviewItem>
      <errorID>f3db856b-be8d-4fc6-ad18-d582528c2c63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49EED425</paraID>
      <start>4</start>
      <end>5</end>
      <status>unmodified</status>
      <modifiedWord/>
      <trackRevisions>false</trackRevisions>
    </reviewItem>
    <reviewItem>
      <errorID>0fbf950b-d2c8-4433-9bb0-e9f80c16d2fb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47F52F1B</paraID>
      <start>4</start>
      <end>5</end>
      <status>unmodified</status>
      <modifiedWord/>
      <trackRevisions>false</trackRevisions>
    </reviewItem>
    <reviewItem>
      <errorID>4f13ee91-f5de-4df3-a7d7-edd6482fe3b1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3EB48460</paraID>
      <start>81</start>
      <end>82</end>
      <status>unmodified</status>
      <modifiedWord/>
      <trackRevisions>false</trackRevisions>
    </reviewItem>
    <reviewItem>
      <errorID>926ec782-1f42-4eb5-a4b6-17017f1f9ef1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3D6B9090</paraID>
      <start>4</start>
      <end>5</end>
      <status>unmodified</status>
      <modifiedWord/>
      <trackRevisions>false</trackRevisions>
    </reviewItem>
    <reviewItem>
      <errorID>b75f96ec-3766-4a2d-9362-8cc1ba8b1987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5F8BBBDB</paraID>
      <start>4</start>
      <end>5</end>
      <status>unmodified</status>
      <modifiedWord/>
      <trackRevisions>false</trackRevisions>
    </reviewItem>
    <reviewItem>
      <errorID>17fc996b-d044-4877-8eb2-4eb9bb72c11c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40694C30</paraID>
      <start>4</start>
      <end>5</end>
      <status>unmodified</status>
      <modifiedWord/>
      <trackRevisions>false</trackRevisions>
    </reviewItem>
    <reviewItem>
      <errorID>587737b0-80c8-462d-988a-81317bc1b476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63A1FBE1</paraID>
      <start>4</start>
      <end>5</end>
      <status>unmodified</status>
      <modifiedWord/>
      <trackRevisions>false</trackRevisions>
    </reviewItem>
    <reviewItem>
      <errorID>8c9b7e8c-e26b-47ec-a324-1295c5be82a8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DF1561B</paraID>
      <start>4</start>
      <end>5</end>
      <status>unmodified</status>
      <modifiedWord/>
      <trackRevisions>false</trackRevisions>
    </reviewItem>
    <reviewItem>
      <errorID>89fabf8d-0af2-4817-9b2b-8ed1bae26b95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77833EAC</paraID>
      <start>5</start>
      <end>6</end>
      <status>unmodified</status>
      <modifiedWord/>
      <trackRevisions>false</trackRevisions>
    </reviewItem>
    <reviewItem>
      <errorID>4a3424b3-9adf-41a2-9482-c00087bb0c52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6CE6DB9A</paraID>
      <start>5</start>
      <end>6</end>
      <status>unmodified</status>
      <modifiedWord/>
      <trackRevisions>false</trackRevisions>
    </reviewItem>
    <reviewItem>
      <errorID>fc2a691c-9e7b-466e-a4fe-cb1f8644c17b</errorID>
      <errorWord>污水厂</errorWord>
      <group>L1_Word</group>
      <groupName>字词问题</groupName>
      <ability>L2_Typo</ability>
      <abilityName>字词错误</abilityName>
      <candidateList>
        <item>污水处理厂</item>
      </candidateList>
      <explain/>
      <paraID>1F73BF00</paraID>
      <start>20</start>
      <end>23</end>
      <status>unmodified</status>
      <modifiedWord/>
      <trackRevisions>false</trackRevisions>
    </reviewItem>
    <reviewItem>
      <errorID>496a94c1-e890-4f25-b978-053a6454e58c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44DDF894</paraID>
      <start>20</start>
      <end>21</end>
      <status>unmodified</status>
      <modifiedWord/>
      <trackRevisions>false</trackRevisions>
    </reviewItem>
    <reviewItem>
      <errorID>0854cae9-5548-4ea8-b82e-93206d26f4f7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5EA0D3F0</paraID>
      <start>4</start>
      <end>5</end>
      <status>unmodified</status>
      <modifiedWord/>
      <trackRevisions>false</trackRevisions>
    </reviewItem>
    <reviewItem>
      <errorID>1f2119f1-5469-437c-97c3-94acc3d10882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5BD5201B</paraID>
      <start>20</start>
      <end>21</end>
      <status>unmodified</status>
      <modifiedWord/>
      <trackRevisions>false</trackRevisions>
    </reviewItem>
    <reviewItem>
      <errorID>b5bf21d6-9d39-41d3-8f43-64f9e31a6eda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5B05578</paraID>
      <start>4</start>
      <end>5</end>
      <status>unmodified</status>
      <modifiedWord/>
      <trackRevisions>false</trackRevisions>
    </reviewItem>
    <reviewItem>
      <errorID>d43c1107-bf50-449f-bd5f-bafb9e0423fa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2E85931F</paraID>
      <start>20</start>
      <end>21</end>
      <status>unmodified</status>
      <modifiedWord/>
      <trackRevisions>false</trackRevisions>
    </reviewItem>
    <reviewItem>
      <errorID>afcf66c4-1b8a-48a7-a67c-6162f5cd15ad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7651DAFA</paraID>
      <start>4</start>
      <end>5</end>
      <status>unmodified</status>
      <modifiedWord/>
      <trackRevisions>false</trackRevisions>
    </reviewItem>
    <reviewItem>
      <errorID>a2bbc9aa-5c4a-485c-9445-745f2c937ed2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7916DD26</paraID>
      <start>20</start>
      <end>21</end>
      <status>unmodified</status>
      <modifiedWord/>
      <trackRevisions>false</trackRevisions>
    </reviewItem>
    <reviewItem>
      <errorID>663e5e30-8909-4564-943f-11faf02b893c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79CF178B</paraID>
      <start>4</start>
      <end>5</end>
      <status>unmodified</status>
      <modifiedWord/>
      <trackRevisions>false</trackRevisions>
    </reviewItem>
    <reviewItem>
      <errorID>24d25366-759d-404e-a838-a5daa3651f0b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26244758</paraID>
      <start>4</start>
      <end>5</end>
      <status>unmodified</status>
      <modifiedWord/>
      <trackRevisions>false</trackRevisions>
    </reviewItem>
    <reviewItem>
      <errorID>0cd3d342-b121-47a8-9fbd-24f69a5f358c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58847D5</paraID>
      <start>19</start>
      <end>20</end>
      <status>unmodified</status>
      <modifiedWord/>
      <trackRevisions>false</trackRevisions>
    </reviewItem>
    <reviewItem>
      <errorID>2a8853d8-f0ba-48da-9ecd-4d1529bd0f5d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20D32FCD</paraID>
      <start>4</start>
      <end>5</end>
      <status>unmodified</status>
      <modifiedWord/>
      <trackRevisions>false</trackRevisions>
    </reviewItem>
    <reviewItem>
      <errorID>f2bf767f-5e77-4320-a79b-e1b72b7f7950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7974ACFF</paraID>
      <start>27</start>
      <end>28</end>
      <status>unmodified</status>
      <modifiedWord/>
      <trackRevisions>false</trackRevisions>
    </reviewItem>
    <reviewItem>
      <errorID>f5180cd1-dafc-428c-b989-3978cb36a6d1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66B73A93</paraID>
      <start>4</start>
      <end>5</end>
      <status>unmodified</status>
      <modifiedWord/>
      <trackRevisions>false</trackRevisions>
    </reviewItem>
    <reviewItem>
      <errorID>356bc49a-67eb-40ee-b806-e2e6da4db536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6F258BB2</paraID>
      <start>15</start>
      <end>16</end>
      <status>unmodified</status>
      <modifiedWord/>
      <trackRevisions>false</trackRevisions>
    </reviewItem>
    <reviewItem>
      <errorID>682c6d24-e76a-4a5e-b622-2fb2f7bb598b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78407253</paraID>
      <start>4</start>
      <end>5</end>
      <status>unmodified</status>
      <modifiedWord/>
      <trackRevisions>false</trackRevisions>
    </reviewItem>
    <reviewItem>
      <errorID>ee62e2a5-a4a5-494d-8d9d-6cee0d62dab1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3D5610B7</paraID>
      <start>4</start>
      <end>5</end>
      <status>unmodified</status>
      <modifiedWord/>
      <trackRevisions>false</trackRevisions>
    </reviewItem>
    <reviewItem>
      <errorID>97be00d6-3a87-4953-90e0-6993feebc778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4E369</paraID>
      <start>4</start>
      <end>5</end>
      <status>unmodified</status>
      <modifiedWord/>
      <trackRevisions>false</trackRevisions>
    </reviewItem>
    <reviewItem>
      <errorID>712876af-fa6c-4533-9789-1383ffe156e9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61A97629</paraID>
      <start>4</start>
      <end>5</end>
      <status>unmodified</status>
      <modifiedWord/>
      <trackRevisions>false</trackRevisions>
    </reviewItem>
    <reviewItem>
      <errorID>e73dc0af-53bc-45f2-bad7-5fd689a5a2f1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3039A10F</paraID>
      <start>4</start>
      <end>5</end>
      <status>unmodified</status>
      <modifiedWord/>
      <trackRevisions>false</trackRevisions>
    </reviewItem>
    <reviewItem>
      <errorID>c778c89a-5aff-48dd-ae69-6dbc7c42b0cd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1844B316</paraID>
      <start>4</start>
      <end>5</end>
      <status>unmodified</status>
      <modifiedWord/>
      <trackRevisions>false</trackRevisions>
    </reviewItem>
    <reviewItem>
      <errorID>e590e67e-18b4-442f-a429-f0c99abe5e82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3CF71E29</paraID>
      <start>4</start>
      <end>5</end>
      <status>unmodified</status>
      <modifiedWord/>
      <trackRevisions>false</trackRevisions>
    </reviewItem>
    <reviewItem>
      <errorID>ea1b2770-b502-4e32-8658-6a75c5eeed0f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171EF355</paraID>
      <start>4</start>
      <end>5</end>
      <status>unmodified</status>
      <modifiedWord/>
      <trackRevisions>false</trackRevisions>
    </reviewItem>
    <reviewItem>
      <errorID>0e40999b-83d9-4913-ac6f-93a53f5eeef8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7DF26020</paraID>
      <start>4</start>
      <end>5</end>
      <status>unmodified</status>
      <modifiedWord/>
      <trackRevisions>false</trackRevisions>
    </reviewItem>
    <reviewItem>
      <errorID>9fc2ff21-5570-4320-926f-0c978f833e03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4BD58C9B</paraID>
      <start>4</start>
      <end>5</end>
      <status>unmodified</status>
      <modifiedWord/>
      <trackRevisions>false</trackRevisions>
    </reviewItem>
    <reviewItem>
      <errorID>1d438328-f92f-4c02-ad3e-a9cb3bec7db7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1CFF692F</paraID>
      <start>20</start>
      <end>21</end>
      <status>unmodified</status>
      <modifiedWord/>
      <trackRevisions>false</trackRevisions>
    </reviewItem>
    <reviewItem>
      <errorID>3bfeda30-4e81-4461-bcf2-9b86de8ed2a7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46793471</paraID>
      <start>4</start>
      <end>5</end>
      <status>unmodified</status>
      <modifiedWord/>
      <trackRevisions>false</trackRevisions>
    </reviewItem>
    <reviewItem>
      <errorID>6a29156b-c286-4ff9-98e0-69f9c3bae057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3120F69C</paraID>
      <start>4</start>
      <end>5</end>
      <status>unmodified</status>
      <modifiedWord/>
      <trackRevisions>false</trackRevisions>
    </reviewItem>
    <reviewItem>
      <errorID>43ad0622-7227-4178-8bb0-5cef717e943e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7E08AA6C</paraID>
      <start>4</start>
      <end>5</end>
      <status>unmodified</status>
      <modifiedWord/>
      <trackRevisions>false</trackRevisions>
    </reviewItem>
    <reviewItem>
      <errorID>b68aea89-cbac-4bc4-9eb9-819e96744bec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24DB4A3F</paraID>
      <start>4</start>
      <end>5</end>
      <status>unmodified</status>
      <modifiedWord/>
      <trackRevisions>false</trackRevisions>
    </reviewItem>
    <reviewItem>
      <errorID>7977bf71-03f7-4308-a8bb-16fe4d9572ec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E89A160</paraID>
      <start>4</start>
      <end>5</end>
      <status>unmodified</status>
      <modifiedWord/>
      <trackRevisions>false</trackRevisions>
    </reviewItem>
    <reviewItem>
      <errorID>32fe9e84-8412-44d4-9f48-569b312f9dca</errorID>
      <errorWord>数字李生</errorWord>
      <group>L1_Knowledge</group>
      <groupName>知识性问题</groupName>
      <ability>L2_Knowledge</ability>
      <abilityName>其他知识</abilityName>
      <candidateList>
        <item>数字孪生</item>
      </candidateList>
      <explain/>
      <paraID>6AB1C74E</paraID>
      <start>29</start>
      <end>33</end>
      <status>unmodified</status>
      <modifiedWord/>
      <trackRevisions>false</trackRevisions>
    </reviewItem>
    <reviewItem>
      <errorID>7f8a937e-e0a5-40da-8f18-a6c746d04dad</errorID>
      <errorWord>数字李生</errorWord>
      <group>L1_Knowledge</group>
      <groupName>知识性问题</groupName>
      <ability>L2_Knowledge</ability>
      <abilityName>其他知识</abilityName>
      <candidateList>
        <item>数字孪生</item>
      </candidateList>
      <explain/>
      <paraID>6AB1C74E</paraID>
      <start>38</start>
      <end>42</end>
      <status>unmodified</status>
      <modifiedWord/>
      <trackRevisions>false</trackRevisions>
    </reviewItem>
    <reviewItem>
      <errorID>21e4db3b-728f-4a9b-a0e0-d81e238c220f</errorID>
      <errorWord>数字李生</errorWord>
      <group>L1_Knowledge</group>
      <groupName>知识性问题</groupName>
      <ability>L2_Knowledge</ability>
      <abilityName>其他知识</abilityName>
      <candidateList>
        <item>数字孪生</item>
      </candidateList>
      <explain/>
      <paraID>6AB1C74E</paraID>
      <start>47</start>
      <end>51</end>
      <status>unmodified</status>
      <modifiedWord/>
      <trackRevisions>false</trackRevisions>
    </reviewItem>
    <reviewItem>
      <errorID>2254cc3a-65e3-4397-ab08-c9f939ceb7a8</errorID>
      <errorWord>数字李生</errorWord>
      <group>L1_Knowledge</group>
      <groupName>知识性问题</groupName>
      <ability>L2_Knowledge</ability>
      <abilityName>其他知识</abilityName>
      <candidateList>
        <item>数字孪生</item>
      </candidateList>
      <explain/>
      <paraID>6AB1C74E</paraID>
      <start>61</start>
      <end>65</end>
      <status>unmodified</status>
      <modifiedWord/>
      <trackRevisions>false</trackRevisions>
    </reviewItem>
    <reviewItem>
      <errorID>f332b0b9-ae2d-4dd5-b53a-4e40ae2a5886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212E14E6</paraID>
      <start>20</start>
      <end>21</end>
      <status>unmodified</status>
      <modifiedWord/>
      <trackRevisions>false</trackRevisions>
    </reviewItem>
    <reviewItem>
      <errorID>d830716e-78f1-4c06-9d18-c7cd9fd963c2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33F0774F</paraID>
      <start>4</start>
      <end>5</end>
      <status>unmodified</status>
      <modifiedWord/>
      <trackRevisions>false</trackRevisions>
    </reviewItem>
    <reviewItem>
      <errorID>fabf3aa1-53cf-4a16-a565-a4d2f28ca80c</errorID>
      <errorWord>中共中央办公厅 国务院办公厅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词汇“中共中央办公厅、国务院办公厅”在特定场景下为固定表述形式，请确认此处的“中共中央办公厅 国务院办公厅”是否存在不当。</explain>
      <paraID>4E79BCBD</paraID>
      <start>3</start>
      <end>17</end>
      <status>unmodified</status>
      <modifiedWord/>
      <trackRevisions>false</trackRevisions>
    </reviewItem>
    <reviewItem>
      <errorID>4e192297-f280-4b06-bf92-1bd8fc132157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7B20E215</paraID>
      <start>4</start>
      <end>5</end>
      <status>unmodified</status>
      <modifiedWord/>
      <trackRevisions>false</trackRevisions>
    </reviewItem>
    <reviewItem>
      <errorID>2c0c1414-c1a0-4601-9995-b1d02b0043ff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633E8270</paraID>
      <start>4</start>
      <end>5</end>
      <status>unmodified</status>
      <modifiedWord/>
      <trackRevisions>false</trackRevisions>
    </reviewItem>
    <reviewItem>
      <errorID>ecc6fc46-3084-4cad-976e-ff0c708c4368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2CC8FC98</paraID>
      <start>4</start>
      <end>5</end>
      <status>unmodified</status>
      <modifiedWord/>
      <trackRevisions>false</trackRevisions>
    </reviewItem>
    <reviewItem>
      <errorID>40305a61-bf24-48ad-896b-30bda6e06e36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3F7AFADE</paraID>
      <start>4</start>
      <end>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752d6f-f1b7-48e6-8a6d-6ef0816fed6e}">
  <ds:schemaRefs/>
</ds:datastoreItem>
</file>

<file path=docProps/app.xml><?xml version="1.0" encoding="utf-8"?>
<Properties xmlns="http://schemas.openxmlformats.org/officeDocument/2006/extended-properties" xmlns:vt="http://schemas.openxmlformats.org/officeDocument/2006/docPropsVTypes">
  <Template>Normal.dotm</Template>
  <Pages>81</Pages>
  <Words>7641</Words>
  <Characters>7824</Characters>
  <Lines>0</Lines>
  <Paragraphs>0</Paragraphs>
  <TotalTime>18</TotalTime>
  <ScaleCrop>false</ScaleCrop>
  <LinksUpToDate>false</LinksUpToDate>
  <CharactersWithSpaces>8018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2025-07-05T14:20:00Z</dcterms:created>
  <dc:creator>Hasee</dc:creator>
  <cp:lastModifiedBy>mc-heaven</cp:lastModifiedBy>
  <dcterms:modified xsi:type="dcterms:W3CDTF">2026-07-31T06:55:27Z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eyJoZGlkIjoiNmMxMmU5YWU0ZGRhMGMzYjViNTU2YWVhYjA2MDU1MWIiLCJ1c2VySWQiOiI1MTY4MjM0NTUifQ==</vt:lpwstr>
  </property>
  <property fmtid="{D5CDD505-2E9C-101B-9397-08002B2CF9AE}" pid="4" name="ICV">
    <vt:lpwstr>18AEE456AF814F6CA5C6ECB84657898B_13</vt:lpwstr>
  </property>
</Properties>
</file>