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Times New Roman" w:hAnsi="Times New Roman" w:cs="Times New Roman"/>
          <w:b/>
          <w:color w:val="auto"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color w:val="auto"/>
          <w:sz w:val="44"/>
          <w:szCs w:val="44"/>
          <w:highlight w:val="none"/>
        </w:rPr>
        <w:t>关于202</w:t>
      </w:r>
      <w:r>
        <w:rPr>
          <w:rFonts w:hint="eastAsia" w:ascii="Times New Roman" w:hAnsi="Times New Roman" w:cs="Times New Roman"/>
          <w:b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b/>
          <w:color w:val="auto"/>
          <w:sz w:val="44"/>
          <w:szCs w:val="44"/>
          <w:highlight w:val="none"/>
        </w:rPr>
        <w:t>年</w:t>
      </w:r>
      <w:r>
        <w:rPr>
          <w:rFonts w:hint="eastAsia" w:ascii="Times New Roman" w:hAnsi="Times New Roman" w:cs="Times New Roman"/>
          <w:b/>
          <w:color w:val="auto"/>
          <w:sz w:val="44"/>
          <w:szCs w:val="44"/>
          <w:highlight w:val="none"/>
          <w:lang w:eastAsia="zh-CN"/>
        </w:rPr>
        <w:t>屯昌县</w:t>
      </w:r>
      <w:r>
        <w:rPr>
          <w:rFonts w:ascii="Times New Roman" w:hAnsi="Times New Roman" w:cs="Times New Roman"/>
          <w:b/>
          <w:color w:val="auto"/>
          <w:sz w:val="44"/>
          <w:szCs w:val="44"/>
          <w:highlight w:val="none"/>
        </w:rPr>
        <w:t>一般公共预算</w:t>
      </w:r>
    </w:p>
    <w:p>
      <w:pPr>
        <w:spacing w:line="578" w:lineRule="exact"/>
        <w:jc w:val="center"/>
        <w:rPr>
          <w:rFonts w:ascii="Times New Roman" w:hAnsi="Times New Roman" w:cs="Times New Roman"/>
          <w:b/>
          <w:color w:val="auto"/>
          <w:sz w:val="44"/>
          <w:szCs w:val="44"/>
          <w:highlight w:val="none"/>
        </w:rPr>
      </w:pPr>
      <w:r>
        <w:rPr>
          <w:rFonts w:ascii="Times New Roman" w:hAnsi="Times New Roman" w:cs="Times New Roman"/>
          <w:b/>
          <w:color w:val="auto"/>
          <w:sz w:val="44"/>
          <w:szCs w:val="44"/>
          <w:highlight w:val="none"/>
        </w:rPr>
        <w:t>收入预算的说明</w:t>
      </w:r>
    </w:p>
    <w:p>
      <w:pPr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年屯昌县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一般公共预算总收入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362,498万元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增长17，541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增长5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%（与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数口径相比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下同）。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其中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</w:p>
    <w:p>
      <w:pPr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年屯昌县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本级一般公共预算收入预算数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40，780 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年上升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876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具体收入明细如下：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（一）增值税预算数为7,5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0.4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（二）企业所得税预算数为1,4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（三）个人所得税预算数为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560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（四）资源税预算数为385万元，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2024年持平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（五）城市维护建设税预算数为1,0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（六）房产税预算数为1,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（七）印花税预算数为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717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457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（八）城镇土地使用税预算数为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1,405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（九）土地增值税预算数为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1，120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455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（十）车船税预算数为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978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（十一）耕地占用税预算数为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950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0万元，增长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（十二）契税预算数为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1,650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年减少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（十三）环境保护税预算数为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（十四）专项收入预算数为1,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519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（十五）行政事业性收费收入预算数为2,2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（十六）罚没收入预算数为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5,648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3，948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（十七）国有资源（资产）有偿使用收入预算数为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10,886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年减少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5,117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（十八）捐赠收入预算数为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00万元，比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%；</w:t>
      </w:r>
    </w:p>
    <w:p>
      <w:pPr>
        <w:wordWrap w:val="0"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（十九）政府住房基金收入预算数为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848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628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%。</w:t>
      </w:r>
    </w:p>
    <w:p>
      <w:pPr>
        <w:spacing w:line="600" w:lineRule="exact"/>
        <w:ind w:firstLine="640" w:firstLineChars="200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（二十）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其他收入预算数为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2024年持平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          </w:t>
      </w:r>
    </w:p>
    <w:p>
      <w:pPr>
        <w:numPr>
          <w:ilvl w:val="-1"/>
          <w:numId w:val="0"/>
        </w:numPr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债务收入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2024年持平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三、中央补助收入2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28,917万元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年增加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10,278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万元，增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动用预算稳定调节基金4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0,603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地方政府一般债务转贷收入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38,598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六、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上年结转收入1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3,306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-1"/>
          <w:numId w:val="0"/>
        </w:numPr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七、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上年结余收入2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trackRevisions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mM1YzUyNTY5OGMzYzEyNTE1NzY1MWIxNmZhNTkifQ=="/>
  </w:docVars>
  <w:rsids>
    <w:rsidRoot w:val="001C00F6"/>
    <w:rsid w:val="0018570C"/>
    <w:rsid w:val="001B73DB"/>
    <w:rsid w:val="001C00F6"/>
    <w:rsid w:val="002504BC"/>
    <w:rsid w:val="002E5BF7"/>
    <w:rsid w:val="00397203"/>
    <w:rsid w:val="00594D53"/>
    <w:rsid w:val="006161AB"/>
    <w:rsid w:val="00860F75"/>
    <w:rsid w:val="00994D7D"/>
    <w:rsid w:val="009B2E4C"/>
    <w:rsid w:val="00BB2F03"/>
    <w:rsid w:val="00BD0026"/>
    <w:rsid w:val="00C3191B"/>
    <w:rsid w:val="00DD673E"/>
    <w:rsid w:val="00E2564F"/>
    <w:rsid w:val="00EF11CD"/>
    <w:rsid w:val="00FB1903"/>
    <w:rsid w:val="020C4532"/>
    <w:rsid w:val="07394BBA"/>
    <w:rsid w:val="09974588"/>
    <w:rsid w:val="0A563DFB"/>
    <w:rsid w:val="0A775F53"/>
    <w:rsid w:val="0B0A2179"/>
    <w:rsid w:val="0B174BC7"/>
    <w:rsid w:val="0EA247A2"/>
    <w:rsid w:val="112F3480"/>
    <w:rsid w:val="1304134C"/>
    <w:rsid w:val="15564247"/>
    <w:rsid w:val="16A475E6"/>
    <w:rsid w:val="17100567"/>
    <w:rsid w:val="179A31CD"/>
    <w:rsid w:val="185C5B7C"/>
    <w:rsid w:val="1AAD5FA8"/>
    <w:rsid w:val="1F810F27"/>
    <w:rsid w:val="20CC046D"/>
    <w:rsid w:val="21771966"/>
    <w:rsid w:val="23D61688"/>
    <w:rsid w:val="25AD6385"/>
    <w:rsid w:val="26AB5C33"/>
    <w:rsid w:val="28436E7C"/>
    <w:rsid w:val="2C8C0EFE"/>
    <w:rsid w:val="2DFC5867"/>
    <w:rsid w:val="2E2A5B02"/>
    <w:rsid w:val="2E6D3890"/>
    <w:rsid w:val="2F146932"/>
    <w:rsid w:val="31A05803"/>
    <w:rsid w:val="357F02F8"/>
    <w:rsid w:val="37BE782E"/>
    <w:rsid w:val="3AEF3559"/>
    <w:rsid w:val="3CF1336B"/>
    <w:rsid w:val="3E811C6D"/>
    <w:rsid w:val="408A0127"/>
    <w:rsid w:val="40DB6BC7"/>
    <w:rsid w:val="4212598E"/>
    <w:rsid w:val="49D07C20"/>
    <w:rsid w:val="4AF002FD"/>
    <w:rsid w:val="4E524D2B"/>
    <w:rsid w:val="4F5FDBE5"/>
    <w:rsid w:val="516721B8"/>
    <w:rsid w:val="5C085256"/>
    <w:rsid w:val="5F1533A3"/>
    <w:rsid w:val="5F76026D"/>
    <w:rsid w:val="5F9655E2"/>
    <w:rsid w:val="5FB6601E"/>
    <w:rsid w:val="60872E2A"/>
    <w:rsid w:val="61DB30FD"/>
    <w:rsid w:val="640A4F8E"/>
    <w:rsid w:val="671F25E1"/>
    <w:rsid w:val="684C4200"/>
    <w:rsid w:val="6F9A2483"/>
    <w:rsid w:val="794E217A"/>
    <w:rsid w:val="79D15E5D"/>
    <w:rsid w:val="7FFE65E4"/>
    <w:rsid w:val="8DFDB7D8"/>
    <w:rsid w:val="FED73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8">
    <w:name w:val=" 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9">
    <w:name w:val="footnote reference"/>
    <w:basedOn w:val="7"/>
    <w:semiHidden/>
    <w:unhideWhenUsed/>
    <w:qFormat/>
    <w:uiPriority w:val="0"/>
    <w:rPr>
      <w:vertAlign w:val="superscript"/>
    </w:rPr>
  </w:style>
  <w:style w:type="paragraph" w:customStyle="1" w:styleId="10">
    <w:name w:val="_Style 1"/>
    <w:basedOn w:val="1"/>
    <w:qFormat/>
    <w:uiPriority w:val="0"/>
    <w:rPr>
      <w:rFonts w:ascii="Times New Roman" w:hAnsi="Times New Roman" w:cs="Times New Roman"/>
      <w:szCs w:val="20"/>
    </w:rPr>
  </w:style>
  <w:style w:type="character" w:customStyle="1" w:styleId="11">
    <w:name w:val="页眉 Char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页脚 Char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框文本 Char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脚注文本 Char"/>
    <w:basedOn w:val="7"/>
    <w:link w:val="5"/>
    <w:semiHidden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276</Words>
  <Characters>1578</Characters>
  <Lines>13</Lines>
  <Paragraphs>3</Paragraphs>
  <TotalTime>549</TotalTime>
  <ScaleCrop>false</ScaleCrop>
  <LinksUpToDate>false</LinksUpToDate>
  <CharactersWithSpaces>1851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2021-02-08T07:14:00Z</dcterms:created>
  <dc:creator>张振旺</dc:creator>
  <cp:lastModifiedBy>王钰莹</cp:lastModifiedBy>
  <dcterms:modified xsi:type="dcterms:W3CDTF">2025-02-14T03:11:51Z</dcterms:modified>
  <dc:title>关于2019年海南省省级一般公共预算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0E2CA8AA7E8B4DF3A3307082AA03DBAB_12</vt:lpwstr>
  </property>
</Properties>
</file>