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footer3.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sz w:val="30"/>
          <w:szCs w:val="30"/>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44"/>
          <w:szCs w:val="44"/>
          <w:shd w:val="clear" w:color="auto" w:fill="ffffff"/>
          <w:lang w:val="en-US"/>
        </w:rPr>
      </w:pPr>
      <w:r>
        <w:rPr>
          <w:rFonts w:ascii="黑体" w:cs="黑体" w:eastAsia="黑体" w:hAnsi="ˎ̥" w:hint="eastAsia"/>
          <w:kern w:val="0"/>
          <w:sz w:val="44"/>
          <w:szCs w:val="44"/>
          <w:shd w:val="clear" w:color="auto" w:fill="ffffff"/>
          <w:lang w:val="en-US" w:eastAsia="zh-CN"/>
        </w:rPr>
        <w:t>屯昌县委政法委部门2019年度部门决算</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b/>
          <w:bCs w:val="false"/>
          <w:sz w:val="32"/>
          <w:szCs w:val="32"/>
          <w:shd w:val="clear" w:color="auto" w:fill="ffffff"/>
          <w:lang w:val="en-US"/>
        </w:rPr>
      </w:pPr>
    </w:p>
    <w:bookmarkStart w:id="0" w:name="_Toc11440_WPSOffice_Type2"/>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宋体" w:hint="eastAsia"/>
          <w:sz w:val="44"/>
          <w:szCs w:val="44"/>
          <w:shd w:val="clear" w:color="auto" w:fill="ffffff"/>
          <w:lang w:val="en-US"/>
        </w:rPr>
      </w:pPr>
      <w:r>
        <w:rPr>
          <w:rFonts w:ascii="黑体" w:cs="黑体" w:eastAsia="黑体" w:hAnsi="宋体" w:hint="eastAsia"/>
          <w:kern w:val="0"/>
          <w:sz w:val="44"/>
          <w:szCs w:val="44"/>
          <w:shd w:val="clear" w:color="auto" w:fill="ffffff"/>
          <w:lang w:val="en-US" w:eastAsia="zh-CN"/>
        </w:rPr>
        <w:t>目  录</w:t>
      </w:r>
      <w:bookmarkEnd w:id="0"/>
    </w:p>
    <w:p>
      <w:pPr>
        <w:pStyle w:val="style4097"/>
        <w:widowControl/>
        <w:shd w:val="clear" w:color="auto" w:fill="ffffff"/>
        <w:tabs>
          <w:tab w:val="right" w:leader="dot" w:pos="8306"/>
        </w:tabs>
        <w:snapToGrid w:val="false"/>
        <w:ind w:left="420"/>
        <w:jc w:val="center"/>
        <w:rPr>
          <w:sz w:val="32"/>
          <w:szCs w:val="32"/>
          <w:shd w:val="clear" w:color="auto" w:fill="ffffff"/>
          <w:lang w:val="en-US"/>
        </w:rPr>
      </w:pPr>
      <w:r>
        <w:rPr>
          <w:rFonts w:ascii="黑体" w:cs="黑体" w:eastAsia="黑体" w:hAnsi="ˎ̥" w:hint="eastAsia"/>
          <w:sz w:val="32"/>
          <w:szCs w:val="32"/>
          <w:shd w:val="clear" w:color="auto" w:fill="ffffff"/>
          <w:lang w:eastAsia="zh-CN"/>
        </w:rPr>
        <w:t>第一部分</w:t>
      </w:r>
      <w:r>
        <w:rPr>
          <w:rFonts w:ascii="黑体" w:cs="黑体" w:eastAsia="黑体" w:hAnsi="ˎ̥" w:hint="eastAsia"/>
          <w:sz w:val="32"/>
          <w:szCs w:val="32"/>
          <w:shd w:val="clear" w:color="auto" w:fill="ffffff"/>
          <w:lang w:val="en-US"/>
        </w:rPr>
        <w:t xml:space="preserve"> </w:t>
      </w:r>
      <w:r>
        <w:rPr>
          <w:rFonts w:ascii="黑体" w:cs="黑体" w:eastAsia="黑体" w:hAnsi="ˎ̥" w:hint="eastAsia"/>
          <w:sz w:val="32"/>
          <w:szCs w:val="32"/>
          <w:shd w:val="clear" w:color="auto" w:fill="ffffff"/>
          <w:lang w:val="en-US" w:eastAsia="zh-CN"/>
        </w:rPr>
        <w:t>屯昌县委政法委</w:t>
      </w:r>
      <w:r>
        <w:rPr>
          <w:rFonts w:ascii="黑体" w:cs="黑体" w:eastAsia="黑体" w:hAnsi="ˎ̥" w:hint="eastAsia"/>
          <w:sz w:val="32"/>
          <w:szCs w:val="32"/>
          <w:shd w:val="clear" w:color="auto" w:fill="ffffff"/>
          <w:lang w:eastAsia="zh-CN"/>
        </w:rPr>
        <w:t>部门部门概况</w:t>
      </w:r>
      <w:r>
        <w:rPr>
          <w:sz w:val="32"/>
          <w:szCs w:val="32"/>
          <w:shd w:val="clear" w:color="auto" w:fill="ffffff"/>
          <w:lang w:val="en-US"/>
        </w:rPr>
        <w:tab/>
      </w:r>
      <w:r>
        <w:rPr>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一、部门职责</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二、机构设置</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7"/>
        <w:widowControl/>
        <w:shd w:val="clear" w:color="auto" w:fill="ffffff"/>
        <w:tabs>
          <w:tab w:val="right" w:leader="dot" w:pos="8306"/>
        </w:tabs>
        <w:snapToGrid w:val="false"/>
        <w:ind w:left="420"/>
        <w:jc w:val="center"/>
        <w:rPr>
          <w:sz w:val="32"/>
          <w:szCs w:val="32"/>
          <w:shd w:val="clear" w:color="auto" w:fill="ffffff"/>
          <w:lang w:val="en-US"/>
        </w:rPr>
      </w:pPr>
      <w:r>
        <w:rPr>
          <w:rFonts w:ascii="黑体" w:cs="黑体" w:eastAsia="黑体" w:hAnsi="ˎ̥" w:hint="eastAsia"/>
          <w:sz w:val="32"/>
          <w:szCs w:val="32"/>
          <w:shd w:val="clear" w:color="auto" w:fill="ffffff"/>
          <w:lang w:eastAsia="zh-CN"/>
        </w:rPr>
        <w:t>第二部分</w:t>
      </w:r>
      <w:r>
        <w:rPr>
          <w:rFonts w:ascii="黑体" w:cs="黑体" w:eastAsia="黑体" w:hAnsi="ˎ̥" w:hint="eastAsia"/>
          <w:sz w:val="32"/>
          <w:szCs w:val="32"/>
          <w:shd w:val="clear" w:color="auto" w:fill="ffffff"/>
          <w:lang w:val="en-US"/>
        </w:rPr>
        <w:t xml:space="preserve">  </w:t>
      </w:r>
      <w:r>
        <w:rPr>
          <w:rFonts w:ascii="黑体" w:cs="黑体" w:eastAsia="黑体" w:hAnsi="ˎ̥" w:hint="eastAsia"/>
          <w:sz w:val="32"/>
          <w:szCs w:val="32"/>
          <w:shd w:val="clear" w:color="auto" w:fill="ffffff"/>
          <w:lang w:val="en-US" w:eastAsia="zh-CN"/>
        </w:rPr>
        <w:t>屯昌县委政法委</w:t>
      </w:r>
      <w:r>
        <w:rPr>
          <w:rFonts w:ascii="黑体" w:cs="黑体" w:eastAsia="黑体" w:hAnsi="ˎ̥" w:hint="eastAsia"/>
          <w:sz w:val="32"/>
          <w:szCs w:val="32"/>
          <w:shd w:val="clear" w:color="auto" w:fill="ffffff"/>
          <w:lang w:eastAsia="zh-CN"/>
        </w:rPr>
        <w:t>部门</w:t>
      </w:r>
      <w:r>
        <w:rPr>
          <w:rFonts w:ascii="黑体" w:cs="黑体" w:eastAsia="黑体" w:hAnsi="ˎ̥" w:hint="eastAsia"/>
          <w:sz w:val="32"/>
          <w:szCs w:val="32"/>
          <w:shd w:val="clear" w:color="auto" w:fill="ffffff"/>
          <w:lang w:val="en-US"/>
        </w:rPr>
        <w:t>2019</w:t>
      </w:r>
      <w:r>
        <w:rPr>
          <w:rFonts w:ascii="黑体" w:cs="黑体" w:eastAsia="黑体" w:hAnsi="ˎ̥" w:hint="eastAsia"/>
          <w:sz w:val="32"/>
          <w:szCs w:val="32"/>
          <w:shd w:val="clear" w:color="auto" w:fill="ffffff"/>
          <w:lang w:eastAsia="zh-CN"/>
        </w:rPr>
        <w:t>年度部门决算批复表</w:t>
      </w:r>
      <w:r>
        <w:rPr>
          <w:sz w:val="32"/>
          <w:szCs w:val="32"/>
          <w:shd w:val="clear" w:color="auto" w:fill="ffffff"/>
          <w:lang w:val="en-US"/>
        </w:rPr>
        <w:tab/>
      </w:r>
      <w:r>
        <w:rPr>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一、收入支出决算批复表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二、收入决算批复表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三、支出决算批复表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四、 财政拨款收入支出决算批复表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五、一般公共预算财政拨款收入支出决算批复表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六、一般公共预算财政拨款基本支出决算批复表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七、政府性基金预算财政拨款收入支出决算批复表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八、一般公共预算财政拨款“三公”经费支出决算批复表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九、政府性基金预算财政拨款“三公”经费支出决算批复表</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3</w:t>
      </w:r>
    </w:p>
    <w:p>
      <w:pPr>
        <w:pStyle w:val="style4097"/>
        <w:widowControl/>
        <w:shd w:val="clear" w:color="auto" w:fill="ffffff"/>
        <w:tabs>
          <w:tab w:val="right" w:leader="dot" w:pos="8306"/>
        </w:tabs>
        <w:snapToGrid w:val="false"/>
        <w:ind w:left="420"/>
        <w:jc w:val="center"/>
        <w:rPr>
          <w:sz w:val="32"/>
          <w:szCs w:val="32"/>
          <w:shd w:val="clear" w:color="auto" w:fill="ffffff"/>
          <w:lang w:val="en-US"/>
        </w:rPr>
      </w:pPr>
      <w:r>
        <w:rPr>
          <w:rFonts w:ascii="黑体" w:cs="黑体" w:eastAsia="黑体" w:hAnsi="宋体" w:hint="eastAsia"/>
          <w:sz w:val="32"/>
          <w:szCs w:val="32"/>
          <w:shd w:val="clear" w:color="auto" w:fill="ffffff"/>
          <w:lang w:eastAsia="zh-CN"/>
        </w:rPr>
        <w:t>第三部分</w:t>
      </w:r>
      <w:r>
        <w:rPr>
          <w:sz w:val="32"/>
          <w:szCs w:val="32"/>
          <w:shd w:val="clear" w:color="auto" w:fill="ffffff"/>
          <w:lang w:val="en-US"/>
        </w:rPr>
        <w:t xml:space="preserve">  </w:t>
      </w:r>
      <w:r>
        <w:rPr>
          <w:rFonts w:ascii="黑体" w:cs="黑体" w:eastAsia="黑体" w:hAnsi="ˎ̥" w:hint="eastAsia"/>
          <w:sz w:val="32"/>
          <w:szCs w:val="32"/>
          <w:shd w:val="clear" w:color="auto" w:fill="ffffff"/>
          <w:lang w:val="en-US" w:eastAsia="zh-CN"/>
        </w:rPr>
        <w:t>屯昌县委政法委</w:t>
      </w:r>
      <w:r>
        <w:rPr>
          <w:rFonts w:ascii="黑体" w:cs="黑体" w:eastAsia="黑体" w:hAnsi="ˎ̥" w:hint="eastAsia"/>
          <w:sz w:val="32"/>
          <w:szCs w:val="32"/>
          <w:shd w:val="clear" w:color="auto" w:fill="ffffff"/>
          <w:lang w:eastAsia="zh-CN"/>
        </w:rPr>
        <w:t>部门</w:t>
      </w:r>
      <w:r>
        <w:rPr>
          <w:rFonts w:ascii="黑体" w:cs="黑体" w:eastAsia="黑体" w:hAnsi="ˎ̥" w:hint="eastAsia"/>
          <w:sz w:val="32"/>
          <w:szCs w:val="32"/>
          <w:shd w:val="clear" w:color="auto" w:fill="ffffff"/>
          <w:lang w:val="en-US"/>
        </w:rPr>
        <w:t>2019</w:t>
      </w:r>
      <w:r>
        <w:rPr>
          <w:rFonts w:ascii="黑体" w:cs="黑体" w:eastAsia="黑体" w:hAnsi="ˎ̥" w:hint="eastAsia"/>
          <w:sz w:val="32"/>
          <w:szCs w:val="32"/>
          <w:shd w:val="clear" w:color="auto" w:fill="ffffff"/>
          <w:lang w:eastAsia="zh-CN"/>
        </w:rPr>
        <w:t>年度部门决算情况说明</w:t>
      </w:r>
      <w:r>
        <w:rPr>
          <w:sz w:val="32"/>
          <w:szCs w:val="32"/>
          <w:shd w:val="clear" w:color="auto" w:fill="ffffff"/>
          <w:lang w:val="en-US"/>
        </w:rPr>
        <w:tab/>
      </w:r>
      <w:r>
        <w:rPr>
          <w:sz w:val="32"/>
          <w:szCs w:val="32"/>
          <w:shd w:val="clear" w:color="auto" w:fill="ffffff"/>
          <w:lang w:val="en-US"/>
        </w:rPr>
        <w:t>4</w:t>
      </w:r>
    </w:p>
    <w:p>
      <w:pPr>
        <w:pStyle w:val="style4098"/>
        <w:widowControl/>
        <w:shd w:val="clear" w:color="auto" w:fill="ffffff"/>
        <w:tabs>
          <w:tab w:val="right" w:leader="dot" w:pos="8306"/>
        </w:tabs>
        <w:snapToGrid w:val="false"/>
        <w:jc w:val="center"/>
        <w:rPr>
          <w:rFonts w:ascii="仿宋" w:cs="仿宋" w:eastAsia="仿宋" w:hAnsi="仿宋" w:hint="eastAsia"/>
          <w:bCs/>
          <w:sz w:val="32"/>
          <w:szCs w:val="32"/>
          <w:shd w:val="clear" w:color="auto" w:fill="ffffff"/>
          <w:lang w:eastAsia="zh-CN"/>
        </w:rPr>
        <w:sectPr>
          <w:footerReference w:type="default" r:id="rId2"/>
          <w:pgSz w:w="11915" w:h="16840" w:orient="portrait"/>
          <w:pgMar w:top="1440" w:right="1800" w:bottom="1440" w:left="1800" w:header="851" w:footer="992" w:gutter="0"/>
          <w:pgNumType w:fmt="numberInDash"/>
          <w:cols w:space="425" w:num="1"/>
          <w:docGrid w:type="lines" w:linePitch="312" w:charSpace="0"/>
        </w:sectPr>
      </w:pP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一、收入支出决算总体情况说明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4</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二、收入决算情况说明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5</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三、支出决算情况说明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5</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四、财政拨款收入支出决算总体情况说明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5</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五、一般公共预算财政拨款支出决算情况说明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6</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六、一般公共预算财政拨款基本支出决算情况说明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7</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eastAsia="zh-CN"/>
        </w:rPr>
        <w:t>七、</w:t>
      </w:r>
      <w:r>
        <w:rPr>
          <w:rFonts w:ascii="仿宋" w:cs="仿宋" w:eastAsia="仿宋" w:hAnsi="仿宋" w:hint="eastAsia"/>
          <w:bCs/>
          <w:sz w:val="32"/>
          <w:szCs w:val="32"/>
          <w:shd w:val="clear" w:color="auto" w:fill="ffffff"/>
          <w:lang w:eastAsia="zh-CN"/>
        </w:rPr>
        <w:t>政府性基金预算财政拨款收入支出决算情况说明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8</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仿宋" w:cs="仿宋" w:eastAsia="仿宋" w:hAnsi="仿宋" w:hint="eastAsia"/>
          <w:sz w:val="32"/>
          <w:szCs w:val="32"/>
          <w:shd w:val="clear" w:color="auto" w:fill="ffffff"/>
          <w:lang w:val="en-US"/>
        </w:rPr>
      </w:pPr>
      <w:r>
        <w:rPr>
          <w:rFonts w:ascii="仿宋" w:cs="仿宋" w:eastAsia="仿宋" w:hAnsi="仿宋" w:hint="eastAsia"/>
          <w:bCs/>
          <w:kern w:val="0"/>
          <w:sz w:val="32"/>
          <w:szCs w:val="32"/>
          <w:shd w:val="clear" w:color="auto" w:fill="ffffff"/>
          <w:lang w:val="en-US" w:eastAsia="zh-CN"/>
        </w:rPr>
        <w:t>八、一般公共预算财政拨款“三公”经费支出决算情况说明</w:t>
      </w:r>
    </w:p>
    <w:p>
      <w:pPr>
        <w:pStyle w:val="style4098"/>
        <w:widowControl/>
        <w:shd w:val="clear" w:color="auto" w:fill="ffffff"/>
        <w:tabs>
          <w:tab w:val="right" w:leader="dot" w:pos="8306"/>
        </w:tabs>
        <w:snapToGrid w:val="false"/>
        <w:jc w:val="right"/>
        <w:rPr>
          <w:rFonts w:ascii="仿宋" w:cs="仿宋" w:eastAsia="仿宋" w:hAnsi="仿宋" w:hint="eastAsia"/>
          <w:sz w:val="32"/>
          <w:szCs w:val="32"/>
          <w:shd w:val="clear" w:color="auto" w:fill="ffffff"/>
          <w:lang w:val="en-US"/>
        </w:rPr>
      </w:pP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8</w:t>
      </w:r>
    </w:p>
    <w:p>
      <w:pPr>
        <w:pStyle w:val="style0"/>
        <w:keepNext w:val="false"/>
        <w:keepLines w:val="false"/>
        <w:widowControl/>
        <w:numPr>
          <w:ilvl w:val="0"/>
          <w:numId w:val="1"/>
        </w:numPr>
        <w:suppressLineNumbers w:val="false"/>
        <w:shd w:val="clear" w:color="auto" w:fill="ffffff"/>
        <w:snapToGrid w:val="false"/>
        <w:spacing w:before="0" w:beforeAutospacing="true" w:after="0" w:afterAutospacing="true"/>
        <w:ind w:left="0" w:right="0"/>
        <w:jc w:val="left"/>
        <w:rPr>
          <w:rFonts w:ascii="仿宋" w:cs="仿宋" w:eastAsia="仿宋" w:hAnsi="仿宋" w:hint="eastAsia"/>
          <w:sz w:val="32"/>
          <w:szCs w:val="32"/>
          <w:shd w:val="clear" w:color="auto" w:fill="ffffff"/>
          <w:lang w:val="en-US"/>
        </w:rPr>
      </w:pPr>
      <w:r>
        <w:rPr>
          <w:rFonts w:ascii="仿宋" w:cs="仿宋" w:eastAsia="仿宋" w:hAnsi="仿宋" w:hint="eastAsia"/>
          <w:bCs/>
          <w:kern w:val="0"/>
          <w:sz w:val="32"/>
          <w:szCs w:val="32"/>
          <w:shd w:val="clear" w:color="auto" w:fill="ffffff"/>
          <w:lang w:val="en-US" w:eastAsia="zh-CN"/>
        </w:rPr>
        <w:t>政府性基金预算财政拨款“三公”经费支出决算情况说明</w:t>
      </w:r>
      <w:r>
        <w:rPr>
          <w:rFonts w:ascii="仿宋" w:cs="仿宋" w:eastAsia="仿宋" w:hAnsi="仿宋" w:hint="eastAsia"/>
          <w:bCs/>
          <w:kern w:val="0"/>
          <w:sz w:val="32"/>
          <w:szCs w:val="32"/>
          <w:shd w:val="clear" w:color="auto" w:fill="ffffff"/>
          <w:lang w:val="en-US" w:eastAsia="zh-CN"/>
        </w:rPr>
        <w:tab/>
      </w:r>
      <w:r>
        <w:rPr>
          <w:rFonts w:ascii="仿宋" w:cs="仿宋" w:eastAsia="仿宋" w:hAnsi="仿宋" w:hint="eastAsia"/>
          <w:bCs/>
          <w:kern w:val="0"/>
          <w:sz w:val="32"/>
          <w:szCs w:val="32"/>
          <w:shd w:val="clear" w:color="auto" w:fill="ffffff"/>
          <w:lang w:val="en-US" w:eastAsia="zh-CN"/>
        </w:rPr>
        <w:t>...............................................</w:t>
      </w:r>
      <w:r>
        <w:rPr>
          <w:rFonts w:ascii="仿宋" w:cs="仿宋" w:eastAsia="仿宋" w:hAnsi="仿宋" w:hint="eastAsia"/>
          <w:sz w:val="32"/>
          <w:szCs w:val="32"/>
          <w:shd w:val="clear" w:color="auto" w:fill="ffffff"/>
          <w:lang w:val="en-US"/>
        </w:rPr>
        <w:t>10</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十、预算绩效情况说明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11</w:t>
      </w:r>
    </w:p>
    <w:p>
      <w:pPr>
        <w:pStyle w:val="style4098"/>
        <w:widowControl/>
        <w:shd w:val="clear" w:color="auto" w:fill="ffffff"/>
        <w:tabs>
          <w:tab w:val="right" w:leader="dot" w:pos="8306"/>
        </w:tabs>
        <w:snapToGrid w:val="false"/>
        <w:jc w:val="center"/>
        <w:rPr>
          <w:rFonts w:ascii="仿宋" w:cs="仿宋" w:eastAsia="仿宋" w:hAnsi="仿宋" w:hint="eastAsia"/>
          <w:sz w:val="32"/>
          <w:szCs w:val="32"/>
          <w:shd w:val="clear" w:color="auto" w:fill="ffffff"/>
          <w:lang w:val="en-US"/>
        </w:rPr>
      </w:pPr>
      <w:r>
        <w:rPr>
          <w:rFonts w:ascii="仿宋" w:cs="仿宋" w:eastAsia="仿宋" w:hAnsi="仿宋" w:hint="eastAsia"/>
          <w:bCs/>
          <w:sz w:val="32"/>
          <w:szCs w:val="32"/>
          <w:shd w:val="clear" w:color="auto" w:fill="ffffff"/>
          <w:lang w:eastAsia="zh-CN"/>
        </w:rPr>
        <w:t>十一、其他重要事项情况说明</w:t>
      </w:r>
      <w:r>
        <w:rPr>
          <w:rFonts w:ascii="仿宋" w:cs="仿宋" w:eastAsia="仿宋" w:hAnsi="仿宋" w:hint="eastAsia"/>
          <w:sz w:val="32"/>
          <w:szCs w:val="32"/>
          <w:shd w:val="clear" w:color="auto" w:fill="ffffff"/>
          <w:lang w:val="en-US"/>
        </w:rPr>
        <w:tab/>
      </w:r>
      <w:r>
        <w:rPr>
          <w:rFonts w:ascii="仿宋" w:cs="仿宋" w:eastAsia="仿宋" w:hAnsi="仿宋" w:hint="eastAsia"/>
          <w:sz w:val="32"/>
          <w:szCs w:val="32"/>
          <w:shd w:val="clear" w:color="auto" w:fill="ffffff"/>
          <w:lang w:val="en-US"/>
        </w:rPr>
        <w:t>11</w:t>
      </w:r>
    </w:p>
    <w:p>
      <w:pPr>
        <w:pStyle w:val="style4097"/>
        <w:widowControl/>
        <w:shd w:val="clear" w:color="auto" w:fill="ffffff"/>
        <w:tabs>
          <w:tab w:val="right" w:leader="dot" w:pos="8306"/>
        </w:tabs>
        <w:snapToGrid w:val="false"/>
        <w:ind w:left="420"/>
        <w:jc w:val="center"/>
        <w:rPr>
          <w:sz w:val="32"/>
          <w:szCs w:val="32"/>
          <w:shd w:val="clear" w:color="auto" w:fill="ffffff"/>
          <w:lang w:val="en-US"/>
        </w:rPr>
      </w:pPr>
      <w:r>
        <w:rPr>
          <w:rFonts w:ascii="黑体" w:cs="黑体" w:eastAsia="黑体" w:hAnsi="ˎ̥" w:hint="eastAsia"/>
          <w:sz w:val="32"/>
          <w:szCs w:val="32"/>
          <w:shd w:val="clear" w:color="auto" w:fill="ffffff"/>
          <w:lang w:eastAsia="zh-CN"/>
        </w:rPr>
        <w:t>第四部分</w:t>
      </w:r>
      <w:r>
        <w:rPr>
          <w:rFonts w:ascii="黑体" w:cs="黑体" w:eastAsia="黑体" w:hAnsi="ˎ̥" w:hint="eastAsia"/>
          <w:sz w:val="32"/>
          <w:szCs w:val="32"/>
          <w:shd w:val="clear" w:color="auto" w:fill="ffffff"/>
          <w:lang w:val="en-US"/>
        </w:rPr>
        <w:t xml:space="preserve">  </w:t>
      </w:r>
      <w:r>
        <w:rPr>
          <w:rFonts w:ascii="黑体" w:cs="黑体" w:eastAsia="黑体" w:hAnsi="ˎ̥" w:hint="eastAsia"/>
          <w:sz w:val="32"/>
          <w:szCs w:val="32"/>
          <w:shd w:val="clear" w:color="auto" w:fill="ffffff"/>
          <w:lang w:eastAsia="zh-CN"/>
        </w:rPr>
        <w:t>名词解释</w:t>
      </w:r>
      <w:r>
        <w:rPr>
          <w:sz w:val="32"/>
          <w:szCs w:val="32"/>
          <w:shd w:val="clear" w:color="auto" w:fill="ffffff"/>
          <w:lang w:val="en-US"/>
        </w:rPr>
        <w:tab/>
      </w:r>
      <w:bookmarkStart w:id="1" w:name="_Toc15425_WPSOffice_Level1Page"/>
      <w:r>
        <w:rPr>
          <w:sz w:val="32"/>
          <w:szCs w:val="32"/>
          <w:shd w:val="clear" w:color="auto" w:fill="ffffff"/>
          <w:lang w:val="en-US"/>
        </w:rPr>
        <w:t>1</w:t>
      </w:r>
      <w:bookmarkEnd w:id="1"/>
      <w:r>
        <w:rPr>
          <w:sz w:val="32"/>
          <w:szCs w:val="32"/>
          <w:shd w:val="clear" w:color="auto" w:fill="ffffff"/>
          <w:lang w:val="en-US"/>
        </w:rPr>
        <w:t>3</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both"/>
        <w:rPr>
          <w:rFonts w:ascii="黑体" w:cs="黑体" w:eastAsia="黑体" w:hAnsi="ˎ̥" w:hint="eastAsia"/>
          <w:b/>
          <w:bCs w:val="false"/>
          <w:sz w:val="32"/>
          <w:szCs w:val="32"/>
          <w:shd w:val="clear" w:color="auto" w:fill="ffffff"/>
          <w:lang w:val="en-US"/>
        </w:rPr>
        <w:sectPr>
          <w:footerReference w:type="default" r:id="rId3"/>
          <w:pgSz w:w="11906" w:h="16838" w:orient="portrait"/>
          <w:pgMar w:top="1440" w:right="1800" w:bottom="1440" w:left="1800" w:header="851" w:footer="992" w:gutter="0"/>
          <w:pgNumType w:fmt="numberInDash" w:start="1"/>
          <w:cols w:space="425" w:num="1"/>
          <w:docGrid w:type="lines" w:linePitch="312" w:charSpace="0"/>
        </w:sect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both"/>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both"/>
        <w:rPr>
          <w:rFonts w:ascii="黑体" w:cs="黑体" w:eastAsia="黑体"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both"/>
        <w:rPr>
          <w:rFonts w:ascii="黑体" w:cs="黑体" w:eastAsia="黑体" w:hAnsi="ˎ̥" w:hint="eastAsia"/>
          <w:b/>
          <w:bCs w:val="false"/>
          <w:sz w:val="32"/>
          <w:szCs w:val="32"/>
          <w:shd w:val="clear" w:color="auto" w:fill="ffffff"/>
          <w:lang w:val="en-US"/>
        </w:rPr>
        <w:sectPr>
          <w:footerReference w:type="default" r:id="rId4"/>
          <w:type w:val="continuous"/>
          <w:pgSz w:w="11906" w:h="16838" w:orient="portrait"/>
          <w:pgMar w:top="1440" w:right="1800" w:bottom="1440" w:left="1800" w:header="851" w:footer="992" w:gutter="0"/>
          <w:pgNumType w:fmt="numberInDash"/>
          <w:cols w:space="425" w:num="1"/>
          <w:docGrid w:type="lines" w:linePitch="312" w:charSpace="0"/>
        </w:sectPr>
      </w:pPr>
    </w:p>
    <w:p>
      <w:pPr>
        <w:pStyle w:val="style0"/>
        <w:keepNext w:val="false"/>
        <w:keepLines w:val="false"/>
        <w:widowControl/>
        <w:suppressLineNumbers w:val="false"/>
        <w:shd w:val="clear" w:color="auto" w:fill="ffffff"/>
        <w:snapToGrid w:val="false"/>
        <w:spacing w:before="0" w:beforeAutospacing="true" w:after="0" w:afterAutospacing="true"/>
        <w:ind w:left="0" w:right="0"/>
        <w:jc w:val="both"/>
        <w:rPr>
          <w:rFonts w:ascii="黑体" w:cs="黑体" w:eastAsia="黑体" w:hAnsi="ˎ̥" w:hint="eastAsia"/>
          <w:b/>
          <w:bCs w:val="false"/>
          <w:sz w:val="32"/>
          <w:szCs w:val="32"/>
          <w:shd w:val="clear" w:color="auto" w:fill="ffffff"/>
          <w:lang w:val="en-US"/>
        </w:rPr>
      </w:pPr>
    </w:p>
    <w:bookmarkStart w:id="2" w:name="_Toc22941_WPSOffice_Level1"/>
    <w:bookmarkStart w:id="3" w:name="_Toc10720_WPSOffice_Level1"/>
    <w:bookmarkStart w:id="4" w:name="_Toc1704_WPSOffice_Level1"/>
    <w:bookmarkStart w:id="5" w:name="_Toc32433_WPSOffice_Level1"/>
    <w:bookmarkStart w:id="6" w:name="_Toc10049_WPSOffice_Level1"/>
    <w:bookmarkStart w:id="7" w:name="_Toc23465_WPSOffice_Level1"/>
    <w:bookmarkStart w:id="8" w:name="_Toc24238_WPSOffice_Level2"/>
    <w:bookmarkStart w:id="9" w:name="_Toc20205_WPSOffice_Level2"/>
    <w:bookmarkStart w:id="10" w:name="_Toc20274_WPSOffice_Level2"/>
    <w:bookmarkStart w:id="11" w:name="_Toc32622_WPSOffice_Level2"/>
    <w:bookmarkStart w:id="12" w:name="_Toc14159_WPSOffice_Level2"/>
    <w:bookmarkStart w:id="13" w:name="_Toc26580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r>
        <w:rPr>
          <w:rFonts w:ascii="黑体" w:cs="黑体" w:eastAsia="黑体" w:hAnsi="ˎ̥" w:hint="eastAsia"/>
          <w:kern w:val="0"/>
          <w:sz w:val="32"/>
          <w:szCs w:val="32"/>
          <w:shd w:val="clear" w:color="auto" w:fill="ffffff"/>
          <w:lang w:val="en-US" w:eastAsia="zh-CN"/>
        </w:rPr>
        <w:t>第一部分  屯昌县委政法委部门部门概况</w:t>
      </w:r>
      <w:bookmarkEnd w:id="2"/>
      <w:bookmarkEnd w:id="3"/>
      <w:bookmarkEnd w:id="4"/>
      <w:bookmarkEnd w:id="5"/>
      <w:bookmarkEnd w:id="6"/>
      <w:bookmarkEnd w:id="7"/>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楷体" w:cs="楷体" w:eastAsia="楷体" w:hAnsi="楷体" w:hint="eastAsia"/>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一、部门</w:t>
      </w:r>
      <w:bookmarkEnd w:id="8"/>
      <w:r>
        <w:rPr>
          <w:rFonts w:ascii="黑体" w:cs="黑体" w:eastAsia="黑体" w:hAnsi="宋体" w:hint="eastAsia"/>
          <w:kern w:val="0"/>
          <w:sz w:val="32"/>
          <w:szCs w:val="32"/>
          <w:shd w:val="clear" w:color="auto" w:fill="ffffff"/>
          <w:lang w:val="en-US" w:eastAsia="zh-CN"/>
        </w:rPr>
        <w:t>职责</w:t>
      </w:r>
      <w:bookmarkEnd w:id="9"/>
      <w:bookmarkEnd w:id="10"/>
      <w:bookmarkEnd w:id="11"/>
      <w:bookmarkEnd w:id="12"/>
      <w:bookmarkEnd w:id="13"/>
      <w:r>
        <w:rPr>
          <w:rFonts w:ascii="黑体" w:cs="黑体" w:eastAsia="黑体" w:hAnsi="宋体" w:hint="eastAsia"/>
          <w:kern w:val="0"/>
          <w:sz w:val="32"/>
          <w:szCs w:val="32"/>
          <w:shd w:val="clear" w:color="auto" w:fill="ffffff"/>
          <w:lang w:val="en-US" w:eastAsia="zh-CN"/>
        </w:rPr>
        <w:t>（涉密）</w:t>
      </w:r>
    </w:p>
    <w:bookmarkStart w:id="14" w:name="_Toc24474_WPSOffice_Level2"/>
    <w:bookmarkStart w:id="15" w:name="_Toc6572_WPSOffice_Level2"/>
    <w:bookmarkStart w:id="16" w:name="_Toc17796_WPSOffice_Level2"/>
    <w:bookmarkStart w:id="17" w:name="_Toc4833_WPSOffice_Level2"/>
    <w:bookmarkStart w:id="18" w:name="_Toc24059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二、机构设置</w:t>
      </w:r>
      <w:bookmarkEnd w:id="14"/>
      <w:bookmarkEnd w:id="15"/>
      <w:bookmarkEnd w:id="16"/>
      <w:bookmarkEnd w:id="17"/>
      <w:bookmarkEnd w:id="18"/>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纳入屯昌县委政法委部门2019年度部门决算编制范围的二级预算单位包括：</w:t>
      </w:r>
    </w:p>
    <w:p>
      <w:pPr>
        <w:pStyle w:val="style0"/>
        <w:keepNext w:val="false"/>
        <w:keepLines w:val="false"/>
        <w:widowControl/>
        <w:suppressLineNumbers w:val="false"/>
        <w:snapToGrid w:val="false"/>
        <w:spacing w:before="0" w:beforeAutospacing="false" w:after="0" w:afterAutospacing="true"/>
        <w:ind w:left="0" w:right="0" w:firstLine="640" w:firstLineChars="200"/>
        <w:jc w:val="left"/>
        <w:outlineLvl w:val="2"/>
        <w:rPr>
          <w:rFonts w:ascii="楷体" w:cs="楷体" w:eastAsia="楷体" w:hAnsi="楷体" w:hint="eastAsia"/>
          <w:sz w:val="32"/>
          <w:szCs w:val="32"/>
          <w:shd w:val="clear" w:color="auto" w:fill="ffffff"/>
          <w:lang w:val="en-US"/>
        </w:rPr>
      </w:pPr>
      <w:r>
        <w:rPr>
          <w:rFonts w:ascii="楷体" w:cs="楷体" w:eastAsia="楷体" w:hAnsi="楷体" w:hint="eastAsia"/>
          <w:kern w:val="0"/>
          <w:sz w:val="32"/>
          <w:szCs w:val="32"/>
          <w:shd w:val="clear" w:color="auto" w:fill="ffffff"/>
          <w:lang w:val="en-US" w:eastAsia="zh-CN"/>
        </w:rPr>
        <w:t>（一）中共屯昌县委政法委员会部门本级</w:t>
      </w:r>
    </w:p>
    <w:p>
      <w:pPr>
        <w:pStyle w:val="style0"/>
        <w:keepNext w:val="false"/>
        <w:keepLines w:val="false"/>
        <w:widowControl/>
        <w:suppressLineNumbers w:val="false"/>
        <w:snapToGrid w:val="false"/>
        <w:spacing w:before="0" w:beforeAutospacing="false" w:after="0" w:afterAutospacing="true"/>
        <w:ind w:left="0" w:right="0" w:firstLine="640" w:firstLineChars="200"/>
        <w:jc w:val="left"/>
        <w:outlineLvl w:val="2"/>
        <w:rPr>
          <w:rFonts w:ascii="楷体" w:cs="楷体" w:eastAsia="楷体" w:hAnsi="楷体" w:hint="eastAsia"/>
          <w:kern w:val="0"/>
          <w:sz w:val="32"/>
          <w:szCs w:val="32"/>
          <w:shd w:val="clear" w:color="auto" w:fill="ffffff"/>
          <w:lang w:val="en-US" w:eastAsia="zh-CN"/>
        </w:rPr>
      </w:pPr>
      <w:r>
        <w:rPr>
          <w:rFonts w:ascii="楷体" w:cs="楷体" w:eastAsia="楷体" w:hAnsi="楷体" w:hint="eastAsia"/>
          <w:kern w:val="0"/>
          <w:sz w:val="32"/>
          <w:szCs w:val="32"/>
          <w:shd w:val="clear" w:color="auto" w:fill="ffffff"/>
          <w:lang w:val="en-US" w:eastAsia="zh-CN"/>
        </w:rPr>
        <w:t>（二）屯昌县网格化服务监管中心（下属单位）</w:t>
      </w:r>
    </w:p>
    <w:p>
      <w:pPr>
        <w:pStyle w:val="style0"/>
        <w:keepNext w:val="false"/>
        <w:keepLines w:val="false"/>
        <w:widowControl/>
        <w:suppressLineNumbers w:val="false"/>
        <w:snapToGrid w:val="false"/>
        <w:spacing w:before="0" w:beforeAutospacing="false" w:after="0" w:afterAutospacing="true"/>
        <w:ind w:left="0" w:right="0" w:firstLine="640" w:firstLineChars="200"/>
        <w:jc w:val="left"/>
        <w:outlineLvl w:val="2"/>
        <w:rPr>
          <w:rFonts w:ascii="楷体" w:cs="楷体" w:eastAsia="楷体" w:hAnsi="楷体" w:hint="eastAsia"/>
          <w:kern w:val="0"/>
          <w:sz w:val="32"/>
          <w:szCs w:val="32"/>
          <w:shd w:val="clear" w:color="auto" w:fill="ffffff"/>
          <w:lang w:val="en-US" w:eastAsia="zh-CN"/>
        </w:rPr>
      </w:pPr>
    </w:p>
    <w:bookmarkStart w:id="19" w:name="_Toc30690_WPSOffice_Level1"/>
    <w:bookmarkStart w:id="20" w:name="_Toc15521_WPSOffice_Level1"/>
    <w:bookmarkStart w:id="21" w:name="_Toc28253_WPSOffice_Level1"/>
    <w:bookmarkStart w:id="22" w:name="_Toc30451_WPSOffice_Level1"/>
    <w:bookmarkStart w:id="23" w:name="_Toc8164_WPSOffice_Level1"/>
    <w:bookmarkStart w:id="24" w:name="_Toc6234_WPSOffice_Level1"/>
    <w:bookmarkStart w:id="25" w:name="_Toc8867_WPSOffice_Level2"/>
    <w:bookmarkStart w:id="26" w:name="_Toc32695_WPSOffice_Level2"/>
    <w:bookmarkStart w:id="27" w:name="_Toc6211_WPSOffice_Level2"/>
    <w:bookmarkStart w:id="28" w:name="_Toc32472_WPSOffice_Level2"/>
    <w:bookmarkStart w:id="29" w:name="_Toc11518_WPSOffice_Level2"/>
    <w:bookmarkStart w:id="30" w:name="_Toc4029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r>
        <w:rPr>
          <w:rFonts w:ascii="黑体" w:cs="黑体" w:eastAsia="黑体" w:hAnsi="ˎ̥" w:hint="eastAsia"/>
          <w:kern w:val="0"/>
          <w:sz w:val="32"/>
          <w:szCs w:val="32"/>
          <w:shd w:val="clear" w:color="auto" w:fill="ffffff"/>
          <w:lang w:val="en-US" w:eastAsia="zh-CN"/>
        </w:rPr>
        <w:t>第二部分 屯昌县委政法委部门2019年度部门决算公开报表</w:t>
      </w:r>
      <w:bookmarkEnd w:id="19"/>
      <w:bookmarkEnd w:id="20"/>
      <w:bookmarkEnd w:id="21"/>
      <w:bookmarkEnd w:id="22"/>
      <w:bookmarkEnd w:id="23"/>
      <w:bookmarkEnd w:id="24"/>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一、收入支出决算批复表（见正文附件）</w:t>
      </w:r>
      <w:bookmarkEnd w:id="25"/>
      <w:bookmarkEnd w:id="26"/>
      <w:bookmarkEnd w:id="27"/>
      <w:r>
        <w:rPr>
          <w:rFonts w:ascii="黑体" w:cs="黑体" w:eastAsia="黑体" w:hAnsi="宋体" w:hint="eastAsia"/>
          <w:kern w:val="0"/>
          <w:sz w:val="32"/>
          <w:szCs w:val="32"/>
          <w:shd w:val="clear" w:color="auto" w:fill="ffffff"/>
          <w:lang w:val="en-US" w:eastAsia="zh-CN"/>
        </w:rPr>
        <w:t>。</w:t>
      </w:r>
      <w:bookmarkEnd w:id="28"/>
      <w:bookmarkEnd w:id="29"/>
      <w:bookmarkEnd w:id="30"/>
    </w:p>
    <w:bookmarkStart w:id="31" w:name="_Toc26621_WPSOffice_Level2"/>
    <w:bookmarkStart w:id="32" w:name="_Toc23139_WPSOffice_Level2"/>
    <w:bookmarkStart w:id="33" w:name="_Toc25608_WPSOffice_Level2"/>
    <w:bookmarkStart w:id="34" w:name="_Toc28622_WPSOffice_Level2"/>
    <w:bookmarkStart w:id="35" w:name="_Toc30334_WPSOffice_Level2"/>
    <w:bookmarkStart w:id="36" w:name="_Toc14349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二、收入决算批复表（见正文附件）</w:t>
      </w:r>
      <w:bookmarkEnd w:id="31"/>
      <w:bookmarkEnd w:id="32"/>
      <w:bookmarkEnd w:id="33"/>
      <w:r>
        <w:rPr>
          <w:rFonts w:ascii="黑体" w:cs="黑体" w:eastAsia="黑体" w:hAnsi="宋体" w:hint="eastAsia"/>
          <w:kern w:val="0"/>
          <w:sz w:val="32"/>
          <w:szCs w:val="32"/>
          <w:shd w:val="clear" w:color="auto" w:fill="ffffff"/>
          <w:lang w:val="en-US" w:eastAsia="zh-CN"/>
        </w:rPr>
        <w:t>。</w:t>
      </w:r>
      <w:bookmarkEnd w:id="34"/>
      <w:bookmarkEnd w:id="35"/>
      <w:bookmarkEnd w:id="36"/>
    </w:p>
    <w:bookmarkStart w:id="37" w:name="_Toc3262_WPSOffice_Level2"/>
    <w:bookmarkStart w:id="38" w:name="_Toc17858_WPSOffice_Level2"/>
    <w:bookmarkStart w:id="39" w:name="_Toc17626_WPSOffice_Level2"/>
    <w:bookmarkStart w:id="40" w:name="_Toc14658_WPSOffice_Level2"/>
    <w:bookmarkStart w:id="41" w:name="_Toc5489_WPSOffice_Level2"/>
    <w:bookmarkStart w:id="42" w:name="_Toc13854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三、支出决算批复表（见正文附件）</w:t>
      </w:r>
      <w:bookmarkEnd w:id="37"/>
      <w:bookmarkEnd w:id="38"/>
      <w:bookmarkEnd w:id="39"/>
      <w:r>
        <w:rPr>
          <w:rFonts w:ascii="黑体" w:cs="黑体" w:eastAsia="黑体" w:hAnsi="宋体" w:hint="eastAsia"/>
          <w:kern w:val="0"/>
          <w:sz w:val="32"/>
          <w:szCs w:val="32"/>
          <w:shd w:val="clear" w:color="auto" w:fill="ffffff"/>
          <w:lang w:val="en-US" w:eastAsia="zh-CN"/>
        </w:rPr>
        <w:t>。</w:t>
      </w:r>
      <w:bookmarkEnd w:id="40"/>
      <w:bookmarkEnd w:id="41"/>
      <w:bookmarkEnd w:id="42"/>
    </w:p>
    <w:bookmarkStart w:id="43" w:name="_Toc23591_WPSOffice_Level2"/>
    <w:bookmarkStart w:id="44" w:name="_Toc13701_WPSOffice_Level2"/>
    <w:bookmarkStart w:id="45" w:name="_Toc21415_WPSOffice_Level2"/>
    <w:bookmarkStart w:id="46" w:name="_Toc7988_WPSOffice_Level2"/>
    <w:bookmarkStart w:id="47" w:name="_Toc4265_WPSOffice_Level2"/>
    <w:bookmarkStart w:id="48" w:name="_Toc23493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四、财政拨款收入支出决算批复表（见正文附件）</w:t>
      </w:r>
      <w:bookmarkEnd w:id="43"/>
      <w:bookmarkEnd w:id="44"/>
      <w:bookmarkEnd w:id="45"/>
      <w:r>
        <w:rPr>
          <w:rFonts w:ascii="黑体" w:cs="黑体" w:eastAsia="黑体" w:hAnsi="宋体" w:hint="eastAsia"/>
          <w:kern w:val="0"/>
          <w:sz w:val="32"/>
          <w:szCs w:val="32"/>
          <w:shd w:val="clear" w:color="auto" w:fill="ffffff"/>
          <w:lang w:val="en-US" w:eastAsia="zh-CN"/>
        </w:rPr>
        <w:t>。</w:t>
      </w:r>
      <w:bookmarkEnd w:id="46"/>
      <w:bookmarkEnd w:id="47"/>
      <w:bookmarkEnd w:id="48"/>
    </w:p>
    <w:bookmarkStart w:id="49" w:name="_Toc22783_WPSOffice_Level2"/>
    <w:bookmarkStart w:id="50" w:name="_Toc23829_WPSOffice_Level2"/>
    <w:bookmarkStart w:id="51" w:name="_Toc25166_WPSOffice_Level2"/>
    <w:bookmarkStart w:id="52" w:name="_Toc7879_WPSOffice_Level2"/>
    <w:bookmarkStart w:id="53" w:name="_Toc13516_WPSOffice_Level2"/>
    <w:bookmarkStart w:id="54" w:name="_Toc2158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五、一般公共预算财政拨款收入支出决算批复表</w:t>
      </w:r>
      <w:bookmarkEnd w:id="49"/>
      <w:bookmarkEnd w:id="50"/>
      <w:bookmarkEnd w:id="51"/>
      <w:bookmarkEnd w:id="52"/>
    </w:p>
    <w:p>
      <w:pPr>
        <w:pStyle w:val="style0"/>
        <w:keepNext w:val="false"/>
        <w:keepLines w:val="false"/>
        <w:widowControl/>
        <w:suppressLineNumbers w:val="false"/>
        <w:shd w:val="clear" w:color="auto" w:fill="ffffff"/>
        <w:snapToGrid w:val="false"/>
        <w:spacing w:before="0" w:beforeAutospacing="true" w:after="0" w:afterAutospacing="true"/>
        <w:ind w:left="0" w:right="0" w:firstLine="1302" w:firstLineChars="407"/>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（见正文附件）</w:t>
      </w:r>
      <w:bookmarkEnd w:id="53"/>
      <w:bookmarkEnd w:id="54"/>
      <w:r>
        <w:rPr>
          <w:rFonts w:ascii="黑体" w:cs="黑体" w:eastAsia="黑体" w:hAnsi="宋体" w:hint="eastAsia"/>
          <w:kern w:val="0"/>
          <w:sz w:val="32"/>
          <w:szCs w:val="32"/>
          <w:shd w:val="clear" w:color="auto" w:fill="ffffff"/>
          <w:lang w:val="en-US" w:eastAsia="zh-CN"/>
        </w:rPr>
        <w:t>。</w:t>
      </w:r>
    </w:p>
    <w:bookmarkStart w:id="55" w:name="_Toc2632_WPSOffice_Level2"/>
    <w:bookmarkStart w:id="56" w:name="_Toc5343_WPSOffice_Level2"/>
    <w:bookmarkStart w:id="57" w:name="_Toc17833_WPSOffice_Level2"/>
    <w:bookmarkStart w:id="58" w:name="_Toc8373_WPSOffice_Level2"/>
    <w:bookmarkStart w:id="59" w:name="_Toc17283_WPSOffice_Level2"/>
    <w:bookmarkStart w:id="60" w:name="_Toc25362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六、一般公共预算财政拨款基本支出决算批复表</w:t>
      </w:r>
      <w:bookmarkEnd w:id="55"/>
      <w:bookmarkEnd w:id="56"/>
      <w:bookmarkEnd w:id="57"/>
      <w:bookmarkEnd w:id="58"/>
      <w:bookmarkEnd w:id="59"/>
      <w:bookmarkEnd w:id="60"/>
    </w:p>
    <w:p>
      <w:pPr>
        <w:pStyle w:val="style0"/>
        <w:keepNext w:val="false"/>
        <w:keepLines w:val="false"/>
        <w:widowControl/>
        <w:suppressLineNumbers w:val="false"/>
        <w:shd w:val="clear" w:color="auto" w:fill="ffffff"/>
        <w:snapToGrid w:val="false"/>
        <w:spacing w:before="0" w:beforeAutospacing="true" w:after="0" w:afterAutospacing="true"/>
        <w:ind w:left="0" w:right="0" w:firstLine="1280" w:firstLineChars="40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（见正文附件）。</w:t>
      </w:r>
    </w:p>
    <w:bookmarkStart w:id="61" w:name="_Toc5594_WPSOffice_Level2"/>
    <w:bookmarkStart w:id="62" w:name="_Toc11799_WPSOffice_Level2"/>
    <w:bookmarkStart w:id="63" w:name="_Toc1533_WPSOffice_Level2"/>
    <w:bookmarkStart w:id="64" w:name="_Toc13345_WPSOffice_Level2"/>
    <w:bookmarkStart w:id="65" w:name="_Toc21310_WPSOffice_Level2"/>
    <w:bookmarkStart w:id="66" w:name="_Toc6020_WPSOffice_Level2"/>
    <w:p>
      <w:pPr>
        <w:pStyle w:val="style0"/>
        <w:keepNext w:val="false"/>
        <w:keepLines w:val="false"/>
        <w:widowControl/>
        <w:suppressLineNumbers w:val="false"/>
        <w:shd w:val="clear" w:color="auto" w:fill="ffffff"/>
        <w:snapToGrid w:val="false"/>
        <w:spacing w:before="0" w:beforeAutospacing="true" w:after="0" w:afterAutospacing="true"/>
        <w:ind w:left="1118" w:leftChars="304" w:right="0" w:hanging="480" w:hangingChars="15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七、政府性基金预算财政拨款收入支出决算批复表</w:t>
      </w:r>
      <w:bookmarkEnd w:id="61"/>
      <w:bookmarkEnd w:id="62"/>
      <w:bookmarkEnd w:id="63"/>
      <w:bookmarkEnd w:id="64"/>
      <w:bookmarkEnd w:id="65"/>
      <w:bookmarkEnd w:id="66"/>
    </w:p>
    <w:p>
      <w:pPr>
        <w:pStyle w:val="style0"/>
        <w:keepNext w:val="false"/>
        <w:keepLines w:val="false"/>
        <w:widowControl/>
        <w:suppressLineNumbers w:val="false"/>
        <w:shd w:val="clear" w:color="auto" w:fill="ffffff"/>
        <w:snapToGrid w:val="false"/>
        <w:spacing w:before="0" w:beforeAutospacing="true" w:after="0" w:afterAutospacing="true"/>
        <w:ind w:left="1277" w:leftChars="608" w:right="0" w:firstLine="160" w:firstLineChars="5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（见正文附件）。</w:t>
      </w:r>
    </w:p>
    <w:bookmarkStart w:id="67" w:name="_Toc9377_WPSOffice_Level2"/>
    <w:bookmarkStart w:id="68" w:name="_Toc29886_WPSOffice_Level2"/>
    <w:bookmarkStart w:id="69" w:name="_Toc19961_WPSOffice_Level2"/>
    <w:bookmarkStart w:id="70" w:name="_Toc1820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 xml:space="preserve">    八、一般公共预算财政拨款“三公”经费支出决算</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 xml:space="preserve">         批复表</w:t>
      </w:r>
      <w:bookmarkEnd w:id="67"/>
      <w:bookmarkEnd w:id="68"/>
      <w:bookmarkEnd w:id="69"/>
      <w:bookmarkEnd w:id="70"/>
      <w:r>
        <w:rPr>
          <w:rFonts w:ascii="黑体" w:cs="黑体" w:eastAsia="黑体" w:hAnsi="宋体" w:hint="eastAsia"/>
          <w:kern w:val="0"/>
          <w:sz w:val="32"/>
          <w:szCs w:val="32"/>
          <w:shd w:val="clear" w:color="auto" w:fill="ffffff"/>
          <w:lang w:val="en-US" w:eastAsia="zh-CN"/>
        </w:rPr>
        <w:t>（见正文附件）。</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 xml:space="preserve">    九、政府性基金预算财政拨款“三公”经费支出决算</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黑体" w:cs="黑体" w:eastAsia="黑体" w:hAnsi="宋体" w:hint="eastAsia"/>
          <w:sz w:val="32"/>
          <w:szCs w:val="32"/>
          <w:shd w:val="clear" w:color="auto" w:fill="ffffff"/>
          <w:lang w:val="en-US"/>
        </w:rPr>
      </w:pPr>
      <w:r>
        <w:rPr>
          <w:rFonts w:ascii="黑体" w:cs="黑体" w:eastAsia="黑体" w:hAnsi="宋体" w:hint="eastAsia"/>
          <w:kern w:val="0"/>
          <w:sz w:val="32"/>
          <w:szCs w:val="32"/>
          <w:shd w:val="clear" w:color="auto" w:fill="ffffff"/>
          <w:lang w:val="en-US" w:eastAsia="zh-CN"/>
        </w:rPr>
        <w:t xml:space="preserve">          批复表（见正文附件）。</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楷体" w:cs="楷体" w:eastAsia="楷体" w:hAnsi="楷体" w:hint="eastAsia"/>
          <w:sz w:val="32"/>
          <w:szCs w:val="32"/>
          <w:shd w:val="clear" w:color="auto" w:fill="ffffff"/>
          <w:lang w:val="en-US"/>
        </w:rPr>
      </w:pPr>
    </w:p>
    <w:bookmarkStart w:id="71" w:name="_Toc29683_WPSOffice_Level1"/>
    <w:bookmarkStart w:id="72" w:name="_Toc4402_WPSOffice_Level1"/>
    <w:bookmarkStart w:id="73" w:name="_Toc28629_WPSOffice_Level1"/>
    <w:bookmarkStart w:id="74" w:name="_Toc16686_WPSOffice_Level1"/>
    <w:bookmarkStart w:id="75" w:name="_Toc31264_WPSOffice_Level1"/>
    <w:bookmarkStart w:id="76" w:name="_Toc27590_WPSOffice_Level1"/>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r>
        <w:rPr>
          <w:rFonts w:ascii="黑体" w:cs="黑体" w:eastAsia="黑体" w:hAnsi="ˎ̥" w:hint="eastAsia"/>
          <w:kern w:val="0"/>
          <w:sz w:val="32"/>
          <w:szCs w:val="32"/>
          <w:shd w:val="clear" w:color="auto" w:fill="ffffff"/>
          <w:lang w:val="en-US" w:eastAsia="zh-CN"/>
        </w:rPr>
        <w:t>第三部分 屯昌县委政法委部门2019年度部门决算情况说明</w:t>
      </w:r>
      <w:bookmarkEnd w:id="71"/>
      <w:bookmarkEnd w:id="72"/>
      <w:bookmarkEnd w:id="73"/>
      <w:bookmarkEnd w:id="74"/>
      <w:bookmarkEnd w:id="75"/>
      <w:bookmarkEnd w:id="76"/>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黑体" w:cs="黑体" w:eastAsia="黑体" w:hAnsi="宋体" w:hint="eastAsia"/>
          <w:bCs/>
          <w:kern w:val="0"/>
          <w:sz w:val="32"/>
          <w:szCs w:val="32"/>
          <w:shd w:val="clear" w:color="auto" w:fill="ffffff"/>
          <w:lang w:val="en-US" w:eastAsia="zh-CN"/>
        </w:rPr>
      </w:pPr>
      <w:r>
        <w:rPr>
          <w:rFonts w:ascii="黑体" w:cs="黑体" w:eastAsia="黑体" w:hAnsi="宋体" w:hint="eastAsia"/>
          <w:bCs/>
          <w:kern w:val="0"/>
          <w:sz w:val="32"/>
          <w:szCs w:val="32"/>
          <w:shd w:val="clear" w:color="auto" w:fill="ffffff"/>
          <w:lang w:val="en-US" w:eastAsia="zh-CN"/>
        </w:rPr>
        <w:t>一、收入支出决算总体情况说明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480" w:firstLineChars="200"/>
        <w:jc w:val="left"/>
        <w:rPr>
          <w:rFonts w:ascii="仿宋_GB2312" w:cs="仿宋_GB2312" w:eastAsia="仿宋_GB2312" w:hAnsi="ˎ̥" w:hint="eastAsia"/>
          <w:sz w:val="32"/>
          <w:szCs w:val="32"/>
          <w:shd w:val="clear" w:color="auto" w:fill="ffffff"/>
          <w:lang w:val="en-US"/>
        </w:rPr>
      </w:pPr>
      <w:r>
        <w:rPr>
          <w:rFonts w:ascii="宋体" w:cs="宋体" w:eastAsia="宋体" w:hAnsi="宋体" w:hint="eastAsia"/>
          <w:kern w:val="0"/>
          <w:sz w:val="24"/>
          <w:szCs w:val="24"/>
          <w:shd w:val="clear" w:color="auto" w:fill="ffffff"/>
          <w:lang w:val="en-US" w:eastAsia="zh-CN"/>
        </w:rPr>
        <w:br/>
      </w:r>
      <w:r>
        <w:rPr>
          <w:rFonts w:ascii="楷体_GB2312" w:cs="楷体_GB2312" w:eastAsia="楷体_GB2312" w:hAnsi="ˎ̥" w:hint="eastAsia"/>
          <w:kern w:val="0"/>
          <w:sz w:val="32"/>
          <w:szCs w:val="32"/>
          <w:shd w:val="clear" w:color="auto" w:fill="ffffff"/>
          <w:lang w:val="en-US" w:eastAsia="zh-CN"/>
        </w:rPr>
        <w:t xml:space="preserve">    </w:t>
      </w:r>
      <w:r>
        <w:rPr>
          <w:rFonts w:ascii="仿宋_GB2312" w:cs="仿宋_GB2312" w:eastAsia="仿宋_GB2312" w:hAnsi="ˎ̥" w:hint="eastAsia"/>
          <w:kern w:val="0"/>
          <w:sz w:val="32"/>
          <w:szCs w:val="32"/>
          <w:shd w:val="clear" w:color="auto" w:fill="ffffff"/>
          <w:lang w:val="en-US" w:eastAsia="zh-CN"/>
        </w:rPr>
        <w:t>2019年度收、支总计</w:t>
      </w:r>
      <w:r>
        <w:rPr>
          <w:rFonts w:ascii="仿宋_GB2312" w:cs="仿宋_GB2312" w:eastAsia="仿宋_GB2312" w:hAnsi="仿宋_GB2312" w:hint="eastAsia"/>
          <w:kern w:val="0"/>
          <w:sz w:val="32"/>
          <w:szCs w:val="32"/>
          <w:shd w:val="clear" w:color="auto" w:fill="ffffff"/>
          <w:lang w:val="en-US" w:eastAsia="zh-CN"/>
        </w:rPr>
        <w:t>2,578.05</w:t>
      </w:r>
      <w:r>
        <w:rPr>
          <w:rFonts w:ascii="仿宋_GB2312" w:cs="仿宋_GB2312" w:eastAsia="仿宋_GB2312" w:hAnsi="ˎ̥" w:hint="eastAsia"/>
          <w:kern w:val="0"/>
          <w:sz w:val="32"/>
          <w:szCs w:val="32"/>
          <w:shd w:val="clear" w:color="auto" w:fill="ffffff"/>
          <w:lang w:val="en-US" w:eastAsia="zh-CN"/>
        </w:rPr>
        <w:t>万元，与2018年度相比，收入、支出总计各增加1599.24万元，增长163%。主要原因：项目增多，支出增加。用事业基金弥补收支差额</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万元，较2018年度决算数增加0万元。年初结转结余</w:t>
      </w:r>
      <w:r>
        <w:rPr>
          <w:rFonts w:ascii="仿宋_GB2312" w:cs="仿宋_GB2312" w:eastAsia="仿宋_GB2312" w:hAnsi="仿宋_GB2312" w:hint="eastAsia"/>
          <w:kern w:val="0"/>
          <w:sz w:val="32"/>
          <w:szCs w:val="32"/>
          <w:shd w:val="clear" w:color="auto" w:fill="ffffff"/>
          <w:lang w:val="en-US" w:eastAsia="zh-CN"/>
        </w:rPr>
        <w:t>16.75</w:t>
      </w:r>
      <w:r>
        <w:rPr>
          <w:rFonts w:ascii="仿宋_GB2312" w:cs="仿宋_GB2312" w:eastAsia="仿宋_GB2312" w:hAnsi="ˎ̥" w:hint="eastAsia"/>
          <w:kern w:val="0"/>
          <w:sz w:val="32"/>
          <w:szCs w:val="32"/>
          <w:shd w:val="clear" w:color="auto" w:fill="ffffff"/>
          <w:lang w:val="en-US" w:eastAsia="zh-CN"/>
        </w:rPr>
        <w:t>万元，主要原因是健身气功经费等项目的结余，较2018年度决算数减少18.50万元，下降52%，主要原因是2018年支出了部分结余。结余分配0万元，较2018年度决算数增加0万元，增长0%。年末结转结余</w:t>
      </w:r>
      <w:r>
        <w:rPr>
          <w:rFonts w:ascii="仿宋_GB2312" w:cs="仿宋_GB2312" w:eastAsia="仿宋_GB2312" w:hAnsi="仿宋_GB2312" w:hint="eastAsia"/>
          <w:kern w:val="0"/>
          <w:sz w:val="32"/>
          <w:szCs w:val="32"/>
          <w:shd w:val="clear" w:color="auto" w:fill="ffffff"/>
          <w:lang w:val="en-US" w:eastAsia="zh-CN"/>
        </w:rPr>
        <w:t>15.96</w:t>
      </w:r>
      <w:r>
        <w:rPr>
          <w:rFonts w:ascii="仿宋_GB2312" w:cs="仿宋_GB2312" w:eastAsia="仿宋_GB2312" w:hAnsi="ˎ̥" w:hint="eastAsia"/>
          <w:kern w:val="0"/>
          <w:sz w:val="32"/>
          <w:szCs w:val="32"/>
          <w:shd w:val="clear" w:color="auto" w:fill="ffffff"/>
          <w:lang w:val="en-US" w:eastAsia="zh-CN"/>
        </w:rPr>
        <w:t>万元，主要是十九大维稳安保补助经费等项目的结余，较2018年度决算数减少0.79万元，下降4.7%，主要原因是2019年支出了部分结余。</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二、收入决算情况说明</w:t>
      </w:r>
      <w:r>
        <w:rPr>
          <w:rFonts w:ascii="宋体" w:cs="宋体" w:eastAsia="宋体" w:hAnsi="宋体" w:hint="eastAsia"/>
          <w:kern w:val="0"/>
          <w:sz w:val="24"/>
          <w:szCs w:val="24"/>
          <w:shd w:val="clear" w:color="auto" w:fill="ffffff"/>
          <w:lang w:val="en-US" w:eastAsia="zh-CN"/>
        </w:rPr>
        <w:br/>
      </w:r>
      <w:r>
        <w:rPr>
          <w:rFonts w:ascii="仿宋_GB2312" w:cs="仿宋_GB2312" w:eastAsia="仿宋_GB2312" w:hAnsi="ˎ̥" w:hint="eastAsia"/>
          <w:kern w:val="0"/>
          <w:sz w:val="32"/>
          <w:szCs w:val="32"/>
          <w:shd w:val="clear" w:color="auto" w:fill="ffffff"/>
          <w:lang w:val="en-US" w:eastAsia="zh-CN"/>
        </w:rPr>
        <w:t xml:space="preserve">    本年收入合计</w:t>
      </w:r>
      <w:r>
        <w:rPr>
          <w:rFonts w:ascii="仿宋_GB2312" w:cs="仿宋_GB2312" w:eastAsia="仿宋_GB2312" w:hAnsi="仿宋_GB2312" w:hint="eastAsia"/>
          <w:kern w:val="0"/>
          <w:sz w:val="32"/>
          <w:szCs w:val="32"/>
          <w:shd w:val="clear" w:color="auto" w:fill="ffffff"/>
          <w:lang w:val="en-US" w:eastAsia="zh-CN"/>
        </w:rPr>
        <w:t>2,561.30</w:t>
      </w:r>
      <w:r>
        <w:rPr>
          <w:rFonts w:ascii="仿宋_GB2312" w:cs="仿宋_GB2312" w:eastAsia="仿宋_GB2312" w:hAnsi="ˎ̥" w:hint="eastAsia"/>
          <w:kern w:val="0"/>
          <w:sz w:val="32"/>
          <w:szCs w:val="32"/>
          <w:shd w:val="clear" w:color="auto" w:fill="ffffff"/>
          <w:lang w:val="en-US" w:eastAsia="zh-CN"/>
        </w:rPr>
        <w:t>万元，其中：财政拨款收入</w:t>
      </w:r>
      <w:r>
        <w:rPr>
          <w:rFonts w:ascii="仿宋_GB2312" w:cs="仿宋_GB2312" w:eastAsia="仿宋_GB2312" w:hAnsi="仿宋_GB2312" w:hint="eastAsia"/>
          <w:kern w:val="0"/>
          <w:sz w:val="32"/>
          <w:szCs w:val="32"/>
          <w:shd w:val="clear" w:color="auto" w:fill="ffffff"/>
          <w:lang w:val="en-US" w:eastAsia="zh-CN"/>
        </w:rPr>
        <w:t>2,556.23</w:t>
      </w:r>
      <w:r>
        <w:rPr>
          <w:rFonts w:ascii="仿宋_GB2312" w:cs="仿宋_GB2312" w:eastAsia="仿宋_GB2312" w:hAnsi="ˎ̥" w:hint="eastAsia"/>
          <w:kern w:val="0"/>
          <w:sz w:val="32"/>
          <w:szCs w:val="32"/>
          <w:shd w:val="clear" w:color="auto" w:fill="ffffff"/>
          <w:lang w:val="en-US" w:eastAsia="zh-CN"/>
        </w:rPr>
        <w:t>万元，占99.80%；上级补助收入</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万元，占0%；事业收入</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万元，占0%；经营收入</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万元，占0%；附属单位上缴收入</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万元，占0%；其他收入</w:t>
      </w:r>
      <w:r>
        <w:rPr>
          <w:rFonts w:ascii="仿宋_GB2312" w:cs="仿宋_GB2312" w:eastAsia="仿宋_GB2312" w:hAnsi="仿宋_GB2312" w:hint="eastAsia"/>
          <w:kern w:val="0"/>
          <w:sz w:val="32"/>
          <w:szCs w:val="32"/>
          <w:shd w:val="clear" w:color="auto" w:fill="ffffff"/>
          <w:lang w:val="en-US" w:eastAsia="zh-CN"/>
        </w:rPr>
        <w:t>5.06</w:t>
      </w:r>
      <w:r>
        <w:rPr>
          <w:rFonts w:ascii="仿宋_GB2312" w:cs="仿宋_GB2312" w:eastAsia="仿宋_GB2312" w:hAnsi="ˎ̥" w:hint="eastAsia"/>
          <w:kern w:val="0"/>
          <w:sz w:val="32"/>
          <w:szCs w:val="32"/>
          <w:shd w:val="clear" w:color="auto" w:fill="ffffff"/>
          <w:lang w:val="en-US" w:eastAsia="zh-CN"/>
        </w:rPr>
        <w:t>万元，占0.20%。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三、支出决算情况说明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本年支出合计</w:t>
      </w:r>
      <w:r>
        <w:rPr>
          <w:rFonts w:ascii="仿宋_GB2312" w:cs="仿宋_GB2312" w:eastAsia="仿宋_GB2312" w:hAnsi="仿宋_GB2312" w:hint="eastAsia"/>
          <w:kern w:val="0"/>
          <w:sz w:val="32"/>
          <w:szCs w:val="32"/>
          <w:shd w:val="clear" w:color="auto" w:fill="ffffff"/>
          <w:lang w:val="en-US" w:eastAsia="zh-CN"/>
        </w:rPr>
        <w:t>2,562.09</w:t>
      </w:r>
      <w:r>
        <w:rPr>
          <w:rFonts w:ascii="仿宋_GB2312" w:cs="仿宋_GB2312" w:eastAsia="仿宋_GB2312" w:hAnsi="ˎ̥" w:hint="eastAsia"/>
          <w:kern w:val="0"/>
          <w:sz w:val="32"/>
          <w:szCs w:val="32"/>
          <w:shd w:val="clear" w:color="auto" w:fill="ffffff"/>
          <w:lang w:val="en-US" w:eastAsia="zh-CN"/>
        </w:rPr>
        <w:t>万元，其中：基本支出</w:t>
      </w:r>
      <w:r>
        <w:rPr>
          <w:rFonts w:ascii="仿宋_GB2312" w:cs="仿宋_GB2312" w:eastAsia="仿宋_GB2312" w:hAnsi="仿宋_GB2312" w:hint="eastAsia"/>
          <w:kern w:val="0"/>
          <w:sz w:val="32"/>
          <w:szCs w:val="32"/>
          <w:shd w:val="clear" w:color="auto" w:fill="ffffff"/>
          <w:lang w:val="en-US" w:eastAsia="zh-CN"/>
        </w:rPr>
        <w:t>233.71</w:t>
      </w:r>
      <w:r>
        <w:rPr>
          <w:rFonts w:ascii="仿宋_GB2312" w:cs="仿宋_GB2312" w:eastAsia="仿宋_GB2312" w:hAnsi="ˎ̥" w:hint="eastAsia"/>
          <w:kern w:val="0"/>
          <w:sz w:val="32"/>
          <w:szCs w:val="32"/>
          <w:shd w:val="clear" w:color="auto" w:fill="ffffff"/>
          <w:lang w:val="en-US" w:eastAsia="zh-CN"/>
        </w:rPr>
        <w:t>万元，占9%；项目支出</w:t>
      </w:r>
      <w:r>
        <w:rPr>
          <w:rFonts w:ascii="仿宋_GB2312" w:cs="仿宋_GB2312" w:eastAsia="仿宋_GB2312" w:hAnsi="仿宋_GB2312" w:hint="eastAsia"/>
          <w:kern w:val="0"/>
          <w:sz w:val="32"/>
          <w:szCs w:val="32"/>
          <w:shd w:val="clear" w:color="auto" w:fill="ffffff"/>
          <w:lang w:val="en-US" w:eastAsia="zh-CN"/>
        </w:rPr>
        <w:t>2,328.38</w:t>
      </w:r>
      <w:r>
        <w:rPr>
          <w:rFonts w:ascii="仿宋_GB2312" w:cs="仿宋_GB2312" w:eastAsia="仿宋_GB2312" w:hAnsi="ˎ̥" w:hint="eastAsia"/>
          <w:kern w:val="0"/>
          <w:sz w:val="32"/>
          <w:szCs w:val="32"/>
          <w:shd w:val="clear" w:color="auto" w:fill="ffffff"/>
          <w:lang w:val="en-US" w:eastAsia="zh-CN"/>
        </w:rPr>
        <w:t>万元，占91%；上缴上级支出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万元，占0%；经营支出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万元，占0%；对附属单位补助支出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四、财政拨款收入支出决算总体情况说明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2019年度财政拨款收入、支出总计</w:t>
      </w:r>
      <w:r>
        <w:rPr>
          <w:rFonts w:ascii="仿宋_GB2312" w:cs="仿宋_GB2312" w:eastAsia="仿宋_GB2312" w:hAnsi="仿宋_GB2312" w:hint="eastAsia"/>
          <w:kern w:val="0"/>
          <w:sz w:val="32"/>
          <w:szCs w:val="32"/>
          <w:shd w:val="clear" w:color="auto" w:fill="ffffff"/>
          <w:lang w:val="en-US" w:eastAsia="zh-CN"/>
        </w:rPr>
        <w:t>2,565.28</w:t>
      </w:r>
      <w:r>
        <w:rPr>
          <w:rFonts w:ascii="仿宋_GB2312" w:cs="仿宋_GB2312" w:eastAsia="仿宋_GB2312" w:hAnsi="ˎ̥" w:hint="eastAsia"/>
          <w:kern w:val="0"/>
          <w:sz w:val="32"/>
          <w:szCs w:val="32"/>
          <w:shd w:val="clear" w:color="auto" w:fill="ffffff"/>
          <w:lang w:val="en-US" w:eastAsia="zh-CN"/>
        </w:rPr>
        <w:t>万元。与2018年度相比，财政拨款收入、支出总计各增加1612.84万元，增长169%。主要原因：</w:t>
      </w:r>
      <w:bookmarkStart w:id="77" w:name="_GoBack"/>
      <w:bookmarkEnd w:id="77"/>
      <w:r>
        <w:rPr>
          <w:rFonts w:ascii="仿宋_GB2312" w:cs="仿宋_GB2312" w:eastAsia="仿宋_GB2312" w:hAnsi="ˎ̥" w:hint="eastAsia"/>
          <w:kern w:val="0"/>
          <w:sz w:val="32"/>
          <w:szCs w:val="32"/>
          <w:shd w:val="clear" w:color="auto" w:fill="ffffff"/>
          <w:lang w:val="en-US" w:eastAsia="zh-CN"/>
        </w:rPr>
        <w:t>项目支出增加。</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财政拨款年初结转结余</w:t>
      </w:r>
      <w:r>
        <w:rPr>
          <w:rFonts w:ascii="仿宋_GB2312" w:cs="仿宋_GB2312" w:eastAsia="仿宋_GB2312" w:hAnsi="仿宋_GB2312" w:hint="eastAsia"/>
          <w:kern w:val="0"/>
          <w:sz w:val="32"/>
          <w:szCs w:val="32"/>
          <w:shd w:val="clear" w:color="auto" w:fill="ffffff"/>
          <w:lang w:val="en-US" w:eastAsia="zh-CN"/>
        </w:rPr>
        <w:t>9.04</w:t>
      </w:r>
      <w:r>
        <w:rPr>
          <w:rFonts w:ascii="仿宋_GB2312" w:cs="仿宋_GB2312" w:eastAsia="仿宋_GB2312" w:hAnsi="ˎ̥" w:hint="eastAsia"/>
          <w:kern w:val="0"/>
          <w:sz w:val="32"/>
          <w:szCs w:val="32"/>
          <w:shd w:val="clear" w:color="auto" w:fill="ffffff"/>
          <w:lang w:val="en-US" w:eastAsia="zh-CN"/>
        </w:rPr>
        <w:t>万元，主要是来源于2018年末结转结余，较2018年度决算数增加0万元，增长0%。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财政拨款年末结转结余</w:t>
      </w:r>
      <w:r>
        <w:rPr>
          <w:rFonts w:ascii="仿宋_GB2312" w:cs="仿宋_GB2312" w:eastAsia="仿宋_GB2312" w:hAnsi="仿宋_GB2312" w:hint="eastAsia"/>
          <w:kern w:val="0"/>
          <w:sz w:val="32"/>
          <w:szCs w:val="32"/>
          <w:shd w:val="clear" w:color="auto" w:fill="ffffff"/>
          <w:lang w:val="en-US" w:eastAsia="zh-CN"/>
        </w:rPr>
        <w:t>9.04</w:t>
      </w:r>
      <w:r>
        <w:rPr>
          <w:rFonts w:ascii="仿宋_GB2312" w:cs="仿宋_GB2312" w:eastAsia="仿宋_GB2312" w:hAnsi="ˎ̥" w:hint="eastAsia"/>
          <w:kern w:val="0"/>
          <w:sz w:val="32"/>
          <w:szCs w:val="32"/>
          <w:shd w:val="clear" w:color="auto" w:fill="ffffff"/>
          <w:lang w:val="en-US" w:eastAsia="zh-CN"/>
        </w:rPr>
        <w:t>万元，主要是来源于2019年年初结转结余，较2018年度年末决算数增加0万元，增长0%。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五、一般公共预算财政拨款支出决算情况说明</w:t>
      </w:r>
    </w:p>
    <w:bookmarkStart w:id="78" w:name="_Toc17398_WPSOffice_Level2"/>
    <w:bookmarkStart w:id="79" w:name="_Toc13694_WPSOffice_Level2"/>
    <w:bookmarkStart w:id="80" w:name="_Toc9989_WPSOffice_Level2"/>
    <w:bookmarkStart w:id="81" w:name="_Toc21737_WPSOffice_Level2"/>
    <w:bookmarkStart w:id="82" w:name="_Toc19665_WPSOffice_Level2"/>
    <w:bookmarkStart w:id="83" w:name="_Toc23005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楷体" w:cs="楷体" w:eastAsia="楷体" w:hAnsi="楷体" w:hint="eastAsia"/>
          <w:sz w:val="32"/>
          <w:szCs w:val="32"/>
          <w:shd w:val="clear" w:color="auto" w:fill="ffffff"/>
          <w:lang w:val="en-US"/>
        </w:rPr>
      </w:pPr>
      <w:r>
        <w:rPr>
          <w:rFonts w:ascii="楷体" w:cs="楷体" w:eastAsia="楷体" w:hAnsi="楷体" w:hint="eastAsia"/>
          <w:kern w:val="0"/>
          <w:sz w:val="32"/>
          <w:szCs w:val="32"/>
          <w:shd w:val="clear" w:color="auto" w:fill="ffffff"/>
          <w:lang w:val="en-US" w:eastAsia="zh-CN"/>
        </w:rPr>
        <w:t>（一）一般公共预算财政拨款支出决算总体情况</w:t>
      </w:r>
      <w:bookmarkEnd w:id="78"/>
      <w:bookmarkEnd w:id="79"/>
      <w:r>
        <w:rPr>
          <w:rFonts w:ascii="楷体" w:cs="楷体" w:eastAsia="楷体" w:hAnsi="楷体" w:hint="eastAsia"/>
          <w:kern w:val="0"/>
          <w:sz w:val="32"/>
          <w:szCs w:val="32"/>
          <w:shd w:val="clear" w:color="auto" w:fill="ffffff"/>
          <w:lang w:val="en-US" w:eastAsia="zh-CN"/>
        </w:rPr>
        <w:t>。</w:t>
      </w:r>
      <w:bookmarkEnd w:id="80"/>
      <w:bookmarkEnd w:id="81"/>
      <w:bookmarkEnd w:id="82"/>
      <w:bookmarkEnd w:id="83"/>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2019年度一般公共预算财政拨款支出</w:t>
      </w:r>
      <w:r>
        <w:rPr>
          <w:rFonts w:ascii="仿宋_GB2312" w:cs="仿宋_GB2312" w:eastAsia="仿宋_GB2312" w:hAnsi="仿宋_GB2312" w:hint="eastAsia"/>
          <w:kern w:val="0"/>
          <w:sz w:val="32"/>
          <w:szCs w:val="32"/>
          <w:shd w:val="clear" w:color="auto" w:fill="ffffff"/>
          <w:lang w:val="en-US" w:eastAsia="zh-CN"/>
        </w:rPr>
        <w:t>2,556.23</w:t>
      </w:r>
      <w:r>
        <w:rPr>
          <w:rFonts w:ascii="仿宋_GB2312" w:cs="仿宋_GB2312" w:eastAsia="仿宋_GB2312" w:hAnsi="ˎ̥" w:hint="eastAsia"/>
          <w:kern w:val="0"/>
          <w:sz w:val="32"/>
          <w:szCs w:val="32"/>
          <w:shd w:val="clear" w:color="auto" w:fill="ffffff"/>
          <w:lang w:val="en-US" w:eastAsia="zh-CN"/>
        </w:rPr>
        <w:t>万元，占本年支出合计的99.77%。与2018年度相比，财政拨款支出增加1612.84万元，增长171%，主要原因是项目支出增加。</w:t>
      </w:r>
    </w:p>
    <w:bookmarkStart w:id="84" w:name="_Toc2711_WPSOffice_Level2"/>
    <w:bookmarkStart w:id="85" w:name="_Toc18793_WPSOffice_Level2"/>
    <w:bookmarkStart w:id="86" w:name="_Toc19075_WPSOffice_Level2"/>
    <w:bookmarkStart w:id="87" w:name="_Toc19535_WPSOffice_Level2"/>
    <w:bookmarkStart w:id="88" w:name="_Toc27767_WPSOffice_Level2"/>
    <w:bookmarkStart w:id="89" w:name="_Toc23864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楷体" w:cs="楷体" w:eastAsia="楷体" w:hAnsi="楷体" w:hint="eastAsia"/>
          <w:sz w:val="32"/>
          <w:szCs w:val="32"/>
          <w:shd w:val="clear" w:color="auto" w:fill="ffffff"/>
          <w:lang w:val="en-US"/>
        </w:rPr>
      </w:pPr>
      <w:r>
        <w:rPr>
          <w:rFonts w:ascii="楷体" w:cs="楷体" w:eastAsia="楷体" w:hAnsi="楷体" w:hint="eastAsia"/>
          <w:kern w:val="0"/>
          <w:sz w:val="32"/>
          <w:szCs w:val="32"/>
          <w:shd w:val="clear" w:color="auto" w:fill="ffffff"/>
          <w:lang w:val="en-US" w:eastAsia="zh-CN"/>
        </w:rPr>
        <w:t>（二）一般公共预算财政拨款支出决算结构情况</w:t>
      </w:r>
      <w:bookmarkEnd w:id="84"/>
      <w:bookmarkEnd w:id="85"/>
      <w:r>
        <w:rPr>
          <w:rFonts w:ascii="楷体" w:cs="楷体" w:eastAsia="楷体" w:hAnsi="楷体" w:hint="eastAsia"/>
          <w:kern w:val="0"/>
          <w:sz w:val="32"/>
          <w:szCs w:val="32"/>
          <w:shd w:val="clear" w:color="auto" w:fill="ffffff"/>
          <w:lang w:val="en-US" w:eastAsia="zh-CN"/>
        </w:rPr>
        <w:t>。</w:t>
      </w:r>
      <w:bookmarkEnd w:id="86"/>
      <w:bookmarkEnd w:id="87"/>
      <w:bookmarkEnd w:id="88"/>
      <w:bookmarkEnd w:id="89"/>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2019年度一般公共预算财政拨款支出</w:t>
      </w:r>
      <w:r>
        <w:rPr>
          <w:rFonts w:ascii="仿宋_GB2312" w:cs="仿宋_GB2312" w:eastAsia="仿宋_GB2312" w:hAnsi="仿宋_GB2312" w:hint="eastAsia"/>
          <w:kern w:val="0"/>
          <w:sz w:val="32"/>
          <w:szCs w:val="32"/>
          <w:shd w:val="clear" w:color="auto" w:fill="ffffff"/>
          <w:lang w:val="en-US" w:eastAsia="zh-CN"/>
        </w:rPr>
        <w:t>2,556.23</w:t>
      </w:r>
      <w:r>
        <w:rPr>
          <w:rFonts w:ascii="仿宋_GB2312" w:cs="仿宋_GB2312" w:eastAsia="仿宋_GB2312" w:hAnsi="ˎ̥" w:hint="eastAsia"/>
          <w:kern w:val="0"/>
          <w:sz w:val="32"/>
          <w:szCs w:val="32"/>
          <w:shd w:val="clear" w:color="auto" w:fill="ffffff"/>
          <w:lang w:val="en-US" w:eastAsia="zh-CN"/>
        </w:rPr>
        <w:t>万元，主要用于以下方面：</w:t>
      </w:r>
      <w:r>
        <w:rPr>
          <w:rFonts w:ascii="仿宋_GB2312" w:cs="仿宋_GB2312" w:eastAsia="仿宋_GB2312" w:hAnsi="ˎ̥" w:hint="eastAsia"/>
          <w:b/>
          <w:bCs w:val="false"/>
          <w:kern w:val="0"/>
          <w:sz w:val="32"/>
          <w:szCs w:val="32"/>
          <w:shd w:val="clear" w:color="auto" w:fill="ffffff"/>
          <w:lang w:val="en-US" w:eastAsia="zh-CN"/>
        </w:rPr>
        <w:t>一般公共服务（类）</w:t>
      </w:r>
      <w:r>
        <w:rPr>
          <w:rFonts w:ascii="仿宋_GB2312" w:cs="仿宋_GB2312" w:eastAsia="仿宋_GB2312" w:hAnsi="ˎ̥" w:hint="eastAsia"/>
          <w:kern w:val="0"/>
          <w:sz w:val="32"/>
          <w:szCs w:val="32"/>
          <w:shd w:val="clear" w:color="auto" w:fill="ffffff"/>
          <w:lang w:val="en-US" w:eastAsia="zh-CN"/>
        </w:rPr>
        <w:t>支出2494.91万元，占97.60%；</w:t>
      </w:r>
      <w:r>
        <w:rPr>
          <w:rFonts w:ascii="仿宋_GB2312" w:cs="仿宋_GB2312" w:eastAsia="仿宋_GB2312" w:hAnsi="ˎ̥" w:hint="eastAsia"/>
          <w:b/>
          <w:bCs w:val="false"/>
          <w:kern w:val="0"/>
          <w:sz w:val="32"/>
          <w:szCs w:val="32"/>
          <w:shd w:val="clear" w:color="auto" w:fill="ffffff"/>
          <w:lang w:val="en-US" w:eastAsia="zh-CN"/>
        </w:rPr>
        <w:t>社会保障和就业（类）</w:t>
      </w:r>
      <w:r>
        <w:rPr>
          <w:rFonts w:ascii="仿宋_GB2312" w:cs="仿宋_GB2312" w:eastAsia="仿宋_GB2312" w:hAnsi="ˎ̥" w:hint="eastAsia"/>
          <w:kern w:val="0"/>
          <w:sz w:val="32"/>
          <w:szCs w:val="32"/>
          <w:shd w:val="clear" w:color="auto" w:fill="ffffff"/>
          <w:lang w:val="en-US" w:eastAsia="zh-CN"/>
        </w:rPr>
        <w:t>支出19.19万元，占0.75%；</w:t>
      </w:r>
      <w:r>
        <w:rPr>
          <w:rFonts w:ascii="仿宋_GB2312" w:cs="仿宋_GB2312" w:eastAsia="仿宋_GB2312" w:hAnsi="ˎ̥" w:hint="eastAsia"/>
          <w:b/>
          <w:kern w:val="0"/>
          <w:sz w:val="32"/>
          <w:szCs w:val="32"/>
          <w:shd w:val="clear" w:color="auto" w:fill="ffffff"/>
          <w:lang w:val="en-US" w:eastAsia="zh-CN"/>
        </w:rPr>
        <w:t>卫生健康支出（类）</w:t>
      </w:r>
      <w:r>
        <w:rPr>
          <w:rFonts w:ascii="仿宋_GB2312" w:cs="仿宋_GB2312" w:eastAsia="仿宋_GB2312" w:hAnsi="ˎ̥" w:hint="eastAsia"/>
          <w:kern w:val="0"/>
          <w:sz w:val="32"/>
          <w:szCs w:val="32"/>
          <w:shd w:val="clear" w:color="auto" w:fill="ffffff"/>
          <w:lang w:val="en-US" w:eastAsia="zh-CN"/>
        </w:rPr>
        <w:t>支出23.69万元，占0.93%；</w:t>
      </w:r>
      <w:r>
        <w:rPr>
          <w:rFonts w:ascii="仿宋_GB2312" w:cs="仿宋_GB2312" w:eastAsia="仿宋_GB2312" w:hAnsi="ˎ̥" w:hint="eastAsia"/>
          <w:b/>
          <w:kern w:val="0"/>
          <w:sz w:val="32"/>
          <w:szCs w:val="32"/>
          <w:shd w:val="clear" w:color="auto" w:fill="ffffff"/>
          <w:lang w:val="en-US" w:eastAsia="zh-CN"/>
        </w:rPr>
        <w:t>住房保障（类）</w:t>
      </w:r>
      <w:r>
        <w:rPr>
          <w:rFonts w:ascii="仿宋_GB2312" w:cs="仿宋_GB2312" w:eastAsia="仿宋_GB2312" w:hAnsi="ˎ̥" w:hint="eastAsia"/>
          <w:kern w:val="0"/>
          <w:sz w:val="32"/>
          <w:szCs w:val="32"/>
          <w:shd w:val="clear" w:color="auto" w:fill="ffffff"/>
          <w:lang w:val="en-US" w:eastAsia="zh-CN"/>
        </w:rPr>
        <w:t>支出16.65万元，占0.61%。</w:t>
      </w:r>
    </w:p>
    <w:bookmarkStart w:id="90" w:name="_Toc9502_WPSOffice_Level2"/>
    <w:bookmarkStart w:id="91" w:name="_Toc22318_WPSOffice_Level2"/>
    <w:bookmarkStart w:id="92" w:name="_Toc21701_WPSOffice_Level2"/>
    <w:bookmarkStart w:id="93" w:name="_Toc25136_WPSOffice_Level2"/>
    <w:bookmarkStart w:id="94" w:name="_Toc15415_WPSOffice_Level2"/>
    <w:bookmarkStart w:id="95" w:name="_Toc29364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楷体" w:cs="楷体" w:eastAsia="楷体" w:hAnsi="楷体" w:hint="eastAsia"/>
          <w:sz w:val="32"/>
          <w:szCs w:val="32"/>
          <w:shd w:val="clear" w:color="auto" w:fill="ffffff"/>
          <w:lang w:val="en-US"/>
        </w:rPr>
      </w:pPr>
      <w:r>
        <w:rPr>
          <w:rFonts w:ascii="楷体" w:cs="楷体" w:eastAsia="楷体" w:hAnsi="楷体" w:hint="eastAsia"/>
          <w:kern w:val="0"/>
          <w:sz w:val="32"/>
          <w:szCs w:val="32"/>
          <w:shd w:val="clear" w:color="auto" w:fill="ffffff"/>
          <w:lang w:val="en-US" w:eastAsia="zh-CN"/>
        </w:rPr>
        <w:t>（三）一般公共预算财政拨款支出决算具体情况。</w:t>
      </w:r>
      <w:bookmarkEnd w:id="90"/>
      <w:bookmarkEnd w:id="91"/>
      <w:bookmarkEnd w:id="92"/>
      <w:bookmarkEnd w:id="93"/>
      <w:bookmarkEnd w:id="94"/>
      <w:bookmarkEnd w:id="95"/>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2019年度财政拨款支出年初预算为1028.68万元，支出决算为</w:t>
      </w:r>
      <w:r>
        <w:rPr>
          <w:rFonts w:ascii="仿宋_GB2312" w:cs="仿宋_GB2312" w:eastAsia="仿宋_GB2312" w:hAnsi="仿宋_GB2312" w:hint="eastAsia"/>
          <w:kern w:val="0"/>
          <w:sz w:val="32"/>
          <w:szCs w:val="32"/>
          <w:shd w:val="clear" w:color="auto" w:fill="ffffff"/>
          <w:lang w:val="en-US" w:eastAsia="zh-CN"/>
        </w:rPr>
        <w:t>2,556.23</w:t>
      </w:r>
      <w:r>
        <w:rPr>
          <w:rFonts w:ascii="仿宋_GB2312" w:cs="仿宋_GB2312" w:eastAsia="仿宋_GB2312" w:hAnsi="ˎ̥" w:hint="eastAsia"/>
          <w:kern w:val="0"/>
          <w:sz w:val="32"/>
          <w:szCs w:val="32"/>
          <w:shd w:val="clear" w:color="auto" w:fill="ffffff"/>
          <w:lang w:val="en-US" w:eastAsia="zh-CN"/>
        </w:rPr>
        <w:t>万元，完成年初预算的249%。其中：</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b/>
          <w:bCs w:val="false"/>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1.</w:t>
      </w:r>
      <w:r>
        <w:rPr>
          <w:rFonts w:ascii="仿宋_GB2312" w:cs="仿宋_GB2312" w:eastAsia="仿宋_GB2312" w:hAnsi="ˎ̥" w:hint="eastAsia"/>
          <w:b/>
          <w:bCs w:val="false"/>
          <w:kern w:val="0"/>
          <w:sz w:val="32"/>
          <w:szCs w:val="32"/>
          <w:shd w:val="clear" w:color="auto" w:fill="ffffff"/>
          <w:lang w:val="en-US" w:eastAsia="zh-CN"/>
        </w:rPr>
        <w:t>一般公共服务（类）。</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年初预算为965.89万元，支出决算为2494.91万元，完成年初预算的100%。决算数大于预算数的主要原因：雪亮工程项目支出大。</w:t>
      </w:r>
    </w:p>
    <w:p>
      <w:pPr>
        <w:pStyle w:val="style0"/>
        <w:keepNext w:val="false"/>
        <w:keepLines w:val="false"/>
        <w:widowControl/>
        <w:numPr>
          <w:ilvl w:val="0"/>
          <w:numId w:val="2"/>
        </w:numPr>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kern w:val="0"/>
          <w:sz w:val="32"/>
          <w:szCs w:val="32"/>
          <w:shd w:val="clear" w:color="auto" w:fill="ffffff"/>
          <w:lang w:val="en-US" w:eastAsia="zh-CN"/>
        </w:rPr>
      </w:pPr>
      <w:r>
        <w:rPr>
          <w:rFonts w:ascii="仿宋_GB2312" w:cs="仿宋_GB2312" w:eastAsia="仿宋_GB2312" w:hAnsi="ˎ̥" w:hint="eastAsia"/>
          <w:b/>
          <w:bCs w:val="false"/>
          <w:kern w:val="0"/>
          <w:sz w:val="32"/>
          <w:szCs w:val="32"/>
          <w:shd w:val="clear" w:color="auto" w:fill="ffffff"/>
          <w:lang w:val="en-US" w:eastAsia="zh-CN"/>
        </w:rPr>
        <w:t>社会保障和就业（类）</w:t>
      </w:r>
    </w:p>
    <w:p>
      <w:pPr>
        <w:pStyle w:val="style0"/>
        <w:keepNext w:val="false"/>
        <w:keepLines w:val="false"/>
        <w:widowControl/>
        <w:numPr>
          <w:ilvl w:val="0"/>
          <w:numId w:val="0"/>
        </w:numPr>
        <w:suppressLineNumbers w:val="false"/>
        <w:shd w:val="clear" w:color="auto" w:fill="ffffff"/>
        <w:snapToGrid w:val="false"/>
        <w:spacing w:before="0" w:beforeAutospacing="true" w:after="0" w:afterAutospacing="true"/>
        <w:ind w:leftChars="200" w:right="0" w:rightChars="0" w:firstLine="320" w:firstLineChars="100"/>
        <w:jc w:val="left"/>
        <w:rPr>
          <w:rFonts w:ascii="仿宋_GB2312" w:cs="仿宋_GB2312" w:eastAsia="仿宋_GB2312" w:hAnsi="ˎ̥" w:hint="eastAsia"/>
          <w:kern w:val="0"/>
          <w:sz w:val="32"/>
          <w:szCs w:val="32"/>
          <w:shd w:val="clear" w:color="auto" w:fill="ffffff"/>
          <w:lang w:val="en-US" w:eastAsia="zh-CN"/>
        </w:rPr>
      </w:pPr>
      <w:r>
        <w:rPr>
          <w:rFonts w:ascii="仿宋_GB2312" w:cs="仿宋_GB2312" w:eastAsia="仿宋_GB2312" w:hAnsi="ˎ̥" w:hint="eastAsia"/>
          <w:kern w:val="0"/>
          <w:sz w:val="32"/>
          <w:szCs w:val="32"/>
          <w:shd w:val="clear" w:color="auto" w:fill="ffffff"/>
          <w:lang w:val="en-US" w:eastAsia="zh-CN"/>
        </w:rPr>
        <w:t>年初预算为23.61万元，支出决算为19.19万元，完成年初预算的81%。决算数小于预算数的主要原因：由于人员调出，社保缴纳额减少。</w:t>
      </w:r>
    </w:p>
    <w:p>
      <w:pPr>
        <w:pStyle w:val="style0"/>
        <w:keepNext w:val="false"/>
        <w:keepLines w:val="false"/>
        <w:widowControl/>
        <w:numPr>
          <w:ilvl w:val="0"/>
          <w:numId w:val="2"/>
        </w:numPr>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kern w:val="0"/>
          <w:sz w:val="32"/>
          <w:szCs w:val="32"/>
          <w:shd w:val="clear" w:color="auto" w:fill="ffffff"/>
          <w:lang w:val="en-US" w:eastAsia="zh-CN"/>
        </w:rPr>
      </w:pPr>
      <w:r>
        <w:rPr>
          <w:rFonts w:ascii="仿宋_GB2312" w:cs="仿宋_GB2312" w:eastAsia="仿宋_GB2312" w:hAnsi="ˎ̥" w:hint="eastAsia"/>
          <w:b/>
          <w:kern w:val="0"/>
          <w:sz w:val="32"/>
          <w:szCs w:val="32"/>
          <w:shd w:val="clear" w:color="auto" w:fill="ffffff"/>
          <w:lang w:val="en-US" w:eastAsia="zh-CN"/>
        </w:rPr>
        <w:t>卫生健康支出（类）</w:t>
      </w:r>
    </w:p>
    <w:p>
      <w:pPr>
        <w:pStyle w:val="style0"/>
        <w:keepNext w:val="false"/>
        <w:keepLines w:val="false"/>
        <w:widowControl/>
        <w:numPr>
          <w:ilvl w:val="0"/>
          <w:numId w:val="0"/>
        </w:numPr>
        <w:suppressLineNumbers w:val="false"/>
        <w:shd w:val="clear" w:color="auto" w:fill="ffffff"/>
        <w:snapToGrid w:val="false"/>
        <w:spacing w:before="0" w:beforeAutospacing="true" w:after="0" w:afterAutospacing="true"/>
        <w:ind w:leftChars="200" w:right="0" w:rightChars="0" w:firstLine="320" w:firstLineChars="100"/>
        <w:jc w:val="left"/>
        <w:rPr>
          <w:rFonts w:ascii="仿宋_GB2312" w:cs="仿宋_GB2312" w:eastAsia="仿宋_GB2312" w:hAnsi="ˎ̥" w:hint="eastAsia"/>
          <w:kern w:val="0"/>
          <w:sz w:val="32"/>
          <w:szCs w:val="32"/>
          <w:shd w:val="clear" w:color="auto" w:fill="ffffff"/>
          <w:lang w:val="en-US" w:eastAsia="zh-CN"/>
        </w:rPr>
      </w:pPr>
      <w:r>
        <w:rPr>
          <w:rFonts w:ascii="仿宋_GB2312" w:cs="仿宋_GB2312" w:eastAsia="仿宋_GB2312" w:hAnsi="ˎ̥" w:hint="eastAsia"/>
          <w:kern w:val="0"/>
          <w:sz w:val="32"/>
          <w:szCs w:val="32"/>
          <w:shd w:val="clear" w:color="auto" w:fill="ffffff"/>
          <w:lang w:val="en-US" w:eastAsia="zh-CN"/>
        </w:rPr>
        <w:t>年初预算为24.50万元，支出决算为23.69万元，完成年初预算的96.70%。决算数小于预算数的主要原因：由于人员调出，医疗保险缴纳额减少。</w:t>
      </w:r>
    </w:p>
    <w:p>
      <w:pPr>
        <w:pStyle w:val="style0"/>
        <w:keepNext w:val="false"/>
        <w:keepLines w:val="false"/>
        <w:widowControl/>
        <w:numPr>
          <w:ilvl w:val="0"/>
          <w:numId w:val="2"/>
        </w:numPr>
        <w:suppressLineNumbers w:val="false"/>
        <w:shd w:val="clear" w:color="auto" w:fill="ffffff"/>
        <w:snapToGrid w:val="false"/>
        <w:spacing w:before="0" w:beforeAutospacing="true" w:after="0" w:afterAutospacing="true"/>
        <w:ind w:left="0" w:leftChars="0" w:right="0" w:rightChars="0" w:firstLine="643" w:firstLineChars="200"/>
        <w:jc w:val="left"/>
        <w:rPr>
          <w:rFonts w:ascii="仿宋_GB2312" w:cs="仿宋_GB2312" w:eastAsia="仿宋_GB2312" w:hAnsi="ˎ̥" w:hint="eastAsia"/>
          <w:b/>
          <w:kern w:val="0"/>
          <w:sz w:val="32"/>
          <w:szCs w:val="32"/>
          <w:shd w:val="clear" w:color="auto" w:fill="ffffff"/>
          <w:lang w:val="en-US" w:eastAsia="zh-CN"/>
        </w:rPr>
      </w:pPr>
      <w:r>
        <w:rPr>
          <w:rFonts w:ascii="仿宋_GB2312" w:cs="仿宋_GB2312" w:eastAsia="仿宋_GB2312" w:hAnsi="ˎ̥" w:hint="eastAsia"/>
          <w:b/>
          <w:kern w:val="0"/>
          <w:sz w:val="32"/>
          <w:szCs w:val="32"/>
          <w:shd w:val="clear" w:color="auto" w:fill="ffffff"/>
          <w:lang w:val="en-US" w:eastAsia="zh-CN"/>
        </w:rPr>
        <w:t>住房保障（类）</w:t>
      </w:r>
    </w:p>
    <w:p>
      <w:pPr>
        <w:pStyle w:val="style0"/>
        <w:keepNext w:val="false"/>
        <w:keepLines w:val="false"/>
        <w:widowControl/>
        <w:numPr>
          <w:ilvl w:val="0"/>
          <w:numId w:val="0"/>
        </w:numPr>
        <w:suppressLineNumbers w:val="false"/>
        <w:shd w:val="clear" w:color="auto" w:fill="ffffff"/>
        <w:snapToGrid w:val="false"/>
        <w:spacing w:before="0" w:beforeAutospacing="true" w:after="0" w:afterAutospacing="true"/>
        <w:ind w:leftChars="200" w:right="0" w:rightChars="0" w:firstLine="320" w:firstLineChars="100"/>
        <w:jc w:val="left"/>
        <w:rPr>
          <w:rFonts w:ascii="仿宋_GB2312" w:cs="仿宋_GB2312" w:eastAsia="仿宋_GB2312" w:hAnsi="ˎ̥" w:hint="default"/>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年初预算为14.68万元,支出决算为16.65万元,完成年初预算的100%。决算数大于预算数的主要原因：人员工资增加，公积金缴纳额增加。</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b/>
          <w:bCs w:val="false"/>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黑体" w:cs="黑体" w:eastAsia="黑体" w:hAnsi="宋体" w:hint="eastAsia"/>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六、一般公共预算财政拨款基本支出决算情况说明。</w:t>
      </w:r>
    </w:p>
    <w:p>
      <w:pPr>
        <w:pStyle w:val="style0"/>
        <w:keepNext w:val="false"/>
        <w:keepLines w:val="false"/>
        <w:widowControl/>
        <w:suppressLineNumbers w:val="false"/>
        <w:shd w:val="clear" w:color="auto" w:fill="ffffff"/>
        <w:tabs>
          <w:tab w:val="center" w:leader="none" w:pos="4473"/>
        </w:tabs>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2019年度财政拨款基本支出</w:t>
      </w:r>
      <w:r>
        <w:rPr>
          <w:rFonts w:ascii="仿宋_GB2312" w:cs="仿宋_GB2312" w:eastAsia="仿宋_GB2312" w:hAnsi="仿宋_GB2312" w:hint="eastAsia"/>
          <w:kern w:val="0"/>
          <w:sz w:val="32"/>
          <w:szCs w:val="32"/>
          <w:shd w:val="clear" w:color="auto" w:fill="ffffff"/>
          <w:lang w:val="en-US" w:eastAsia="zh-CN"/>
        </w:rPr>
        <w:t>233.64</w:t>
      </w:r>
      <w:r>
        <w:rPr>
          <w:rFonts w:ascii="仿宋_GB2312" w:cs="仿宋_GB2312" w:eastAsia="仿宋_GB2312" w:hAnsi="ˎ̥" w:hint="eastAsia"/>
          <w:kern w:val="0"/>
          <w:sz w:val="32"/>
          <w:szCs w:val="32"/>
          <w:shd w:val="clear" w:color="auto" w:fill="ffffff"/>
          <w:lang w:val="en-US" w:eastAsia="zh-CN"/>
        </w:rPr>
        <w:t>万元，其中：人员经费</w:t>
      </w:r>
      <w:r>
        <w:rPr>
          <w:rFonts w:ascii="仿宋_GB2312" w:cs="仿宋_GB2312" w:eastAsia="仿宋_GB2312" w:hAnsi="仿宋_GB2312" w:hint="eastAsia"/>
          <w:kern w:val="0"/>
          <w:sz w:val="32"/>
          <w:szCs w:val="32"/>
          <w:shd w:val="clear" w:color="auto" w:fill="ffffff"/>
          <w:lang w:val="en-US" w:eastAsia="zh-CN"/>
        </w:rPr>
        <w:t>206.57</w:t>
      </w:r>
      <w:r>
        <w:rPr>
          <w:rFonts w:ascii="仿宋_GB2312" w:cs="仿宋_GB2312" w:eastAsia="仿宋_GB2312" w:hAnsi="ˎ̥" w:hint="eastAsia"/>
          <w:kern w:val="0"/>
          <w:sz w:val="32"/>
          <w:szCs w:val="32"/>
          <w:shd w:val="clear" w:color="auto" w:fill="ffffff"/>
          <w:lang w:val="en-US" w:eastAsia="zh-CN"/>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Pr>
          <w:rFonts w:ascii="仿宋_GB2312" w:cs="仿宋_GB2312" w:eastAsia="仿宋_GB2312" w:hAnsi="仿宋_GB2312" w:hint="eastAsia"/>
          <w:kern w:val="0"/>
          <w:sz w:val="32"/>
          <w:szCs w:val="32"/>
          <w:shd w:val="clear" w:color="auto" w:fill="ffffff"/>
          <w:lang w:val="en-US" w:eastAsia="zh-CN"/>
        </w:rPr>
        <w:t>27.07</w:t>
      </w:r>
      <w:r>
        <w:rPr>
          <w:rFonts w:ascii="仿宋_GB2312" w:cs="仿宋_GB2312" w:eastAsia="仿宋_GB2312" w:hAnsi="ˎ̥" w:hint="eastAsia"/>
          <w:kern w:val="0"/>
          <w:sz w:val="32"/>
          <w:szCs w:val="32"/>
          <w:shd w:val="clear" w:color="auto" w:fill="ffffff"/>
          <w:lang w:val="en-US" w:eastAsia="zh-CN"/>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pPr>
        <w:pStyle w:val="style0"/>
        <w:keepNext w:val="false"/>
        <w:keepLines w:val="false"/>
        <w:widowControl/>
        <w:suppressLineNumbers w:val="false"/>
        <w:shd w:val="clear" w:color="auto" w:fill="ffffff"/>
        <w:tabs>
          <w:tab w:val="center" w:leader="none" w:pos="4473"/>
        </w:tabs>
        <w:snapToGrid w:val="false"/>
        <w:spacing w:before="0" w:beforeAutospacing="true" w:after="0" w:afterAutospacing="true"/>
        <w:ind w:left="0" w:right="0" w:firstLine="627" w:firstLineChars="196"/>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七、政府性基金预算财政拨款收入支出决算情况说明</w:t>
      </w:r>
    </w:p>
    <w:p>
      <w:pPr>
        <w:pStyle w:val="style0"/>
        <w:keepNext w:val="false"/>
        <w:keepLines w:val="false"/>
        <w:widowControl/>
        <w:suppressLineNumbers w:val="false"/>
        <w:shd w:val="clear" w:color="auto" w:fill="ffffff"/>
        <w:tabs>
          <w:tab w:val="center" w:leader="none" w:pos="4473"/>
        </w:tabs>
        <w:snapToGrid w:val="false"/>
        <w:spacing w:before="0" w:beforeAutospacing="true" w:after="0" w:afterAutospacing="true"/>
        <w:ind w:left="0" w:right="0" w:firstLine="640" w:firstLineChars="200"/>
        <w:jc w:val="left"/>
        <w:rPr>
          <w:rFonts w:ascii="仿宋_GB2312" w:cs="仿宋_GB2312" w:eastAsia="仿宋_GB2312" w:hAnsi="ˎ̥" w:hint="eastAsia"/>
          <w:kern w:val="0"/>
          <w:sz w:val="32"/>
          <w:szCs w:val="32"/>
          <w:shd w:val="clear" w:color="auto" w:fill="ffffff"/>
          <w:lang w:val="en-US" w:eastAsia="zh-CN"/>
        </w:rPr>
      </w:pPr>
      <w:r>
        <w:rPr>
          <w:rFonts w:ascii="仿宋_GB2312" w:cs="仿宋_GB2312" w:eastAsia="仿宋_GB2312" w:hAnsi="ˎ̥" w:hint="eastAsia"/>
          <w:kern w:val="0"/>
          <w:sz w:val="32"/>
          <w:szCs w:val="32"/>
          <w:shd w:val="clear" w:color="auto" w:fill="ffffff"/>
          <w:lang w:val="en-US" w:eastAsia="zh-CN"/>
        </w:rPr>
        <w:t>（一）2019年度政府性基金预算财政拨款收入</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万元，较2018年度增加0万元，增长0%。</w:t>
      </w:r>
    </w:p>
    <w:p>
      <w:pPr>
        <w:pStyle w:val="style0"/>
        <w:keepNext w:val="false"/>
        <w:keepLines w:val="false"/>
        <w:widowControl/>
        <w:suppressLineNumbers w:val="false"/>
        <w:shd w:val="clear" w:color="auto" w:fill="ffffff"/>
        <w:tabs>
          <w:tab w:val="center" w:leader="none" w:pos="4473"/>
        </w:tabs>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（二）2019年度政府性基金预算财政拨款支出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万元，较2018年度增加0万元，增长0%。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（三）2019年度政府性基金预算财政拨款支出年初预算为0万元，支出决算为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万元，完成年初预算的0%。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仿宋_GB2312" w:cs="仿宋_GB2312" w:eastAsia="楷体_GB2312" w:hAnsi="ˎ̥" w:hint="eastAsia"/>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八、一般公共预算财政拨款“三公”经费支出决算情况说明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楷体" w:cs="楷体" w:eastAsia="楷体" w:hAnsi="楷体" w:hint="eastAsia"/>
          <w:sz w:val="32"/>
          <w:szCs w:val="32"/>
          <w:shd w:val="clear" w:color="auto" w:fill="ffffff"/>
          <w:lang w:val="en-US"/>
        </w:rPr>
      </w:pPr>
      <w:r>
        <w:rPr>
          <w:rFonts w:ascii="楷体" w:cs="楷体" w:eastAsia="楷体" w:hAnsi="楷体" w:hint="eastAsia"/>
          <w:b/>
          <w:bCs w:val="false"/>
          <w:kern w:val="0"/>
          <w:sz w:val="32"/>
          <w:szCs w:val="32"/>
          <w:shd w:val="clear" w:color="auto" w:fill="ffffff"/>
          <w:lang w:val="en-US" w:eastAsia="zh-CN"/>
        </w:rPr>
        <w:t>（一）一般公共预算财政拨款“三公”经费支出决算总体情况说明。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 xml:space="preserve">    2019年度一般公共预算财政拨款“三公”经费支出预算为9万元，支出决算为</w:t>
      </w:r>
      <w:r>
        <w:rPr>
          <w:rFonts w:ascii="仿宋_GB2312" w:cs="仿宋_GB2312" w:eastAsia="仿宋_GB2312" w:hAnsi="仿宋_GB2312" w:hint="eastAsia"/>
          <w:kern w:val="0"/>
          <w:sz w:val="32"/>
          <w:szCs w:val="32"/>
          <w:shd w:val="clear" w:color="auto" w:fill="ffffff"/>
          <w:lang w:val="en-US" w:eastAsia="zh-CN"/>
        </w:rPr>
        <w:t>2.80</w:t>
      </w:r>
      <w:r>
        <w:rPr>
          <w:rFonts w:ascii="仿宋_GB2312" w:cs="仿宋_GB2312" w:eastAsia="仿宋_GB2312" w:hAnsi="ˎ̥" w:hint="eastAsia"/>
          <w:kern w:val="0"/>
          <w:sz w:val="32"/>
          <w:szCs w:val="32"/>
          <w:shd w:val="clear" w:color="auto" w:fill="ffffff"/>
          <w:lang w:val="en-US" w:eastAsia="zh-CN"/>
        </w:rPr>
        <w:t>万元，完成预算的31%。</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楷体" w:cs="楷体" w:eastAsia="楷体" w:hAnsi="楷体" w:hint="eastAsia"/>
          <w:b/>
          <w:sz w:val="32"/>
          <w:szCs w:val="32"/>
          <w:shd w:val="clear" w:color="auto" w:fill="ffffff"/>
          <w:lang w:val="en-US"/>
        </w:rPr>
      </w:pPr>
      <w:r>
        <w:rPr>
          <w:rFonts w:ascii="楷体" w:cs="楷体" w:eastAsia="楷体" w:hAnsi="楷体" w:hint="eastAsia"/>
          <w:b/>
          <w:kern w:val="0"/>
          <w:sz w:val="32"/>
          <w:szCs w:val="32"/>
          <w:shd w:val="clear" w:color="auto" w:fill="ffffff"/>
          <w:lang w:val="en-US" w:eastAsia="zh-CN"/>
        </w:rPr>
        <w:t xml:space="preserve">    （二）一般公共预算“三公”经费财政拨款支出决算具体情况说明。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2019年度一般公共预算财政拨款“三公”经费支出决算中，因公出国（境）费支出决算</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万元，占0%；公务用车购置及运行费支出决算</w:t>
      </w:r>
      <w:r>
        <w:rPr>
          <w:rFonts w:ascii="仿宋_GB2312" w:cs="仿宋_GB2312" w:eastAsia="仿宋_GB2312" w:hAnsi="仿宋_GB2312" w:hint="eastAsia"/>
          <w:kern w:val="0"/>
          <w:sz w:val="32"/>
          <w:szCs w:val="32"/>
          <w:shd w:val="clear" w:color="auto" w:fill="ffffff"/>
          <w:lang w:val="en-US" w:eastAsia="zh-CN"/>
        </w:rPr>
        <w:t>2.47</w:t>
      </w:r>
      <w:r>
        <w:rPr>
          <w:rFonts w:ascii="仿宋_GB2312" w:cs="仿宋_GB2312" w:eastAsia="仿宋_GB2312" w:hAnsi="ˎ̥" w:hint="eastAsia"/>
          <w:kern w:val="0"/>
          <w:sz w:val="32"/>
          <w:szCs w:val="32"/>
          <w:shd w:val="clear" w:color="auto" w:fill="ffffff"/>
          <w:lang w:val="en-US" w:eastAsia="zh-CN"/>
        </w:rPr>
        <w:t>万元，占88%；公务接待费支出决算</w:t>
      </w:r>
      <w:r>
        <w:rPr>
          <w:rFonts w:ascii="仿宋_GB2312" w:cs="仿宋_GB2312" w:eastAsia="仿宋_GB2312" w:hAnsi="仿宋_GB2312" w:hint="eastAsia"/>
          <w:kern w:val="0"/>
          <w:sz w:val="32"/>
          <w:szCs w:val="32"/>
          <w:shd w:val="clear" w:color="auto" w:fill="ffffff"/>
          <w:lang w:val="en-US" w:eastAsia="zh-CN"/>
        </w:rPr>
        <w:t>0.32</w:t>
      </w:r>
      <w:r>
        <w:rPr>
          <w:rFonts w:ascii="仿宋_GB2312" w:cs="仿宋_GB2312" w:eastAsia="仿宋_GB2312" w:hAnsi="ˎ̥" w:hint="eastAsia"/>
          <w:kern w:val="0"/>
          <w:sz w:val="32"/>
          <w:szCs w:val="32"/>
          <w:shd w:val="clear" w:color="auto" w:fill="ffffff"/>
          <w:lang w:val="en-US" w:eastAsia="zh-CN"/>
        </w:rPr>
        <w:t>万元，占12%。具体情况如下：</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1.因公出国（境）费</w:t>
      </w:r>
      <w:r>
        <w:rPr>
          <w:rFonts w:ascii="仿宋_GB2312" w:cs="仿宋_GB2312" w:eastAsia="仿宋_GB2312" w:hAnsi="ˎ̥" w:hint="eastAsia"/>
          <w:kern w:val="0"/>
          <w:sz w:val="32"/>
          <w:szCs w:val="32"/>
          <w:shd w:val="clear" w:color="auto" w:fill="ffffff"/>
          <w:lang w:val="en-US" w:eastAsia="zh-CN"/>
        </w:rPr>
        <w:t>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万元。全年安排因公出国（境）团组0个，因公出国（境）0人次。</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因公出国（境）费支出决算比预算数增加0万元，增长0%。</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 xml:space="preserve">    2.公务用车购置及运行费支出</w:t>
      </w:r>
      <w:r>
        <w:rPr>
          <w:rFonts w:ascii="仿宋_GB2312" w:cs="仿宋_GB2312" w:eastAsia="仿宋_GB2312" w:hAnsi="仿宋_GB2312" w:hint="eastAsia"/>
          <w:kern w:val="0"/>
          <w:sz w:val="32"/>
          <w:szCs w:val="32"/>
          <w:shd w:val="clear" w:color="auto" w:fill="ffffff"/>
          <w:lang w:val="en-US" w:eastAsia="zh-CN"/>
        </w:rPr>
        <w:t>2.47</w:t>
      </w:r>
      <w:r>
        <w:rPr>
          <w:rFonts w:ascii="仿宋_GB2312" w:cs="仿宋_GB2312" w:eastAsia="仿宋_GB2312" w:hAnsi="ˎ̥" w:hint="eastAsia"/>
          <w:kern w:val="0"/>
          <w:sz w:val="32"/>
          <w:szCs w:val="32"/>
          <w:shd w:val="clear" w:color="auto" w:fill="ffffff"/>
          <w:lang w:val="en-US" w:eastAsia="zh-CN"/>
        </w:rPr>
        <w:t>万元。其中：</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公务用车购置支出</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万元，全年购置公务用车0辆，年末公务用车保有量1辆。</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公务用车运行维护费</w:t>
      </w:r>
      <w:r>
        <w:rPr>
          <w:rFonts w:ascii="仿宋_GB2312" w:cs="仿宋_GB2312" w:eastAsia="仿宋_GB2312" w:hAnsi="ˎ̥" w:hint="eastAsia"/>
          <w:kern w:val="0"/>
          <w:sz w:val="32"/>
          <w:szCs w:val="32"/>
          <w:shd w:val="clear" w:color="auto" w:fill="ffffff"/>
          <w:lang w:val="en-US" w:eastAsia="zh-CN"/>
        </w:rPr>
        <w:t>支出</w:t>
      </w:r>
      <w:r>
        <w:rPr>
          <w:rFonts w:ascii="仿宋_GB2312" w:cs="仿宋_GB2312" w:eastAsia="仿宋_GB2312" w:hAnsi="仿宋_GB2312" w:hint="eastAsia"/>
          <w:kern w:val="0"/>
          <w:sz w:val="32"/>
          <w:szCs w:val="32"/>
          <w:shd w:val="clear" w:color="auto" w:fill="ffffff"/>
          <w:lang w:val="en-US" w:eastAsia="zh-CN"/>
        </w:rPr>
        <w:t>2.47</w:t>
      </w:r>
      <w:r>
        <w:rPr>
          <w:rFonts w:ascii="仿宋_GB2312" w:cs="仿宋_GB2312" w:eastAsia="仿宋_GB2312" w:hAnsi="ˎ̥" w:hint="eastAsia"/>
          <w:kern w:val="0"/>
          <w:sz w:val="32"/>
          <w:szCs w:val="32"/>
          <w:shd w:val="clear" w:color="auto" w:fill="ffffff"/>
          <w:lang w:val="en-US" w:eastAsia="zh-CN"/>
        </w:rPr>
        <w:t>万元，主要用于公务用车日常维修和保养。</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bCs/>
          <w:sz w:val="32"/>
          <w:szCs w:val="32"/>
          <w:shd w:val="clear" w:color="auto" w:fill="ffffff"/>
          <w:lang w:val="en-US"/>
        </w:rPr>
      </w:pPr>
      <w:r>
        <w:rPr>
          <w:rFonts w:ascii="仿宋_GB2312" w:cs="仿宋_GB2312" w:eastAsia="仿宋_GB2312" w:hAnsi="ˎ̥" w:hint="eastAsia"/>
          <w:bCs/>
          <w:kern w:val="0"/>
          <w:sz w:val="32"/>
          <w:szCs w:val="32"/>
          <w:shd w:val="clear" w:color="auto" w:fill="ffffff"/>
          <w:lang w:val="en-US" w:eastAsia="zh-CN"/>
        </w:rPr>
        <w:t>公务用车购置及运行费支出决算</w:t>
      </w:r>
      <w:r>
        <w:rPr>
          <w:rFonts w:ascii="仿宋_GB2312" w:cs="仿宋_GB2312" w:eastAsia="仿宋_GB2312" w:hAnsi="ˎ̥" w:hint="eastAsia"/>
          <w:kern w:val="0"/>
          <w:sz w:val="32"/>
          <w:szCs w:val="32"/>
          <w:shd w:val="clear" w:color="auto" w:fill="ffffff"/>
          <w:lang w:val="en-US" w:eastAsia="zh-CN"/>
        </w:rPr>
        <w:t>比预算数减少2.53万元，下降50.60%。主要原因是做预算安排时高估了支出。</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 xml:space="preserve">    3.公务接待费支出</w:t>
      </w:r>
      <w:r>
        <w:rPr>
          <w:rFonts w:ascii="仿宋_GB2312" w:cs="仿宋_GB2312" w:eastAsia="仿宋_GB2312" w:hAnsi="仿宋_GB2312" w:hint="eastAsia"/>
          <w:kern w:val="0"/>
          <w:sz w:val="32"/>
          <w:szCs w:val="32"/>
          <w:shd w:val="clear" w:color="auto" w:fill="ffffff"/>
          <w:lang w:val="en-US" w:eastAsia="zh-CN"/>
        </w:rPr>
        <w:t>0.32</w:t>
      </w:r>
      <w:r>
        <w:rPr>
          <w:rFonts w:ascii="仿宋_GB2312" w:cs="仿宋_GB2312" w:eastAsia="仿宋_GB2312" w:hAnsi="ˎ̥" w:hint="eastAsia"/>
          <w:kern w:val="0"/>
          <w:sz w:val="32"/>
          <w:szCs w:val="32"/>
          <w:shd w:val="clear" w:color="auto" w:fill="ffffff"/>
          <w:lang w:val="en-US" w:eastAsia="zh-CN"/>
        </w:rPr>
        <w:t>万元，其中：</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公务接待费支出决算比预算数减少3.68万元，下降92%。主要原因是实际接待支出比预算少，预算不够精准。</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b/>
          <w:bCs w:val="false"/>
          <w:kern w:val="0"/>
          <w:sz w:val="32"/>
          <w:szCs w:val="32"/>
          <w:shd w:val="clear" w:color="auto" w:fill="ffffff"/>
          <w:lang w:val="en-US" w:eastAsia="zh-CN"/>
        </w:rPr>
        <w:t>国内接待费</w:t>
      </w:r>
      <w:r>
        <w:rPr>
          <w:rFonts w:ascii="仿宋_GB2312" w:cs="仿宋_GB2312" w:eastAsia="仿宋_GB2312" w:hAnsi="ˎ̥" w:hint="eastAsia"/>
          <w:kern w:val="0"/>
          <w:sz w:val="32"/>
          <w:szCs w:val="32"/>
          <w:shd w:val="clear" w:color="auto" w:fill="ffffff"/>
          <w:lang w:val="en-US" w:eastAsia="zh-CN"/>
        </w:rPr>
        <w:t>支出0.32万元，国内公务接待2批次，接待27人次；主要用于接待省委政法委。</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国（境）外接待费支出0万元，国（境）外公务接待0批次，接待0人次。</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27" w:firstLineChars="196"/>
        <w:jc w:val="left"/>
        <w:rPr>
          <w:rFonts w:ascii="仿宋_GB2312" w:cs="仿宋_GB2312" w:eastAsia="楷体_GB2312" w:hAnsi="ˎ̥" w:hint="eastAsia"/>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九、政府性基金预算财政拨款“三公”经费支出决算情况说明</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2019年度政府性基金预算财政拨款“三公”经费支出合计</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万元。其中：因公出国（境）费支出决算</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万元，占0%；公务用车购置及运行费支出决算</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万元，占0%；公务接待费支出决算</w:t>
      </w:r>
      <w:r>
        <w:rPr>
          <w:rFonts w:ascii="仿宋_GB2312" w:cs="仿宋_GB2312" w:eastAsia="仿宋_GB2312" w:hAnsi="仿宋_GB2312" w:hint="eastAsia"/>
          <w:kern w:val="0"/>
          <w:sz w:val="32"/>
          <w:szCs w:val="32"/>
          <w:shd w:val="clear" w:color="auto" w:fill="ffffff"/>
          <w:lang w:val="en-US" w:eastAsia="zh-CN"/>
        </w:rPr>
        <w:t>0.00</w:t>
      </w:r>
      <w:r>
        <w:rPr>
          <w:rFonts w:ascii="仿宋_GB2312" w:cs="仿宋_GB2312" w:eastAsia="仿宋_GB2312" w:hAnsi="ˎ̥" w:hint="eastAsia"/>
          <w:kern w:val="0"/>
          <w:sz w:val="32"/>
          <w:szCs w:val="32"/>
          <w:shd w:val="clear" w:color="auto" w:fill="ffffff"/>
          <w:lang w:val="en-US" w:eastAsia="zh-CN"/>
        </w:rPr>
        <w:t>万元，占0%。</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十、预算绩效情况说明。</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3" w:firstLineChars="200"/>
        <w:jc w:val="left"/>
        <w:rPr>
          <w:rFonts w:ascii="楷体" w:cs="楷体" w:eastAsia="楷体" w:hAnsi="楷体" w:hint="eastAsia"/>
          <w:b/>
          <w:bCs w:val="false"/>
          <w:sz w:val="32"/>
          <w:szCs w:val="32"/>
          <w:shd w:val="clear" w:color="auto" w:fill="ffffff"/>
          <w:lang w:val="en-US"/>
        </w:rPr>
      </w:pPr>
      <w:r>
        <w:rPr>
          <w:rFonts w:ascii="楷体" w:cs="楷体" w:eastAsia="楷体" w:hAnsi="楷体" w:hint="eastAsia"/>
          <w:b/>
          <w:bCs w:val="false"/>
          <w:kern w:val="0"/>
          <w:sz w:val="32"/>
          <w:szCs w:val="32"/>
          <w:shd w:val="clear" w:color="auto" w:fill="ffffff"/>
          <w:lang w:val="en-US" w:eastAsia="zh-CN"/>
        </w:rPr>
        <w:t>（一）绩效管理工作开展情况。</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仿宋_GB2312" w:hint="eastAsia"/>
          <w:sz w:val="32"/>
          <w:szCs w:val="32"/>
          <w:shd w:val="clear" w:color="auto" w:fill="ffffff"/>
          <w:lang w:val="en-US"/>
        </w:rPr>
      </w:pPr>
      <w:r>
        <w:rPr>
          <w:rFonts w:ascii="仿宋_GB2312" w:cs="仿宋_GB2312" w:eastAsia="仿宋_GB2312" w:hAnsi="仿宋_GB2312" w:hint="eastAsia"/>
          <w:kern w:val="0"/>
          <w:sz w:val="32"/>
          <w:szCs w:val="32"/>
          <w:shd w:val="clear" w:color="auto" w:fill="ffffff"/>
          <w:lang w:val="en-US" w:eastAsia="zh-CN"/>
        </w:rPr>
        <w:t>根据财政预算绩效管理要求，我部门（单位）组织对2019年度一般公共预算项目支出全面开展绩效自评。自评项目32个，共涉及资金2352万元，自评覆盖率达到100%。</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仿宋_GB2312" w:hint="eastAsia"/>
          <w:sz w:val="32"/>
          <w:szCs w:val="32"/>
          <w:shd w:val="clear" w:color="auto" w:fill="ffffff"/>
          <w:lang w:val="en-US"/>
        </w:rPr>
      </w:pPr>
      <w:r>
        <w:rPr>
          <w:rFonts w:ascii="仿宋_GB2312" w:cs="仿宋_GB2312" w:eastAsia="仿宋_GB2312" w:hAnsi="仿宋_GB2312" w:hint="eastAsia"/>
          <w:kern w:val="0"/>
          <w:sz w:val="32"/>
          <w:szCs w:val="32"/>
          <w:shd w:val="clear" w:color="auto" w:fill="ffffff"/>
          <w:lang w:val="en-US" w:eastAsia="zh-CN"/>
        </w:rPr>
        <w:t>我部门（单位）共组织对“雪亮工程”等9个项目进行了重点绩效评价，涉及资金2203万元。从评价情况来看，项目资金按计划按进度支出，很好地完成年初预算目标。</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仿宋_GB2312" w:hint="eastAsia"/>
          <w:kern w:val="0"/>
          <w:sz w:val="32"/>
          <w:szCs w:val="32"/>
          <w:shd w:val="clear" w:color="auto" w:fill="ffffff"/>
          <w:lang w:val="en-US" w:eastAsia="zh-CN"/>
        </w:rPr>
      </w:pPr>
      <w:r>
        <w:rPr>
          <w:rFonts w:ascii="仿宋_GB2312" w:cs="仿宋_GB2312" w:eastAsia="仿宋_GB2312" w:hAnsi="仿宋_GB2312" w:hint="eastAsia"/>
          <w:kern w:val="0"/>
          <w:sz w:val="32"/>
          <w:szCs w:val="32"/>
          <w:shd w:val="clear" w:color="auto" w:fill="ffffff"/>
          <w:lang w:val="en-US" w:eastAsia="zh-CN"/>
        </w:rPr>
        <w:t>我部门（单位）开展整体支出绩效评价，涉及资金2562.09万元。从评价情况来看，资金按计划按进度支出，很好地完成年初预算目标。</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3" w:firstLineChars="200"/>
        <w:jc w:val="left"/>
        <w:rPr>
          <w:rFonts w:ascii="楷体" w:cs="楷体" w:eastAsia="楷体" w:hAnsi="楷体" w:hint="eastAsia"/>
          <w:b/>
          <w:bCs w:val="false"/>
          <w:sz w:val="32"/>
          <w:szCs w:val="32"/>
          <w:shd w:val="clear" w:color="auto" w:fill="ffffff"/>
          <w:lang w:val="en-US"/>
        </w:rPr>
      </w:pPr>
      <w:r>
        <w:rPr>
          <w:rFonts w:ascii="楷体" w:cs="楷体" w:eastAsia="楷体" w:hAnsi="楷体" w:hint="eastAsia"/>
          <w:b/>
          <w:bCs w:val="false"/>
          <w:kern w:val="0"/>
          <w:sz w:val="32"/>
          <w:szCs w:val="32"/>
          <w:shd w:val="clear" w:color="auto" w:fill="ffffff"/>
          <w:lang w:val="en-US" w:eastAsia="zh-CN"/>
        </w:rPr>
        <w:t>（二）部门决算中项目绩效自评结果。</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仿宋_GB2312" w:hint="eastAsia"/>
          <w:sz w:val="32"/>
          <w:szCs w:val="32"/>
          <w:shd w:val="clear" w:color="auto" w:fill="ffffff"/>
          <w:lang w:val="en-US"/>
        </w:rPr>
      </w:pPr>
      <w:r>
        <w:rPr>
          <w:rFonts w:ascii="仿宋_GB2312" w:cs="仿宋_GB2312" w:eastAsia="仿宋_GB2312" w:hAnsi="仿宋_GB2312" w:hint="eastAsia"/>
          <w:kern w:val="0"/>
          <w:sz w:val="32"/>
          <w:szCs w:val="32"/>
          <w:shd w:val="clear" w:color="auto" w:fill="ffffff"/>
          <w:lang w:val="en-US" w:eastAsia="zh-CN"/>
        </w:rPr>
        <w:t xml:space="preserve">涉法涉诉救助经费项目自评得分为95分。发现的主要问题及原因：支出仅占预算的50%，没有很好地完成年初预算目标。下一步改进措施：精准评估涉法涉诉救助人员及所需救助金，相应减少下一年度的年初预算。 </w:t>
      </w:r>
    </w:p>
    <w:p>
      <w:pPr>
        <w:pStyle w:val="style0"/>
        <w:keepNext w:val="false"/>
        <w:keepLines w:val="false"/>
        <w:widowControl/>
        <w:numPr>
          <w:ilvl w:val="0"/>
          <w:numId w:val="3"/>
        </w:numPr>
        <w:suppressLineNumbers w:val="false"/>
        <w:shd w:val="clear" w:color="auto" w:fill="ffffff"/>
        <w:snapToGrid w:val="false"/>
        <w:spacing w:before="0" w:beforeAutospacing="true" w:after="0" w:afterAutospacing="true" w:lineRule="exact" w:line="578"/>
        <w:ind w:left="0" w:right="0" w:firstLine="643" w:firstLineChars="200"/>
        <w:jc w:val="left"/>
        <w:rPr>
          <w:rFonts w:ascii="楷体" w:cs="楷体" w:eastAsia="楷体" w:hAnsi="楷体" w:hint="eastAsia"/>
          <w:b/>
          <w:bCs w:val="false"/>
          <w:kern w:val="0"/>
          <w:sz w:val="32"/>
          <w:szCs w:val="32"/>
          <w:shd w:val="clear" w:color="auto" w:fill="ffffff"/>
          <w:lang w:val="en-US" w:eastAsia="zh-CN"/>
        </w:rPr>
      </w:pPr>
      <w:r>
        <w:rPr>
          <w:rFonts w:ascii="楷体" w:cs="楷体" w:eastAsia="楷体" w:hAnsi="楷体" w:hint="eastAsia"/>
          <w:b/>
          <w:bCs w:val="false"/>
          <w:kern w:val="0"/>
          <w:sz w:val="32"/>
          <w:szCs w:val="32"/>
          <w:shd w:val="clear" w:color="auto" w:fill="ffffff"/>
          <w:lang w:val="en-US" w:eastAsia="zh-CN"/>
        </w:rPr>
        <w:t>重点项目绩效评价情况（如有）。</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3" w:firstLineChars="200"/>
        <w:jc w:val="left"/>
        <w:rPr>
          <w:rFonts w:ascii="楷体" w:cs="楷体" w:eastAsia="楷体" w:hAnsi="楷体" w:hint="eastAsia"/>
          <w:b/>
          <w:bCs w:val="false"/>
          <w:kern w:val="0"/>
          <w:sz w:val="32"/>
          <w:szCs w:val="32"/>
          <w:shd w:val="clear" w:color="auto" w:fill="ffffff"/>
          <w:lang w:val="en-US" w:eastAsia="zh-CN"/>
        </w:rPr>
      </w:pPr>
      <w:r>
        <w:rPr>
          <w:rFonts w:ascii="楷体" w:cs="楷体" w:eastAsia="楷体" w:hAnsi="楷体" w:hint="eastAsia"/>
          <w:b/>
          <w:bCs w:val="false"/>
          <w:kern w:val="0"/>
          <w:sz w:val="32"/>
          <w:szCs w:val="32"/>
          <w:shd w:val="clear" w:color="auto" w:fill="ffffff"/>
          <w:lang w:val="en-US" w:eastAsia="zh-CN"/>
        </w:rPr>
        <w:t>（四）其他以部门为主体开展的项目绩效评价报告（如有）。</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仿宋_GB2312" w:hint="eastAsia"/>
          <w:b w:val="false"/>
          <w:bCs/>
          <w:kern w:val="0"/>
          <w:sz w:val="32"/>
          <w:szCs w:val="32"/>
          <w:shd w:val="clear" w:color="auto" w:fill="ffffff"/>
          <w:lang w:val="en-US" w:eastAsia="zh-CN"/>
        </w:rPr>
      </w:pPr>
      <w:r>
        <w:rPr>
          <w:rFonts w:ascii="仿宋_GB2312" w:cs="仿宋_GB2312" w:eastAsia="仿宋_GB2312" w:hAnsi="仿宋_GB2312" w:hint="eastAsia"/>
          <w:b w:val="false"/>
          <w:bCs/>
          <w:kern w:val="0"/>
          <w:sz w:val="32"/>
          <w:szCs w:val="32"/>
          <w:shd w:val="clear" w:color="auto" w:fill="ffffff"/>
          <w:lang w:val="en-US" w:eastAsia="zh-CN"/>
        </w:rPr>
        <w:t>无。</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黑体" w:cs="黑体" w:eastAsia="黑体" w:hAnsi="宋体" w:hint="eastAsia"/>
          <w:bCs/>
          <w:sz w:val="32"/>
          <w:szCs w:val="32"/>
          <w:shd w:val="clear" w:color="auto" w:fill="ffffff"/>
          <w:lang w:val="en-US"/>
        </w:rPr>
      </w:pPr>
      <w:r>
        <w:rPr>
          <w:rFonts w:ascii="黑体" w:cs="黑体" w:eastAsia="黑体" w:hAnsi="宋体" w:hint="eastAsia"/>
          <w:bCs/>
          <w:kern w:val="0"/>
          <w:sz w:val="32"/>
          <w:szCs w:val="32"/>
          <w:shd w:val="clear" w:color="auto" w:fill="ffffff"/>
          <w:lang w:val="en-US" w:eastAsia="zh-CN"/>
        </w:rPr>
        <w:t>十一、其他重要事项情况说明。</w:t>
      </w:r>
    </w:p>
    <w:bookmarkStart w:id="96" w:name="_Toc32639_WPSOffice_Level2"/>
    <w:bookmarkStart w:id="97" w:name="_Toc15565_WPSOffice_Level2"/>
    <w:bookmarkStart w:id="98" w:name="_Toc23598_WPSOffice_Level2"/>
    <w:bookmarkStart w:id="99" w:name="_Toc15262_WPSOffice_Level2"/>
    <w:bookmarkStart w:id="100" w:name="_Toc5978_WPSOffice_Level2"/>
    <w:bookmarkStart w:id="101" w:name="_Toc18325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楷体" w:cs="楷体" w:eastAsia="楷体" w:hAnsi="楷体" w:hint="eastAsia"/>
          <w:b/>
          <w:bCs w:val="false"/>
          <w:sz w:val="32"/>
          <w:szCs w:val="32"/>
          <w:shd w:val="clear" w:color="auto" w:fill="ffffff"/>
          <w:lang w:val="en-US"/>
        </w:rPr>
      </w:pPr>
      <w:r>
        <w:rPr>
          <w:rFonts w:ascii="楷体" w:cs="楷体" w:eastAsia="楷体" w:hAnsi="楷体" w:hint="eastAsia"/>
          <w:b/>
          <w:bCs w:val="false"/>
          <w:kern w:val="0"/>
          <w:sz w:val="32"/>
          <w:szCs w:val="32"/>
          <w:shd w:val="clear" w:color="auto" w:fill="ffffff"/>
          <w:lang w:val="en-US" w:eastAsia="zh-CN"/>
        </w:rPr>
        <w:t>（一）机关运行经费支出情况。</w:t>
      </w:r>
      <w:bookmarkEnd w:id="96"/>
      <w:bookmarkEnd w:id="97"/>
      <w:bookmarkEnd w:id="98"/>
      <w:bookmarkEnd w:id="99"/>
      <w:bookmarkEnd w:id="100"/>
      <w:bookmarkEnd w:id="101"/>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屯昌县委政法委部门（单位）机关运行经费27万元（为部门决算中行政单位和参公事业单位使用一般公共预算财政拨款安排的基本支出中的日常公用经费支出，事业单位没有机关运行经费支出），比年初预算增加2万元，增长8%。主要原因是：公用支出增加，运行经费超出预算。</w:t>
      </w:r>
    </w:p>
    <w:bookmarkStart w:id="102" w:name="_Toc23966_WPSOffice_Level2"/>
    <w:bookmarkStart w:id="103" w:name="_Toc32689_WPSOffice_Level2"/>
    <w:bookmarkStart w:id="104" w:name="_Toc25333_WPSOffice_Level2"/>
    <w:bookmarkStart w:id="105" w:name="_Toc3131_WPSOffice_Level2"/>
    <w:bookmarkStart w:id="106" w:name="_Toc13084_WPSOffice_Level2"/>
    <w:bookmarkStart w:id="107" w:name="_Toc30383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楷体" w:cs="楷体" w:eastAsia="楷体" w:hAnsi="楷体" w:hint="eastAsia"/>
          <w:b/>
          <w:bCs w:val="false"/>
          <w:sz w:val="32"/>
          <w:szCs w:val="32"/>
          <w:shd w:val="clear" w:color="auto" w:fill="ffffff"/>
          <w:lang w:val="en-US"/>
        </w:rPr>
      </w:pPr>
      <w:r>
        <w:rPr>
          <w:rFonts w:ascii="楷体" w:cs="楷体" w:eastAsia="楷体" w:hAnsi="楷体" w:hint="eastAsia"/>
          <w:b/>
          <w:bCs w:val="false"/>
          <w:kern w:val="0"/>
          <w:sz w:val="32"/>
          <w:szCs w:val="32"/>
          <w:shd w:val="clear" w:color="auto" w:fill="ffffff"/>
          <w:lang w:val="en-US" w:eastAsia="zh-CN"/>
        </w:rPr>
        <w:t>（二）政府采购支出情况。</w:t>
      </w:r>
      <w:bookmarkEnd w:id="102"/>
      <w:bookmarkEnd w:id="103"/>
      <w:bookmarkEnd w:id="104"/>
      <w:bookmarkEnd w:id="105"/>
      <w:bookmarkEnd w:id="106"/>
      <w:bookmarkEnd w:id="107"/>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2019年度屯昌县委政法委部门（单位）政府采购支出总额914.50万元，其中：政府采购货物支出0万元、政府采购工程支出548万元、政府采购服务支出366.50万元。授予中小企业合同金额0万元，占政府采购支出总额的0%，其中：授予小微企业合同金额0万元，占政府采购支出总额的0%。</w:t>
      </w:r>
    </w:p>
    <w:bookmarkStart w:id="108" w:name="_Toc15129_WPSOffice_Level2"/>
    <w:bookmarkStart w:id="109" w:name="_Toc10902_WPSOffice_Level2"/>
    <w:bookmarkStart w:id="110" w:name="_Toc527_WPSOffice_Level2"/>
    <w:bookmarkStart w:id="111" w:name="_Toc29584_WPSOffice_Level2"/>
    <w:bookmarkStart w:id="112" w:name="_Toc19989_WPSOffice_Level2"/>
    <w:bookmarkStart w:id="113" w:name="_Toc6016_WPSOffice_Level2"/>
    <w:p>
      <w:pPr>
        <w:pStyle w:val="style0"/>
        <w:keepNext w:val="false"/>
        <w:keepLines w:val="false"/>
        <w:widowControl/>
        <w:suppressLineNumbers w:val="false"/>
        <w:shd w:val="clear" w:color="auto" w:fill="ffffff"/>
        <w:snapToGrid w:val="false"/>
        <w:spacing w:before="0" w:beforeAutospacing="true" w:after="0" w:afterAutospacing="true"/>
        <w:ind w:left="0" w:right="0" w:firstLine="643" w:firstLineChars="200"/>
        <w:jc w:val="left"/>
        <w:rPr>
          <w:rFonts w:ascii="楷体" w:cs="楷体" w:eastAsia="楷体" w:hAnsi="楷体" w:hint="eastAsia"/>
          <w:b/>
          <w:bCs w:val="false"/>
          <w:kern w:val="0"/>
          <w:sz w:val="32"/>
          <w:szCs w:val="32"/>
          <w:shd w:val="clear" w:color="auto" w:fill="ffffff"/>
          <w:lang w:val="en-US" w:eastAsia="zh-CN"/>
        </w:rPr>
      </w:pPr>
      <w:r>
        <w:rPr>
          <w:rFonts w:ascii="楷体" w:cs="楷体" w:eastAsia="楷体" w:hAnsi="楷体" w:hint="eastAsia"/>
          <w:b/>
          <w:bCs w:val="false"/>
          <w:kern w:val="0"/>
          <w:sz w:val="32"/>
          <w:szCs w:val="32"/>
          <w:shd w:val="clear" w:color="auto" w:fill="ffffff"/>
          <w:lang w:val="en-US" w:eastAsia="zh-CN"/>
        </w:rPr>
        <w:t>（三）国有资产占用情况。</w:t>
      </w:r>
      <w:bookmarkEnd w:id="108"/>
      <w:bookmarkEnd w:id="109"/>
      <w:bookmarkEnd w:id="110"/>
      <w:bookmarkEnd w:id="111"/>
      <w:bookmarkEnd w:id="112"/>
      <w:bookmarkEnd w:id="113"/>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截至2019年度12月31日，本部门占用房屋面积0平方米，其中：办公用房0平方米，业务用房0平方米，其他（不含构筑物）0平方米。</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本部门共有车辆1辆，其中：从车辆种类说明：轿车1辆、越野车0辆、小型载客汽车0辆、大中型载客汽车辆、其他用车0辆，其他用车主要是……；从车辆使用情况说明：副部（省）级及以上领导用车0辆、主要领导干部用车0辆、机要通信用车0辆、应急保障用车1辆、执法执勤用车0辆、特种专业技术用车0辆、离退休干部用车0辆、其他用车0辆。</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单位价值50万元（含）以上通用设备0台（套），单价100万元（含）以上专用设备0台（套）。</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年末在建工程1566万元。</w:t>
      </w:r>
    </w:p>
    <w:p>
      <w:pPr>
        <w:pStyle w:val="style0"/>
        <w:keepNext w:val="false"/>
        <w:keepLines w:val="false"/>
        <w:widowControl/>
        <w:suppressLineNumbers w:val="false"/>
        <w:shd w:val="clear" w:color="auto" w:fill="ffffff"/>
        <w:snapToGrid w:val="false"/>
        <w:spacing w:before="0" w:beforeAutospacing="true" w:after="0" w:afterAutospacing="true" w:lineRule="exact" w:line="578"/>
        <w:ind w:left="0" w:right="0" w:firstLine="640" w:firstLineChars="200"/>
        <w:jc w:val="left"/>
        <w:rPr>
          <w:rFonts w:ascii="仿宋_GB2312" w:cs="仿宋_GB2312" w:eastAsia="仿宋_GB2312" w:hAnsi="ˎ̥" w:hint="eastAsia"/>
          <w:sz w:val="32"/>
          <w:szCs w:val="32"/>
          <w:shd w:val="clear" w:color="auto" w:fill="ffffff"/>
          <w:lang w:val="en-US"/>
        </w:rPr>
      </w:pPr>
    </w:p>
    <w:bookmarkStart w:id="114" w:name="_Toc15425_WPSOffice_Level1"/>
    <w:bookmarkStart w:id="115" w:name="_Toc8874_WPSOffice_Level1"/>
    <w:bookmarkStart w:id="116" w:name="_Toc11039_WPSOffice_Level1"/>
    <w:bookmarkStart w:id="117" w:name="_Toc8808_WPSOffice_Level1"/>
    <w:bookmarkStart w:id="118" w:name="_Toc4398_WPSOffice_Level1"/>
    <w:bookmarkStart w:id="119" w:name="_Toc17580_WPSOffice_Level1"/>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r>
        <w:rPr>
          <w:rFonts w:ascii="黑体" w:cs="黑体" w:eastAsia="黑体" w:hAnsi="ˎ̥" w:hint="eastAsia"/>
          <w:kern w:val="0"/>
          <w:sz w:val="32"/>
          <w:szCs w:val="32"/>
          <w:shd w:val="clear" w:color="auto" w:fill="ffffff"/>
          <w:lang w:val="en-US" w:eastAsia="zh-CN"/>
        </w:rPr>
        <w:t>第四部分  名词解释</w:t>
      </w:r>
      <w:bookmarkEnd w:id="114"/>
      <w:bookmarkEnd w:id="115"/>
      <w:bookmarkEnd w:id="116"/>
      <w:bookmarkEnd w:id="117"/>
      <w:bookmarkEnd w:id="118"/>
      <w:bookmarkEnd w:id="119"/>
    </w:p>
    <w:p>
      <w:pPr>
        <w:pStyle w:val="style0"/>
        <w:keepNext w:val="false"/>
        <w:keepLines w:val="false"/>
        <w:widowControl/>
        <w:suppressLineNumbers w:val="false"/>
        <w:shd w:val="clear" w:color="auto" w:fill="ffffff"/>
        <w:snapToGrid w:val="false"/>
        <w:spacing w:before="0" w:beforeAutospacing="true" w:after="0" w:afterAutospacing="true"/>
        <w:ind w:left="0" w:right="0"/>
        <w:jc w:val="center"/>
        <w:rPr>
          <w:rFonts w:ascii="黑体" w:cs="黑体" w:eastAsia="黑体" w:hAnsi="ˎ̥" w:hint="eastAsia"/>
          <w:sz w:val="32"/>
          <w:szCs w:val="32"/>
          <w:shd w:val="clear" w:color="auto" w:fill="ffffff"/>
          <w:lang w:val="en-US"/>
        </w:rPr>
      </w:pP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一、财政拨款收入：指本级财政当年拨付的资金。</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二、事业收入：指事业单位开展专业业务活动及辅助活动取得的收入。</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三、经营收入：指事业单位在专业业务活动及其辅助活动之外开展非独立核算经营活动取得的收入。</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四、其他收入：指除上述“财政拨款收入”“事业收入”“经营收入”等以外的收入。</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六、年初结转和结余：指以前年度尚未完成、结转到本年按有关规定继续使用的资金。</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七、结余分配：指事业单位按规定提取的职工福利基金、事业基金和缴纳的所得税，以及建设单位按规定应交回的基本建设竣工项目结余资金。</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八、年末结转和结余：指本年度或以前年度预算安排、因客观条件发生变化无法按原计划实施，需要延迟到以后年度按有关规定继续使用的资金。</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九、基本支出：指为保障机构正常运转、完成日常工作任务而发生的人员支出和公用支出。</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十、项目支出：指在基本支出之外为完成特定行政任务和事业发展目标所发生的支出。</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十一、经营支出：指事业单位在专业业务活动及其辅助活动之外开展非独立核算经营活动发生的支出。</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0" w:firstLineChars="200"/>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style0"/>
        <w:keepNext w:val="false"/>
        <w:keepLines w:val="false"/>
        <w:widowControl/>
        <w:suppressLineNumbers w:val="false"/>
        <w:shd w:val="clear" w:color="auto" w:fill="ffffff"/>
        <w:snapToGrid w:val="false"/>
        <w:spacing w:before="0" w:beforeAutospacing="true" w:after="0" w:afterAutospacing="true"/>
        <w:ind w:left="0" w:right="0" w:firstLine="645"/>
        <w:jc w:val="left"/>
        <w:rPr>
          <w:rFonts w:ascii="仿宋_GB2312" w:cs="仿宋_GB2312" w:eastAsia="仿宋_GB2312" w:hAnsi="ˎ̥" w:hint="eastAsia"/>
          <w:sz w:val="32"/>
          <w:szCs w:val="32"/>
          <w:shd w:val="clear" w:color="auto" w:fill="ffffff"/>
          <w:lang w:val="en-US"/>
        </w:rPr>
      </w:pPr>
      <w:r>
        <w:rPr>
          <w:rFonts w:ascii="仿宋_GB2312" w:cs="仿宋_GB2312" w:eastAsia="仿宋_GB2312" w:hAnsi="ˎ̥" w:hint="eastAsia"/>
          <w:kern w:val="0"/>
          <w:sz w:val="32"/>
          <w:szCs w:val="32"/>
          <w:shd w:val="clear" w:color="auto" w:fill="ffffff"/>
          <w:lang w:val="en-US" w:eastAsia="zh-CN"/>
        </w:rPr>
        <w:t>十四、（支出功能分类的名词解释，各部门（单位）根据实际支出情况填列，可参阅财政部印发的《2019年政府收支分类科目》）</w:t>
      </w:r>
    </w:p>
    <w:p>
      <w:pPr>
        <w:pStyle w:val="style0"/>
        <w:keepNext w:val="false"/>
        <w:keepLines w:val="false"/>
        <w:widowControl/>
        <w:suppressLineNumbers w:val="false"/>
        <w:shd w:val="clear" w:color="auto" w:fill="ffffff"/>
        <w:snapToGrid w:val="false"/>
        <w:spacing w:before="0" w:beforeAutospacing="true" w:after="0" w:afterAutospacing="true"/>
        <w:ind w:left="0" w:right="0"/>
        <w:jc w:val="left"/>
        <w:rPr/>
      </w:pPr>
      <w:r>
        <w:rPr>
          <w:rFonts w:ascii="仿宋_GB2312" w:cs="仿宋_GB2312" w:eastAsia="仿宋_GB2312" w:hAnsi="ˎ̥" w:hint="eastAsia"/>
          <w:kern w:val="0"/>
          <w:sz w:val="32"/>
          <w:szCs w:val="32"/>
          <w:shd w:val="clear" w:color="auto" w:fill="ffffff"/>
          <w:lang w:val="en-US" w:eastAsia="zh-CN"/>
        </w:rPr>
        <w:t>……</w:t>
      </w:r>
    </w:p>
    <w:sectPr>
      <w:pgSz w:w="11906" w:h="16838" w:orient="portrait"/>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02FF" w:usb1="4000ACFF" w:usb2="00000001" w:usb3="00000000" w:csb0="2000019F" w:csb1="00000000"/>
  </w:font>
  <w:font w:name="ˎ̥">
    <w:altName w:val="Times New Roman"/>
    <w:panose1 w:val="00000000000000000000"/>
    <w:charset w:val="00"/>
    <w:family w:val="auto"/>
    <w:pitch w:val="default"/>
    <w:sig w:usb0="00000000" w:usb1="00000000" w:usb2="00000000" w:usb3="00000000" w:csb0="00000000" w:csb1="00000000"/>
  </w:font>
  <w:font w:name="仿宋">
    <w:altName w:val="仿宋"/>
    <w:panose1 w:val="02010609060001010101"/>
    <w:charset w:val="86"/>
    <w:family w:val="auto"/>
    <w:pitch w:val="default"/>
    <w:sig w:usb0="800002BF" w:usb1="38CF7CFA" w:usb2="00000016" w:usb3="00000000" w:csb0="00040001" w:csb1="00000000"/>
  </w:font>
  <w:font w:name="楷体">
    <w:altName w:val="楷体"/>
    <w:panose1 w:val="02010609060001010101"/>
    <w:charset w:val="86"/>
    <w:family w:val="auto"/>
    <w:pitch w:val="default"/>
    <w:sig w:usb0="800002BF" w:usb1="38CF7CFA" w:usb2="00000016" w:usb3="00000000" w:csb0="00040001" w:csb1="00000000"/>
  </w:font>
  <w:font w:name="仿宋_GB2312">
    <w:altName w:val="仿宋_GB2312"/>
    <w:panose1 w:val="02010609030001010101"/>
    <w:charset w:val="86"/>
    <w:family w:val="auto"/>
    <w:pitch w:val="default"/>
    <w:sig w:usb0="00000001" w:usb1="080E0000" w:usb2="00000000" w:usb3="00000000" w:csb0="00040000" w:csb1="00000000"/>
  </w:font>
  <w:font w:name="楷体_GB2312">
    <w:altName w:val="楷体_GB2312"/>
    <w:panose1 w:val="02010609030001010101"/>
    <w:charset w:val="86"/>
    <w:family w:val="auto"/>
    <w:pitch w:val="default"/>
    <w:sig w:usb0="00000001" w:usb1="080E0000" w:usb2="00000000" w:usb3="00000000" w:csb0="00040000"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tabs>
        <w:tab w:val="clear" w:pos="4153"/>
        <w:tab w:val="clear" w:pos="8306"/>
      </w:tabs>
      <w:rPr/>
    </w:pPr>
    <w:r>
      <w:rPr>
        <w:rFonts w:hint="eastAsia"/>
        <w:lang w:eastAsia="zh-CN"/>
      </w:rPr>
      <w:tab/>
    </w:r>
    <w:r>
      <w:rPr>
        <w:rFonts w:hint="eastAsia"/>
        <w:lang w:eastAsia="zh-CN"/>
      </w:rPr>
      <w:tab/>
    </w:r>
  </w:p>
</w:ftr>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p>
</w:ftr>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r>
      <w:rPr>
        <w:sz w:val="18"/>
      </w:rPr>
      <mc:AlternateContent>
        <mc:Choice Requires="wps">
          <w:drawing>
            <wp:anchor distT="0" distB="0" distL="0" distR="0" simplePos="false" relativeHeight="2" behindDoc="false" locked="false" layoutInCell="true" allowOverlap="true">
              <wp:simplePos x="0" y="0"/>
              <wp:positionH relativeFrom="margin">
                <wp:align>outside</wp:align>
              </wp:positionH>
              <wp:positionV relativeFrom="paragraph">
                <wp:posOffset>0</wp:posOffset>
              </wp:positionV>
              <wp:extent cx="1828800" cy="1828800"/>
              <wp:effectExtent l="0" t="0" r="0" b="0"/>
              <wp:wrapNone/>
              <wp:docPr id="4097" name="文本框 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pPr>
                            <w:pStyle w:val="style32"/>
                            <w:rPr>
                              <w:rFonts w:ascii="宋体" w:cs="宋体" w:eastAsia="宋体" w:hAnsi="宋体" w:hint="eastAsia"/>
                              <w:sz w:val="24"/>
                              <w:szCs w:val="24"/>
                              <w:lang w:eastAsia="zh-CN"/>
                            </w:rPr>
                          </w:pPr>
                          <w:r>
                            <w:rPr>
                              <w:rFonts w:ascii="宋体" w:cs="宋体" w:eastAsia="宋体" w:hAnsi="宋体" w:hint="eastAsia"/>
                              <w:sz w:val="24"/>
                              <w:szCs w:val="24"/>
                              <w:lang w:eastAsia="zh-CN"/>
                            </w:rPr>
                            <w:fldChar w:fldCharType="begin"/>
                          </w:r>
                          <w:r>
                            <w:rPr>
                              <w:rFonts w:ascii="宋体" w:cs="宋体" w:eastAsia="宋体" w:hAnsi="宋体" w:hint="eastAsia"/>
                              <w:sz w:val="24"/>
                              <w:szCs w:val="24"/>
                              <w:lang w:eastAsia="zh-CN"/>
                            </w:rPr>
                            <w:instrText xml:space="preserve"> PAGE  \* MERGEFORMAT </w:instrText>
                          </w:r>
                          <w:r>
                            <w:rPr>
                              <w:rFonts w:ascii="宋体" w:cs="宋体" w:eastAsia="宋体" w:hAnsi="宋体" w:hint="eastAsia"/>
                              <w:sz w:val="24"/>
                              <w:szCs w:val="24"/>
                              <w:lang w:eastAsia="zh-CN"/>
                            </w:rPr>
                            <w:fldChar w:fldCharType="separate"/>
                          </w:r>
                          <w:r>
                            <w:rPr>
                              <w:rFonts w:ascii="宋体" w:cs="宋体" w:eastAsia="宋体" w:hAnsi="宋体" w:hint="eastAsia"/>
                              <w:sz w:val="24"/>
                              <w:szCs w:val="24"/>
                              <w:lang w:eastAsia="zh-CN"/>
                            </w:rPr>
                            <w:t>1</w:t>
                          </w:r>
                          <w:r>
                            <w:rPr>
                              <w:rFonts w:ascii="宋体" w:cs="宋体" w:eastAsia="宋体" w:hAnsi="宋体" w:hint="eastAsia"/>
                              <w:sz w:val="24"/>
                              <w:szCs w:val="24"/>
                              <w:lang w:eastAsia="zh-CN"/>
                            </w:rPr>
                            <w:fldChar w:fldCharType="end"/>
                          </w:r>
                        </w:p>
                      </w:txbxContent>
                    </wps:txbx>
                    <wps:bodyPr lIns="0" rIns="0" tIns="0" bIns="0" vert="horz" anchor="t" wrap="none" upright="false">
                      <a:prstTxWarp prst="textNoShape"/>
                      <a:spAutoFit/>
                    </wps:bodyPr>
                  </wps:wsp>
                </a:graphicData>
              </a:graphic>
            </wp:anchor>
          </w:drawing>
        </mc:Choice>
        <mc:Fallback>
          <w:pict>
            <v:rect id="4097" filled="f" stroked="f" style="position:absolute;margin-left:0.0pt;margin-top:0.0pt;width:144.0pt;height:144.0pt;z-index:2;mso-position-horizontal:outside;mso-position-horizontal-relative:margin;mso-position-vertical-relative:text;mso-width-relative:page;mso-height-relative:page;mso-wrap-distance-left:0.0pt;mso-wrap-distance-right:0.0pt;visibility:visible;mso-wrap-style:none;">
              <v:stroke on="f" weight="0.5pt"/>
              <v:fill/>
              <v:textbox inset="0.0pt,0.0pt,0.0pt,0.0pt" style="mso-fit-shape-to-text:true;">
                <w:txbxContent>
                  <w:p>
                    <w:pPr>
                      <w:pStyle w:val="style32"/>
                      <w:rPr>
                        <w:rFonts w:ascii="宋体" w:cs="宋体" w:eastAsia="宋体" w:hAnsi="宋体" w:hint="eastAsia"/>
                        <w:sz w:val="24"/>
                        <w:szCs w:val="24"/>
                        <w:lang w:eastAsia="zh-CN"/>
                      </w:rPr>
                    </w:pPr>
                    <w:r>
                      <w:rPr>
                        <w:rFonts w:ascii="宋体" w:cs="宋体" w:eastAsia="宋体" w:hAnsi="宋体" w:hint="eastAsia"/>
                        <w:sz w:val="24"/>
                        <w:szCs w:val="24"/>
                        <w:lang w:eastAsia="zh-CN"/>
                      </w:rPr>
                      <w:fldChar w:fldCharType="begin"/>
                    </w:r>
                    <w:r>
                      <w:rPr>
                        <w:rFonts w:ascii="宋体" w:cs="宋体" w:eastAsia="宋体" w:hAnsi="宋体" w:hint="eastAsia"/>
                        <w:sz w:val="24"/>
                        <w:szCs w:val="24"/>
                        <w:lang w:eastAsia="zh-CN"/>
                      </w:rPr>
                      <w:instrText xml:space="preserve"> PAGE  \* MERGEFORMAT </w:instrText>
                    </w:r>
                    <w:r>
                      <w:rPr>
                        <w:rFonts w:ascii="宋体" w:cs="宋体" w:eastAsia="宋体" w:hAnsi="宋体" w:hint="eastAsia"/>
                        <w:sz w:val="24"/>
                        <w:szCs w:val="24"/>
                        <w:lang w:eastAsia="zh-CN"/>
                      </w:rPr>
                      <w:fldChar w:fldCharType="separate"/>
                    </w:r>
                    <w:r>
                      <w:rPr>
                        <w:rFonts w:ascii="宋体" w:cs="宋体" w:eastAsia="宋体" w:hAnsi="宋体" w:hint="eastAsia"/>
                        <w:sz w:val="24"/>
                        <w:szCs w:val="24"/>
                        <w:lang w:eastAsia="zh-CN"/>
                      </w:rPr>
                      <w:t>1</w:t>
                    </w:r>
                    <w:r>
                      <w:rPr>
                        <w:rFonts w:ascii="宋体" w:cs="宋体" w:eastAsia="宋体" w:hAnsi="宋体" w:hint="eastAsia"/>
                        <w:sz w:val="24"/>
                        <w:szCs w:val="24"/>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DEB15046"/>
    <w:lvl w:ilvl="0">
      <w:start w:val="2"/>
      <w:numFmt w:val="decimal"/>
      <w:lvlText w:val="%1."/>
      <w:lvlJc w:val="left"/>
      <w:pPr>
        <w:tabs>
          <w:tab w:val="left" w:leader="none" w:pos="312"/>
        </w:tabs>
      </w:pPr>
    </w:lvl>
  </w:abstractNum>
  <w:abstractNum w:abstractNumId="1">
    <w:nsid w:val="00000001"/>
    <w:multiLevelType w:val="singleLevel"/>
    <w:tmpl w:val="EA008F16"/>
    <w:lvl w:ilvl="0">
      <w:start w:val="9"/>
      <w:numFmt w:val="chineseCounting"/>
      <w:suff w:val="nothing"/>
      <w:lvlText w:val="%1、"/>
      <w:lvlJc w:val="left"/>
      <w:pPr/>
      <w:rPr>
        <w:rFonts w:hint="eastAsia"/>
      </w:rPr>
    </w:lvl>
  </w:abstractNum>
  <w:abstractNum w:abstractNumId="2">
    <w:nsid w:val="00000002"/>
    <w:multiLevelType w:val="singleLevel"/>
    <w:tmpl w:val="6C1DB4D1"/>
    <w:lvl w:ilvl="0">
      <w:start w:val="3"/>
      <w:numFmt w:val="chineseCounting"/>
      <w:suff w:val="nothing"/>
      <w:lvlText w:val="（%1）"/>
      <w:lvlJc w:val="left"/>
      <w:pPr/>
      <w:rPr>
        <w:rFonts w:hint="eastAsia"/>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3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Layout w:type="fixed"/>
      <w:tblCellMar>
        <w:top w:w="0" w:type="dxa"/>
        <w:left w:w="108" w:type="dxa"/>
        <w:bottom w:w="0" w:type="dxa"/>
        <w:right w:w="108" w:type="dxa"/>
      </w:tblCellMar>
    </w:tblPr>
    <w:tcPr>
      <w:tcBorders/>
    </w:tcPr>
  </w:style>
  <w:style w:type="paragraph" w:styleId="style32">
    <w:name w:val="footer"/>
    <w:basedOn w:val="style0"/>
    <w:next w:val="style32"/>
    <w:link w:val="style4100"/>
    <w:qFormat/>
    <w:uiPriority w:val="0"/>
    <w:pPr>
      <w:tabs>
        <w:tab w:val="center" w:leader="none" w:pos="4153"/>
        <w:tab w:val="right" w:leader="none" w:pos="8306"/>
      </w:tabs>
      <w:snapToGrid w:val="false"/>
      <w:jc w:val="left"/>
    </w:pPr>
    <w:rPr>
      <w:sz w:val="18"/>
    </w:rPr>
  </w:style>
  <w:style w:type="paragraph" w:styleId="style31">
    <w:name w:val="header"/>
    <w:basedOn w:val="style0"/>
    <w:next w:val="style31"/>
    <w:link w:val="style4099"/>
    <w:qFormat/>
    <w:uiPriority w:val="0"/>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spacing w:lineRule="auto" w:line="240"/>
      <w:jc w:val="both"/>
      <w:outlineLvl w:val="9"/>
    </w:pPr>
    <w:rPr>
      <w:sz w:val="18"/>
    </w:rPr>
  </w:style>
  <w:style w:type="paragraph" w:customStyle="1" w:styleId="style4097">
    <w:name w:val="wpsoffice1"/>
    <w:basedOn w:val="style0"/>
    <w:next w:val="style4097"/>
    <w:qFormat/>
    <w:uiPriority w:val="0"/>
    <w:pPr>
      <w:keepNext w:val="false"/>
      <w:keepLines w:val="false"/>
      <w:widowControl/>
      <w:suppressLineNumbers w:val="false"/>
      <w:spacing w:before="0" w:beforeAutospacing="true" w:after="0" w:afterAutospacing="true"/>
      <w:ind w:left="0" w:right="0"/>
      <w:jc w:val="left"/>
    </w:pPr>
    <w:rPr>
      <w:rFonts w:ascii="宋体" w:cs="宋体" w:eastAsia="宋体" w:hAnsi="宋体" w:hint="eastAsia"/>
      <w:kern w:val="0"/>
      <w:sz w:val="24"/>
      <w:szCs w:val="24"/>
      <w:lang w:val="en-US" w:eastAsia="zh-CN"/>
    </w:rPr>
  </w:style>
  <w:style w:type="paragraph" w:customStyle="1" w:styleId="style4098">
    <w:name w:val="wpsoffice2"/>
    <w:basedOn w:val="style0"/>
    <w:next w:val="style4098"/>
    <w:qFormat/>
    <w:uiPriority w:val="0"/>
    <w:pPr>
      <w:keepNext w:val="false"/>
      <w:keepLines w:val="false"/>
      <w:widowControl/>
      <w:suppressLineNumbers w:val="false"/>
      <w:spacing w:before="0" w:beforeAutospacing="true" w:after="0" w:afterAutospacing="true"/>
      <w:ind w:left="0" w:right="0"/>
      <w:jc w:val="left"/>
    </w:pPr>
    <w:rPr>
      <w:rFonts w:ascii="宋体" w:cs="宋体" w:eastAsia="宋体" w:hAnsi="宋体" w:hint="eastAsia"/>
      <w:kern w:val="0"/>
      <w:sz w:val="24"/>
      <w:szCs w:val="24"/>
      <w:lang w:val="en-US" w:eastAsia="zh-CN"/>
    </w:rPr>
  </w:style>
  <w:style w:type="character" w:customStyle="1" w:styleId="style4099">
    <w:name w:val="页眉 Char"/>
    <w:basedOn w:val="style65"/>
    <w:next w:val="style4099"/>
    <w:link w:val="style31"/>
    <w:qFormat/>
    <w:uiPriority w:val="0"/>
    <w:rPr>
      <w:rFonts w:ascii="宋体" w:cs="宋体" w:eastAsia="宋体" w:hAnsi="宋体" w:hint="eastAsia"/>
      <w:sz w:val="18"/>
      <w:szCs w:val="18"/>
    </w:rPr>
  </w:style>
  <w:style w:type="character" w:customStyle="1" w:styleId="style4100">
    <w:name w:val="页脚 Char"/>
    <w:basedOn w:val="style65"/>
    <w:next w:val="style4100"/>
    <w:link w:val="style32"/>
    <w:qFormat/>
    <w:uiPriority w:val="0"/>
    <w:rPr>
      <w:rFonts w:ascii="宋体" w:cs="宋体" w:eastAsia="宋体" w:hAnsi="宋体" w:hint="eastAsia"/>
      <w:sz w:val="18"/>
      <w:szCs w:val="1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9" Type="http://schemas.openxmlformats.org/officeDocument/2006/relationships/customXml" Target="../customXml/item1.xml"/><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Words>5073</Words>
  <Pages>1</Pages>
  <Characters>5645</Characters>
  <Application>WPS Office</Application>
  <DocSecurity>0</DocSecurity>
  <Paragraphs>162</Paragraphs>
  <ScaleCrop>false</ScaleCrop>
  <LinksUpToDate>false</LinksUpToDate>
  <CharactersWithSpaces>5743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2020-10-20T01:59:00Z</dcterms:created>
  <dc:creator>Administrator</dc:creator>
  <lastModifiedBy>Redmi Note 7</lastModifiedBy>
  <dcterms:modified xsi:type="dcterms:W3CDTF">2020-11-03T01:17:53Z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