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88B2F">
      <w:pPr>
        <w:pStyle w:val="4"/>
        <w:bidi w:val="0"/>
        <w:rPr>
          <w:rFonts w:hint="eastAsia"/>
        </w:rPr>
      </w:pPr>
      <w:r>
        <w:rPr>
          <w:rFonts w:hint="eastAsia"/>
        </w:rPr>
        <w:t>屯昌海三高速公路59公里2025年度“5·26”一般道路交通事故调查处理评估工作报告</w:t>
      </w:r>
    </w:p>
    <w:p w14:paraId="4EE54C52">
      <w:pPr>
        <w:rPr>
          <w:rFonts w:hint="eastAsia"/>
        </w:rPr>
      </w:pPr>
    </w:p>
    <w:p w14:paraId="6D2CD80D">
      <w:pPr>
        <w:rPr>
          <w:rFonts w:hint="eastAsia"/>
        </w:rPr>
      </w:pPr>
      <w:r>
        <w:rPr>
          <w:rFonts w:hint="eastAsia"/>
        </w:rPr>
        <w:t>2025年5月26日14时56分许，屯昌县海三高速59公里900米（南往北方向）路段发生一起一般道路交通事故，造成1人死亡、4人受伤，两车不同程度受损。事故发生后，</w:t>
      </w:r>
      <w:r>
        <w:rPr>
          <w:rFonts w:hint="eastAsia"/>
          <w:lang w:eastAsia="zh-CN"/>
        </w:rPr>
        <w:t>县</w:t>
      </w:r>
      <w:r>
        <w:rPr>
          <w:rFonts w:hint="eastAsia"/>
        </w:rPr>
        <w:t>公安</w:t>
      </w:r>
      <w:r>
        <w:rPr>
          <w:rFonts w:hint="eastAsia"/>
          <w:lang w:eastAsia="zh-CN"/>
        </w:rPr>
        <w:t>局</w:t>
      </w:r>
      <w:r>
        <w:rPr>
          <w:rFonts w:hint="eastAsia"/>
        </w:rPr>
        <w:t>经现场勘查、技术鉴定、调查询问和综合分析，查明了事故原因，认定了事故性质与责任，并提出针对性整改措施。对事故调查处理及整改落实情况进行评估，形成报告。</w:t>
      </w:r>
    </w:p>
    <w:p w14:paraId="4FE85130">
      <w:pPr>
        <w:rPr>
          <w:rFonts w:hint="eastAsia" w:ascii="黑体" w:hAnsi="黑体" w:eastAsia="黑体" w:cs="黑体"/>
        </w:rPr>
      </w:pPr>
      <w:r>
        <w:rPr>
          <w:rFonts w:hint="eastAsia" w:ascii="黑体" w:hAnsi="黑体" w:eastAsia="黑体" w:cs="黑体"/>
        </w:rPr>
        <w:t>一、评估工作组织及开展情况</w:t>
      </w:r>
    </w:p>
    <w:p w14:paraId="40D7FAB5">
      <w:pPr>
        <w:rPr>
          <w:rFonts w:hint="eastAsia" w:eastAsia="仿宋_GB2312"/>
          <w:lang w:eastAsia="zh-CN"/>
        </w:rPr>
      </w:pPr>
      <w:r>
        <w:rPr>
          <w:rFonts w:hint="eastAsia"/>
        </w:rPr>
        <w:t>2025年</w:t>
      </w:r>
      <w:r>
        <w:rPr>
          <w:rFonts w:hint="eastAsia"/>
          <w:lang w:val="en-US" w:eastAsia="zh-CN"/>
        </w:rPr>
        <w:t>12</w:t>
      </w:r>
      <w:r>
        <w:rPr>
          <w:rFonts w:hint="eastAsia"/>
        </w:rPr>
        <w:t>月10日，对该起事故的防范措施落实、责任追究执行及行业监管强化等情况进行全面评估。评估工作严格对照《道路交通事故认定书》及事故调查报告提出的建议，通过听取汇报、查阅台账、调阅执法记录、实地核查等方式，重点围绕以下方面开展：</w:t>
      </w:r>
    </w:p>
    <w:p w14:paraId="64DACF17">
      <w:pPr>
        <w:rPr>
          <w:rFonts w:hint="eastAsia" w:eastAsia="仿宋_GB2312"/>
          <w:lang w:eastAsia="zh-CN"/>
        </w:rPr>
      </w:pPr>
      <w:r>
        <w:rPr>
          <w:rFonts w:hint="eastAsia"/>
        </w:rPr>
        <w:t>1.相关责任主体是否依法依规接受处理；</w:t>
      </w:r>
    </w:p>
    <w:p w14:paraId="67F30EB3">
      <w:pPr>
        <w:rPr>
          <w:rFonts w:hint="eastAsia" w:eastAsia="仿宋_GB2312"/>
          <w:lang w:eastAsia="zh-CN"/>
        </w:rPr>
      </w:pPr>
      <w:r>
        <w:rPr>
          <w:rFonts w:hint="eastAsia"/>
        </w:rPr>
        <w:t>2.属地政府及行业主管部门是否落实安全监管职责；</w:t>
      </w:r>
    </w:p>
    <w:p w14:paraId="5943F01B">
      <w:pPr>
        <w:rPr>
          <w:rFonts w:hint="eastAsia" w:eastAsia="仿宋_GB2312"/>
          <w:lang w:eastAsia="zh-CN"/>
        </w:rPr>
      </w:pPr>
      <w:r>
        <w:rPr>
          <w:rFonts w:hint="eastAsia"/>
        </w:rPr>
        <w:t>3.针对性整改措施是否落地见效；</w:t>
      </w:r>
    </w:p>
    <w:p w14:paraId="203F242F">
      <w:pPr>
        <w:rPr>
          <w:rFonts w:hint="eastAsia"/>
        </w:rPr>
      </w:pPr>
      <w:r>
        <w:rPr>
          <w:rFonts w:hint="eastAsia"/>
        </w:rPr>
        <w:t>4.安全宣传教育与警示教育是否覆盖到位。</w:t>
      </w:r>
    </w:p>
    <w:p w14:paraId="66D5CB9D">
      <w:pPr>
        <w:rPr>
          <w:rFonts w:hint="eastAsia" w:ascii="黑体" w:hAnsi="黑体" w:eastAsia="黑体" w:cs="黑体"/>
        </w:rPr>
      </w:pPr>
      <w:r>
        <w:rPr>
          <w:rFonts w:hint="eastAsia" w:ascii="黑体" w:hAnsi="黑体" w:eastAsia="黑体" w:cs="黑体"/>
        </w:rPr>
        <w:t>二、事故防范和整改措施建议落实情况评估</w:t>
      </w:r>
    </w:p>
    <w:p w14:paraId="6E174773">
      <w:pPr>
        <w:rPr>
          <w:rFonts w:hint="eastAsia" w:ascii="楷体_GB2312" w:hAnsi="楷体_GB2312" w:eastAsia="楷体_GB2312" w:cs="楷体_GB2312"/>
          <w:lang w:eastAsia="zh-CN"/>
        </w:rPr>
      </w:pPr>
      <w:r>
        <w:rPr>
          <w:rFonts w:hint="eastAsia" w:ascii="楷体_GB2312" w:hAnsi="楷体_GB2312" w:eastAsia="楷体_GB2312" w:cs="楷体_GB2312"/>
        </w:rPr>
        <w:t>（一）屯昌县公安局交通管理大队</w:t>
      </w:r>
    </w:p>
    <w:p w14:paraId="46DEB2E7">
      <w:pPr>
        <w:rPr>
          <w:rFonts w:hint="eastAsia"/>
        </w:rPr>
      </w:pPr>
      <w:r>
        <w:rPr>
          <w:rFonts w:hint="eastAsia"/>
        </w:rPr>
        <w:t>交警部门以此次事故为警示，迅速在全县范围内开展高速公路及国省干线施工路段安全隐患专项整治行动。</w:t>
      </w:r>
      <w:r>
        <w:rPr>
          <w:rFonts w:hint="eastAsia"/>
          <w:b/>
          <w:bCs/>
        </w:rPr>
        <w:t>一是</w:t>
      </w:r>
      <w:r>
        <w:rPr>
          <w:rFonts w:hint="eastAsia"/>
        </w:rPr>
        <w:t>强化路面巡查频次，重点查处货运车辆超限超载、机件不合格、货物遗洒等违法行为，5月以来共查处相关违法</w:t>
      </w:r>
      <w:r>
        <w:rPr>
          <w:rFonts w:hint="eastAsia"/>
          <w:lang w:eastAsia="zh-CN"/>
        </w:rPr>
        <w:t>约</w:t>
      </w:r>
      <w:r>
        <w:rPr>
          <w:rFonts w:hint="eastAsia"/>
          <w:lang w:val="en-US" w:eastAsia="zh-CN"/>
        </w:rPr>
        <w:t>100</w:t>
      </w:r>
      <w:r>
        <w:rPr>
          <w:rFonts w:hint="eastAsia"/>
        </w:rPr>
        <w:t>起；</w:t>
      </w:r>
      <w:r>
        <w:rPr>
          <w:rFonts w:hint="eastAsia"/>
          <w:b/>
          <w:bCs/>
        </w:rPr>
        <w:t>二是</w:t>
      </w:r>
      <w:r>
        <w:rPr>
          <w:rFonts w:hint="eastAsia"/>
        </w:rPr>
        <w:t>联合高速公路养护单位对施工区域安全警示标志设置开展专项检查，责令整改不规范作业点</w:t>
      </w:r>
      <w:r>
        <w:rPr>
          <w:rFonts w:hint="eastAsia"/>
          <w:lang w:eastAsia="zh-CN"/>
        </w:rPr>
        <w:t>多</w:t>
      </w:r>
      <w:bookmarkStart w:id="0" w:name="_GoBack"/>
      <w:bookmarkEnd w:id="0"/>
      <w:r>
        <w:rPr>
          <w:rFonts w:hint="eastAsia"/>
        </w:rPr>
        <w:t>处；</w:t>
      </w:r>
      <w:r>
        <w:rPr>
          <w:rFonts w:hint="eastAsia"/>
          <w:b/>
          <w:bCs/>
        </w:rPr>
        <w:t>三是</w:t>
      </w:r>
      <w:r>
        <w:rPr>
          <w:rFonts w:hint="eastAsia"/>
        </w:rPr>
        <w:t>依托“两客一危一货”平台，对琼A2AD53、赣CX2682等涉事车辆所属企业进行约谈，并纳入重点监管名单。</w:t>
      </w:r>
    </w:p>
    <w:p w14:paraId="2C22210F">
      <w:pPr>
        <w:rPr>
          <w:rFonts w:hint="eastAsia" w:ascii="楷体_GB2312" w:hAnsi="楷体_GB2312" w:eastAsia="楷体_GB2312" w:cs="楷体_GB2312"/>
          <w:lang w:eastAsia="zh-CN"/>
        </w:rPr>
      </w:pPr>
      <w:r>
        <w:rPr>
          <w:rFonts w:hint="eastAsia" w:ascii="楷体_GB2312" w:hAnsi="楷体_GB2312" w:eastAsia="楷体_GB2312" w:cs="楷体_GB2312"/>
        </w:rPr>
        <w:t>（二）屯昌县交通运输局</w:t>
      </w:r>
    </w:p>
    <w:p w14:paraId="1BB58619">
      <w:pPr>
        <w:rPr>
          <w:rFonts w:hint="eastAsia"/>
        </w:rPr>
      </w:pPr>
      <w:r>
        <w:rPr>
          <w:rFonts w:hint="eastAsia"/>
        </w:rPr>
        <w:t>县交通运输局深刻吸取事故教训，压实企业安全生产主体责任。</w:t>
      </w:r>
      <w:r>
        <w:rPr>
          <w:rFonts w:hint="eastAsia"/>
          <w:b/>
          <w:bCs/>
        </w:rPr>
        <w:t>一是</w:t>
      </w:r>
      <w:r>
        <w:rPr>
          <w:rFonts w:hint="eastAsia"/>
        </w:rPr>
        <w:t>对海南恒通亿路桥养护劳务有限公司下达《责令限期整改通知书》，要求其全面排查施工安全防护漏洞，完善作业区布控方案，并组织全员安全培训；</w:t>
      </w:r>
      <w:r>
        <w:rPr>
          <w:rFonts w:hint="eastAsia"/>
          <w:b/>
          <w:bCs/>
        </w:rPr>
        <w:t>二是</w:t>
      </w:r>
      <w:r>
        <w:rPr>
          <w:rFonts w:hint="eastAsia"/>
        </w:rPr>
        <w:t>加强对辖区内公路养护施工单位的资质审查与日常监管，建立“一企一档”动态管理机制。</w:t>
      </w:r>
    </w:p>
    <w:p w14:paraId="7D7501B0">
      <w:pPr>
        <w:rPr>
          <w:rFonts w:hint="eastAsia" w:ascii="楷体_GB2312" w:hAnsi="楷体_GB2312" w:eastAsia="楷体_GB2312" w:cs="楷体_GB2312"/>
        </w:rPr>
      </w:pPr>
      <w:r>
        <w:rPr>
          <w:rFonts w:hint="eastAsia" w:ascii="楷体_GB2312" w:hAnsi="楷体_GB2312" w:eastAsia="楷体_GB2312" w:cs="楷体_GB2312"/>
        </w:rPr>
        <w:t>（三）</w:t>
      </w:r>
      <w:r>
        <w:rPr>
          <w:rFonts w:hint="eastAsia" w:ascii="楷体_GB2312" w:hAnsi="楷体_GB2312" w:eastAsia="楷体_GB2312" w:cs="楷体_GB2312"/>
          <w:lang w:eastAsia="zh-CN"/>
        </w:rPr>
        <w:t>屯昌</w:t>
      </w:r>
      <w:r>
        <w:rPr>
          <w:rFonts w:hint="eastAsia" w:ascii="楷体_GB2312" w:hAnsi="楷体_GB2312" w:eastAsia="楷体_GB2312" w:cs="楷体_GB2312"/>
        </w:rPr>
        <w:t>县公路</w:t>
      </w:r>
      <w:r>
        <w:rPr>
          <w:rFonts w:hint="eastAsia" w:ascii="楷体_GB2312" w:hAnsi="楷体_GB2312" w:eastAsia="楷体_GB2312" w:cs="楷体_GB2312"/>
          <w:lang w:eastAsia="zh-CN"/>
        </w:rPr>
        <w:t>分</w:t>
      </w:r>
      <w:r>
        <w:rPr>
          <w:rFonts w:hint="eastAsia" w:ascii="楷体_GB2312" w:hAnsi="楷体_GB2312" w:eastAsia="楷体_GB2312" w:cs="楷体_GB2312"/>
        </w:rPr>
        <w:t>局</w:t>
      </w:r>
    </w:p>
    <w:p w14:paraId="6D8E545E">
      <w:pPr>
        <w:rPr>
          <w:rFonts w:hint="eastAsia"/>
        </w:rPr>
      </w:pPr>
      <w:r>
        <w:rPr>
          <w:rFonts w:hint="eastAsia"/>
        </w:rPr>
        <w:t>认真履行公路养护管理职责，切实提高公路安全保障能力。</w:t>
      </w:r>
      <w:r>
        <w:rPr>
          <w:rFonts w:hint="eastAsia"/>
          <w:b/>
          <w:bCs/>
        </w:rPr>
        <w:t>一是</w:t>
      </w:r>
      <w:r>
        <w:rPr>
          <w:rFonts w:hint="eastAsia"/>
        </w:rPr>
        <w:t>加强路面巡查，坚持日常巡查与专项检查相结合，对发现的路面障碍物及时清理。</w:t>
      </w:r>
      <w:r>
        <w:rPr>
          <w:rFonts w:hint="eastAsia"/>
          <w:b/>
          <w:bCs/>
        </w:rPr>
        <w:t>二是</w:t>
      </w:r>
      <w:r>
        <w:rPr>
          <w:rFonts w:hint="eastAsia"/>
        </w:rPr>
        <w:t>严格施工管理，规范施工审批程序，加强对施工路段的监督检查，确保施工单位按规定设置安全警示标志和防护设施。</w:t>
      </w:r>
    </w:p>
    <w:p w14:paraId="19D2FEEC">
      <w:pPr>
        <w:rPr>
          <w:rFonts w:hint="eastAsia" w:ascii="楷体_GB2312" w:hAnsi="楷体_GB2312" w:eastAsia="楷体_GB2312" w:cs="楷体_GB2312"/>
          <w:lang w:eastAsia="zh-CN"/>
        </w:rPr>
      </w:pPr>
      <w:r>
        <w:rPr>
          <w:rFonts w:hint="eastAsia" w:ascii="楷体_GB2312" w:hAnsi="楷体_GB2312" w:eastAsia="楷体_GB2312" w:cs="楷体_GB2312"/>
        </w:rPr>
        <w:t>（</w:t>
      </w:r>
      <w:r>
        <w:rPr>
          <w:rFonts w:hint="eastAsia" w:ascii="楷体_GB2312" w:hAnsi="楷体_GB2312" w:eastAsia="楷体_GB2312" w:cs="楷体_GB2312"/>
          <w:lang w:eastAsia="zh-CN"/>
        </w:rPr>
        <w:t>四</w:t>
      </w:r>
      <w:r>
        <w:rPr>
          <w:rFonts w:hint="eastAsia" w:ascii="楷体_GB2312" w:hAnsi="楷体_GB2312" w:eastAsia="楷体_GB2312" w:cs="楷体_GB2312"/>
        </w:rPr>
        <w:t>）</w:t>
      </w:r>
      <w:r>
        <w:rPr>
          <w:rFonts w:hint="eastAsia" w:ascii="楷体_GB2312" w:hAnsi="楷体_GB2312" w:eastAsia="楷体_GB2312" w:cs="楷体_GB2312"/>
          <w:lang w:eastAsia="zh-CN"/>
        </w:rPr>
        <w:t>属地</w:t>
      </w:r>
      <w:r>
        <w:rPr>
          <w:rFonts w:hint="eastAsia" w:ascii="楷体_GB2312" w:hAnsi="楷体_GB2312" w:eastAsia="楷体_GB2312" w:cs="楷体_GB2312"/>
        </w:rPr>
        <w:t>政府</w:t>
      </w:r>
    </w:p>
    <w:p w14:paraId="26118AA5">
      <w:pPr>
        <w:rPr>
          <w:rFonts w:hint="eastAsia"/>
        </w:rPr>
      </w:pPr>
      <w:r>
        <w:rPr>
          <w:rFonts w:hint="eastAsia"/>
        </w:rPr>
        <w:t>作为属地管理单位，屯城镇政府积极配合县级部门开展事故善后与隐患排查工作。</w:t>
      </w:r>
      <w:r>
        <w:rPr>
          <w:rFonts w:hint="eastAsia"/>
          <w:b/>
          <w:bCs/>
        </w:rPr>
        <w:t>一是</w:t>
      </w:r>
      <w:r>
        <w:rPr>
          <w:rFonts w:hint="eastAsia"/>
        </w:rPr>
        <w:t>组织社区干部入户宣传交通安全法规，尤其针对外来务工人员开展“以案释法”教育；</w:t>
      </w:r>
      <w:r>
        <w:rPr>
          <w:rFonts w:hint="eastAsia"/>
          <w:b/>
          <w:bCs/>
        </w:rPr>
        <w:t>二是</w:t>
      </w:r>
      <w:r>
        <w:rPr>
          <w:rFonts w:hint="eastAsia"/>
        </w:rPr>
        <w:t>协调高速公路运营单位，在事故多发弯道加装防滑标线及反光轮廓标；</w:t>
      </w:r>
      <w:r>
        <w:rPr>
          <w:rFonts w:hint="eastAsia"/>
          <w:b/>
          <w:bCs/>
        </w:rPr>
        <w:t>三是</w:t>
      </w:r>
      <w:r>
        <w:rPr>
          <w:rFonts w:hint="eastAsia"/>
        </w:rPr>
        <w:t>推动建立“路警企”三方联动机制，实现施工信息提前报备、风险协同管控。</w:t>
      </w:r>
    </w:p>
    <w:p w14:paraId="176D9234">
      <w:pPr>
        <w:rPr>
          <w:rFonts w:hint="eastAsia" w:ascii="楷体_GB2312" w:hAnsi="楷体_GB2312" w:eastAsia="楷体_GB2312" w:cs="楷体_GB2312"/>
          <w:lang w:eastAsia="zh-CN"/>
        </w:rPr>
      </w:pPr>
      <w:r>
        <w:rPr>
          <w:rFonts w:hint="eastAsia" w:ascii="楷体_GB2312" w:hAnsi="楷体_GB2312" w:eastAsia="楷体_GB2312" w:cs="楷体_GB2312"/>
        </w:rPr>
        <w:t>（</w:t>
      </w:r>
      <w:r>
        <w:rPr>
          <w:rFonts w:hint="eastAsia" w:ascii="楷体_GB2312" w:hAnsi="楷体_GB2312" w:eastAsia="楷体_GB2312" w:cs="楷体_GB2312"/>
          <w:lang w:eastAsia="zh-CN"/>
        </w:rPr>
        <w:t>五</w:t>
      </w:r>
      <w:r>
        <w:rPr>
          <w:rFonts w:hint="eastAsia" w:ascii="楷体_GB2312" w:hAnsi="楷体_GB2312" w:eastAsia="楷体_GB2312" w:cs="楷体_GB2312"/>
        </w:rPr>
        <w:t>）涉事企业整改情况</w:t>
      </w:r>
    </w:p>
    <w:p w14:paraId="13146C19">
      <w:pPr>
        <w:rPr>
          <w:rFonts w:hint="eastAsia"/>
        </w:rPr>
      </w:pPr>
      <w:r>
        <w:rPr>
          <w:rFonts w:hint="eastAsia"/>
        </w:rPr>
        <w:t>海南恒通亿路桥养护劳务有限公司已按要求完成整改：</w:t>
      </w:r>
      <w:r>
        <w:rPr>
          <w:rFonts w:hint="eastAsia"/>
          <w:b/>
          <w:bCs/>
        </w:rPr>
        <w:t>一是</w:t>
      </w:r>
      <w:r>
        <w:rPr>
          <w:rFonts w:hint="eastAsia"/>
        </w:rPr>
        <w:t>重新编制《高速公路施工作业安全操作规程》，明确警示标志设置距离不得少于</w:t>
      </w:r>
      <w:r>
        <w:rPr>
          <w:rFonts w:hint="eastAsia"/>
          <w:lang w:eastAsia="zh-CN"/>
        </w:rPr>
        <w:t>标准要求</w:t>
      </w:r>
      <w:r>
        <w:rPr>
          <w:rFonts w:hint="eastAsia"/>
        </w:rPr>
        <w:t>；</w:t>
      </w:r>
      <w:r>
        <w:rPr>
          <w:rFonts w:hint="eastAsia"/>
          <w:b/>
          <w:bCs/>
        </w:rPr>
        <w:t>二是</w:t>
      </w:r>
      <w:r>
        <w:rPr>
          <w:rFonts w:hint="eastAsia"/>
        </w:rPr>
        <w:t>为所有施工车辆加装符合国标的反光标识及侧后防护装置；</w:t>
      </w:r>
      <w:r>
        <w:rPr>
          <w:rFonts w:hint="eastAsia"/>
          <w:b/>
          <w:bCs/>
        </w:rPr>
        <w:t>三是</w:t>
      </w:r>
      <w:r>
        <w:rPr>
          <w:rFonts w:hint="eastAsia"/>
        </w:rPr>
        <w:t>组织全体员工参加由县交通局主办的安全生产专题培训班，并考核合格。公司法人代表张某勇作出书面承诺，坚决杜绝违规作业行为。</w:t>
      </w:r>
    </w:p>
    <w:p w14:paraId="4AE0EA1C">
      <w:pPr>
        <w:rPr>
          <w:rFonts w:hint="eastAsia" w:ascii="黑体" w:hAnsi="黑体" w:eastAsia="黑体" w:cs="黑体"/>
        </w:rPr>
      </w:pPr>
      <w:r>
        <w:rPr>
          <w:rFonts w:hint="eastAsia" w:ascii="黑体" w:hAnsi="黑体" w:eastAsia="黑体" w:cs="黑体"/>
        </w:rPr>
        <w:t>三、责任追究及其他处理情况</w:t>
      </w:r>
    </w:p>
    <w:p w14:paraId="5D1362E5">
      <w:pPr>
        <w:rPr>
          <w:rFonts w:hint="eastAsia" w:eastAsia="仿宋_GB2312"/>
          <w:lang w:eastAsia="zh-CN"/>
        </w:rPr>
      </w:pPr>
      <w:r>
        <w:rPr>
          <w:rFonts w:hint="eastAsia"/>
        </w:rPr>
        <w:t>根据事故认定及调查结果：</w:t>
      </w:r>
    </w:p>
    <w:p w14:paraId="4FB6A45B">
      <w:pPr>
        <w:rPr>
          <w:rFonts w:hint="eastAsia"/>
        </w:rPr>
      </w:pPr>
      <w:r>
        <w:rPr>
          <w:rFonts w:hint="eastAsia"/>
        </w:rPr>
        <w:t>当事人张某国因涉嫌交通肇事罪已被司法机关依法处理。海南恒通亿路桥养护劳务有限公司对施工现场安全管理不到位问题进行深刻反思，对公司安全管理制度进行全面修订完善，对相关责任人进行严肃处理，公司法定代表人张某勇已向县交通运输局作出书面检查。事故相关车辆已按规定完成维修整改，经检测合格后方可上路行驶。</w:t>
      </w:r>
    </w:p>
    <w:p w14:paraId="4FDEFD84">
      <w:pPr>
        <w:rPr>
          <w:rFonts w:hint="eastAsia"/>
        </w:rPr>
      </w:pPr>
      <w:r>
        <w:rPr>
          <w:rFonts w:hint="eastAsia"/>
        </w:rPr>
        <w:t>死者也胜利的善后赔偿事宜已由相关保险公司及涉事方协商解决，家属情绪稳定。</w:t>
      </w:r>
    </w:p>
    <w:p w14:paraId="4EA9BBF1">
      <w:pPr>
        <w:rPr>
          <w:rFonts w:hint="eastAsia" w:ascii="黑体" w:hAnsi="黑体" w:eastAsia="黑体" w:cs="黑体"/>
        </w:rPr>
      </w:pPr>
      <w:r>
        <w:rPr>
          <w:rFonts w:hint="eastAsia" w:ascii="黑体" w:hAnsi="黑体" w:eastAsia="黑体" w:cs="黑体"/>
        </w:rPr>
        <w:t>四、评估意见</w:t>
      </w:r>
    </w:p>
    <w:p w14:paraId="7EEB4B4F">
      <w:pPr>
        <w:rPr>
          <w:rFonts w:hint="eastAsia"/>
        </w:rPr>
      </w:pPr>
      <w:r>
        <w:rPr>
          <w:rFonts w:hint="eastAsia"/>
        </w:rPr>
        <w:t>评估工作组认为，本起事故调查程序合法、事实清楚、责任认定准确，提出的整改建议具有针对性和可操作性。各相关单位能够认真吸取事故教训，举一反三，从源头治理、过程监管、应急处置等环节强化道路交通安全管理工作。整改措施基本落实到位，长效机制初步建立，有效防范了同类事故再次发生。</w:t>
      </w:r>
    </w:p>
    <w:p w14:paraId="7E3EAA28">
      <w:pPr>
        <w:rPr>
          <w:rFonts w:hint="eastAsia" w:eastAsia="仿宋_GB2312"/>
          <w:lang w:eastAsia="zh-CN"/>
        </w:rPr>
      </w:pPr>
      <w:r>
        <w:rPr>
          <w:rFonts w:hint="eastAsia"/>
        </w:rPr>
        <w:t>建议下一步持续加强以下工作：</w:t>
      </w:r>
    </w:p>
    <w:p w14:paraId="60964608">
      <w:pPr>
        <w:rPr>
          <w:rFonts w:hint="eastAsia" w:eastAsia="仿宋_GB2312"/>
          <w:lang w:eastAsia="zh-CN"/>
        </w:rPr>
      </w:pPr>
      <w:r>
        <w:rPr>
          <w:rFonts w:hint="eastAsia"/>
        </w:rPr>
        <w:t>1.推动高速公路施工备案与公安交警信息共享机制常态化；</w:t>
      </w:r>
    </w:p>
    <w:p w14:paraId="371EA38B">
      <w:pPr>
        <w:rPr>
          <w:rFonts w:hint="eastAsia" w:eastAsia="仿宋_GB2312"/>
          <w:lang w:eastAsia="zh-CN"/>
        </w:rPr>
      </w:pPr>
      <w:r>
        <w:rPr>
          <w:rFonts w:hint="eastAsia"/>
        </w:rPr>
        <w:t>2.加大对货运车辆技术状况的抽查检测力度，严查“带病上路”；</w:t>
      </w:r>
    </w:p>
    <w:p w14:paraId="4593A240">
      <w:r>
        <w:rPr>
          <w:rFonts w:hint="eastAsia"/>
        </w:rPr>
        <w:t>3.将农村自建房建材运输纳入重点监管范畴，防止超限超载向乡村道路转移。</w:t>
      </w:r>
    </w:p>
    <w:sectPr>
      <w:pgSz w:w="11906" w:h="16838"/>
      <w:pgMar w:top="1928" w:right="1474" w:bottom="170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91FD2"/>
    <w:rsid w:val="14926240"/>
    <w:rsid w:val="16C60CFC"/>
    <w:rsid w:val="33D00A90"/>
    <w:rsid w:val="3E386FDF"/>
    <w:rsid w:val="413E128D"/>
    <w:rsid w:val="4E2A6AA9"/>
    <w:rsid w:val="546B3B94"/>
    <w:rsid w:val="643140F8"/>
    <w:rsid w:val="6EA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88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590" w:lineRule="exact"/>
      <w:outlineLvl w:val="0"/>
    </w:pPr>
    <w:rPr>
      <w:rFonts w:ascii="楷体_GB2312" w:hAnsi="楷体_GB2312" w:eastAsia="楷体_GB2312" w:cs="楷体_GB2312"/>
      <w:kern w:val="44"/>
      <w:sz w:val="32"/>
    </w:rPr>
  </w:style>
  <w:style w:type="paragraph" w:styleId="3">
    <w:name w:val="heading 2"/>
    <w:basedOn w:val="1"/>
    <w:next w:val="1"/>
    <w:semiHidden/>
    <w:unhideWhenUsed/>
    <w:qFormat/>
    <w:uiPriority w:val="0"/>
    <w:pPr>
      <w:keepNext/>
      <w:keepLines/>
      <w:spacing w:beforeLines="0" w:beforeAutospacing="0" w:afterLines="0" w:afterAutospacing="0" w:line="590" w:lineRule="exact"/>
      <w:outlineLvl w:val="1"/>
    </w:pPr>
    <w:rPr>
      <w:rFonts w:ascii="黑体" w:hAnsi="黑体" w:eastAsia="黑体" w:cs="黑体"/>
      <w:sz w:val="32"/>
    </w:rPr>
  </w:style>
  <w:style w:type="paragraph" w:styleId="4">
    <w:name w:val="heading 3"/>
    <w:basedOn w:val="1"/>
    <w:next w:val="1"/>
    <w:unhideWhenUsed/>
    <w:qFormat/>
    <w:uiPriority w:val="0"/>
    <w:pPr>
      <w:keepNext/>
      <w:keepLines/>
      <w:spacing w:beforeLines="0" w:beforeAutospacing="0" w:afterLines="0" w:afterAutospacing="0" w:line="680" w:lineRule="exact"/>
      <w:ind w:firstLine="0" w:firstLineChars="0"/>
      <w:jc w:val="center"/>
      <w:outlineLvl w:val="2"/>
    </w:pPr>
    <w:rPr>
      <w:rFonts w:ascii="方正小标宋_GBK" w:hAnsi="方正小标宋_GBK" w:eastAsia="方正小标宋_GBK" w:cs="方正小标宋_GBK"/>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1543</Words>
  <Characters>1586</Characters>
  <Lines>0</Lines>
  <Paragraphs>0</Paragraphs>
  <TotalTime>12</TotalTime>
  <ScaleCrop>false</ScaleCrop>
  <LinksUpToDate>false</LinksUpToDate>
  <CharactersWithSpaces>1586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2025-11-02T03:36:00Z</dcterms:created>
  <dc:creator>Administrator</dc:creator>
  <cp:lastModifiedBy>努力…</cp:lastModifiedBy>
  <dcterms:modified xsi:type="dcterms:W3CDTF">2026-01-16T05:04:35Z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eyJoZGlkIjoiOTk2OTYxYWQ1MTgwZjIzYmVjZDk4YjRlYjAzOWE0MDgiLCJ1c2VySWQiOiIyNTg4NDk0OTQifQ==</vt:lpwstr>
  </property>
  <property fmtid="{D5CDD505-2E9C-101B-9397-08002B2CF9AE}" pid="4" name="ICV">
    <vt:lpwstr>95008001B1E24BC388B708AE6B73713A_12</vt:lpwstr>
  </property>
</Properties>
</file>