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仿宋_GB2312" w:hAnsi="黑体" w:eastAsia="仿宋_GB2312" w:cs="文星简仿宋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文星简仿宋"/>
          <w:sz w:val="32"/>
          <w:szCs w:val="32"/>
          <w:lang w:val="en-US" w:eastAsia="zh-CN"/>
        </w:rPr>
        <w:t xml:space="preserve"> </w:t>
      </w:r>
    </w:p>
    <w:p>
      <w:pPr>
        <w:spacing w:line="580" w:lineRule="exact"/>
        <w:jc w:val="center"/>
        <w:rPr>
          <w:rFonts w:hint="eastAsia" w:ascii="仿宋_GB2312" w:hAnsi="黑体" w:eastAsia="仿宋_GB2312" w:cs="文星简仿宋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ascii="文星简黑体" w:eastAsia="文星简黑体"/>
          <w:sz w:val="52"/>
          <w:szCs w:val="52"/>
        </w:rPr>
      </w:pPr>
    </w:p>
    <w:p>
      <w:pPr>
        <w:spacing w:line="580" w:lineRule="exact"/>
        <w:jc w:val="center"/>
        <w:rPr>
          <w:rFonts w:ascii="文星简黑体" w:eastAsia="文星简黑体"/>
          <w:sz w:val="52"/>
          <w:szCs w:val="52"/>
        </w:rPr>
      </w:pPr>
    </w:p>
    <w:p>
      <w:pPr>
        <w:spacing w:line="580" w:lineRule="exact"/>
        <w:jc w:val="center"/>
        <w:rPr>
          <w:rFonts w:ascii="文星简黑体" w:hAnsi="黑体" w:eastAsia="文星简黑体"/>
          <w:sz w:val="52"/>
          <w:szCs w:val="52"/>
        </w:rPr>
      </w:pP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  <w:t>督查工作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项目支出绩效评价报告</w:t>
      </w:r>
    </w:p>
    <w:p>
      <w:pPr>
        <w:spacing w:line="580" w:lineRule="exact"/>
        <w:jc w:val="right"/>
        <w:rPr>
          <w:rFonts w:ascii="文星简黑体" w:eastAsia="文星简黑体"/>
          <w:sz w:val="52"/>
          <w:szCs w:val="52"/>
        </w:rPr>
      </w:pPr>
    </w:p>
    <w:p>
      <w:pPr>
        <w:spacing w:line="580" w:lineRule="exact"/>
        <w:jc w:val="center"/>
        <w:rPr>
          <w:rFonts w:ascii="文星简黑体" w:eastAsia="文星简黑体"/>
          <w:sz w:val="52"/>
          <w:szCs w:val="52"/>
        </w:rPr>
      </w:pPr>
    </w:p>
    <w:p>
      <w:pPr>
        <w:spacing w:line="580" w:lineRule="exact"/>
        <w:jc w:val="center"/>
        <w:rPr>
          <w:rFonts w:ascii="文星简黑体" w:eastAsia="文星简黑体"/>
          <w:sz w:val="52"/>
          <w:szCs w:val="52"/>
        </w:rPr>
      </w:pPr>
    </w:p>
    <w:p>
      <w:pPr>
        <w:spacing w:line="580" w:lineRule="exact"/>
        <w:jc w:val="center"/>
        <w:rPr>
          <w:rFonts w:ascii="文星简黑体" w:eastAsia="文星简黑体"/>
          <w:sz w:val="52"/>
          <w:szCs w:val="52"/>
        </w:rPr>
      </w:pPr>
    </w:p>
    <w:p>
      <w:pPr>
        <w:spacing w:line="580" w:lineRule="exact"/>
        <w:jc w:val="center"/>
        <w:rPr>
          <w:rFonts w:ascii="文星简黑体" w:eastAsia="文星简黑体"/>
          <w:sz w:val="52"/>
          <w:szCs w:val="52"/>
        </w:rPr>
      </w:pPr>
    </w:p>
    <w:p>
      <w:pPr>
        <w:spacing w:before="120" w:after="120" w:line="580" w:lineRule="exact"/>
        <w:jc w:val="center"/>
        <w:rPr>
          <w:rFonts w:ascii="文星简黑体" w:eastAsia="文星简黑体"/>
          <w:sz w:val="28"/>
          <w:szCs w:val="28"/>
        </w:rPr>
      </w:pPr>
    </w:p>
    <w:p>
      <w:pPr>
        <w:spacing w:before="120" w:after="120" w:line="580" w:lineRule="exact"/>
        <w:jc w:val="center"/>
        <w:rPr>
          <w:rFonts w:ascii="文星简黑体" w:eastAsia="文星简黑体"/>
          <w:sz w:val="30"/>
          <w:szCs w:val="30"/>
        </w:rPr>
      </w:pPr>
    </w:p>
    <w:p>
      <w:pPr>
        <w:spacing w:before="120" w:after="120" w:line="58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 w:cs="文星简黑体"/>
          <w:sz w:val="30"/>
          <w:szCs w:val="30"/>
        </w:rPr>
        <w:t>20</w:t>
      </w:r>
      <w:r>
        <w:rPr>
          <w:rFonts w:hint="eastAsia" w:ascii="黑体" w:hAnsi="黑体" w:eastAsia="黑体" w:cs="文星简黑体"/>
          <w:sz w:val="30"/>
          <w:szCs w:val="30"/>
        </w:rPr>
        <w:t>24年</w:t>
      </w:r>
      <w:r>
        <w:rPr>
          <w:rFonts w:hint="eastAsia" w:ascii="黑体" w:hAnsi="黑体" w:eastAsia="黑体" w:cs="文星简黑体"/>
          <w:sz w:val="30"/>
          <w:szCs w:val="30"/>
          <w:lang w:val="en-US" w:eastAsia="zh-CN"/>
        </w:rPr>
        <w:t>11</w:t>
      </w:r>
      <w:r>
        <w:rPr>
          <w:rFonts w:hint="eastAsia" w:ascii="黑体" w:hAnsi="黑体" w:eastAsia="黑体" w:cs="文星简黑体"/>
          <w:sz w:val="30"/>
          <w:szCs w:val="30"/>
        </w:rPr>
        <w:t>月</w:t>
      </w:r>
    </w:p>
    <w:p>
      <w:pPr>
        <w:spacing w:line="600" w:lineRule="exact"/>
        <w:jc w:val="center"/>
      </w:pPr>
    </w:p>
    <w:p>
      <w:pPr>
        <w:spacing w:line="600" w:lineRule="exact"/>
        <w:jc w:val="center"/>
      </w:pPr>
    </w:p>
    <w:p>
      <w:pPr>
        <w:spacing w:line="600" w:lineRule="exact"/>
        <w:jc w:val="center"/>
      </w:pPr>
    </w:p>
    <w:p>
      <w:pPr>
        <w:spacing w:line="600" w:lineRule="exact"/>
        <w:jc w:val="center"/>
      </w:pPr>
    </w:p>
    <w:p>
      <w:pPr>
        <w:spacing w:line="600" w:lineRule="exact"/>
        <w:jc w:val="center"/>
      </w:pPr>
    </w:p>
    <w:p>
      <w:pPr>
        <w:spacing w:line="600" w:lineRule="exact"/>
        <w:jc w:val="center"/>
      </w:pPr>
    </w:p>
    <w:p>
      <w:pPr>
        <w:spacing w:line="560" w:lineRule="exact"/>
        <w:jc w:val="center"/>
      </w:pPr>
    </w:p>
    <w:p>
      <w:pPr>
        <w:pageBreakBefore w:val="0"/>
        <w:kinsoku/>
        <w:wordWrap/>
        <w:topLinePunct w:val="0"/>
        <w:bidi w:val="0"/>
        <w:adjustRightInd/>
        <w:snapToGrid/>
        <w:spacing w:line="590" w:lineRule="exact"/>
        <w:jc w:val="center"/>
        <w:textAlignment w:val="auto"/>
        <w:rPr>
          <w:rFonts w:ascii="仿宋_GB2312"/>
          <w:sz w:val="2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目录</w:t>
      </w:r>
      <w:bookmarkStart w:id="0" w:name="_Toc413586939"/>
    </w:p>
    <w:bookmarkEnd w:id="0"/>
    <w:p>
      <w:pPr>
        <w:pageBreakBefore w:val="0"/>
        <w:kinsoku/>
        <w:wordWrap/>
        <w:topLinePunct w:val="0"/>
        <w:bidi w:val="0"/>
        <w:adjustRightInd/>
        <w:snapToGrid/>
        <w:spacing w:line="590" w:lineRule="exact"/>
        <w:textAlignment w:val="auto"/>
        <w:rPr>
          <w:rFonts w:ascii="仿宋_GB2312" w:cs="仿宋_GB2312"/>
          <w:sz w:val="20"/>
          <w:szCs w:val="32"/>
        </w:rPr>
      </w:pPr>
      <w:bookmarkStart w:id="1" w:name="_Toc13926"/>
      <w:bookmarkStart w:id="2" w:name="_Toc397505036"/>
    </w:p>
    <w:p>
      <w:pPr>
        <w:pStyle w:val="10"/>
        <w:pageBreakBefore w:val="0"/>
        <w:numPr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left="640" w:leftChars="0"/>
        <w:textAlignment w:val="auto"/>
        <w:rPr>
          <w:rFonts w:ascii="仿宋_GB2312" w:hAnsi="仿宋_GB2312" w:cs="仿宋_GB2312"/>
          <w:sz w:val="28"/>
        </w:rPr>
      </w:pPr>
      <w:r>
        <w:rPr>
          <w:rFonts w:hint="eastAsia" w:ascii="黑体" w:hAnsi="黑体" w:eastAsia="黑体" w:cs="仿宋_GB2312"/>
          <w:sz w:val="28"/>
          <w:lang w:eastAsia="zh-CN"/>
        </w:rPr>
        <w:t>一、</w:t>
      </w:r>
      <w:r>
        <w:rPr>
          <w:rFonts w:hint="eastAsia" w:ascii="黑体" w:hAnsi="黑体" w:eastAsia="黑体" w:cs="仿宋_GB2312"/>
          <w:sz w:val="28"/>
        </w:rPr>
        <w:t>项目基本情况</w:t>
      </w:r>
      <w:bookmarkEnd w:id="1"/>
      <w:bookmarkEnd w:id="2"/>
    </w:p>
    <w:p>
      <w:pPr>
        <w:pStyle w:val="10"/>
        <w:pageBreakBefore w:val="0"/>
        <w:kinsoku/>
        <w:wordWrap/>
        <w:topLinePunct w:val="0"/>
        <w:bidi w:val="0"/>
        <w:adjustRightInd/>
        <w:snapToGrid/>
        <w:spacing w:line="590" w:lineRule="exact"/>
        <w:ind w:firstLine="560" w:firstLineChars="200"/>
        <w:textAlignment w:val="auto"/>
        <w:rPr>
          <w:rFonts w:ascii="仿宋_GB2312"/>
          <w:sz w:val="28"/>
        </w:rPr>
      </w:pPr>
      <w:r>
        <w:rPr>
          <w:rFonts w:hint="eastAsia" w:ascii="楷体_GB2312" w:eastAsia="楷体_GB2312" w:cs="仿宋_GB2312"/>
          <w:sz w:val="28"/>
        </w:rPr>
        <w:t>（一）</w:t>
      </w:r>
      <w:r>
        <w:rPr>
          <w:rFonts w:hint="eastAsia" w:ascii="楷体_GB2312" w:eastAsia="楷体_GB2312"/>
          <w:sz w:val="28"/>
        </w:rPr>
        <w:t>项目立项背景及实施目的</w:t>
      </w:r>
    </w:p>
    <w:p>
      <w:pPr>
        <w:pStyle w:val="10"/>
        <w:pageBreakBefore w:val="0"/>
        <w:kinsoku/>
        <w:wordWrap/>
        <w:topLinePunct w:val="0"/>
        <w:bidi w:val="0"/>
        <w:adjustRightInd/>
        <w:snapToGrid/>
        <w:spacing w:line="590" w:lineRule="exact"/>
        <w:ind w:firstLine="560" w:firstLineChars="200"/>
        <w:textAlignment w:val="auto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（二）项目预算安排和支出情况</w:t>
      </w:r>
    </w:p>
    <w:p>
      <w:pPr>
        <w:pStyle w:val="10"/>
        <w:pageBreakBefore w:val="0"/>
        <w:kinsoku/>
        <w:wordWrap/>
        <w:topLinePunct w:val="0"/>
        <w:bidi w:val="0"/>
        <w:adjustRightInd/>
        <w:snapToGrid/>
        <w:spacing w:line="590" w:lineRule="exact"/>
        <w:ind w:firstLine="560" w:firstLineChars="200"/>
        <w:textAlignment w:val="auto"/>
        <w:rPr>
          <w:rFonts w:ascii="楷体_GB2312" w:eastAsia="楷体_GB2312" w:cs="仿宋_GB2312"/>
          <w:sz w:val="28"/>
        </w:rPr>
      </w:pPr>
      <w:r>
        <w:rPr>
          <w:rFonts w:hint="eastAsia" w:ascii="楷体_GB2312" w:eastAsia="楷体_GB2312"/>
          <w:sz w:val="28"/>
        </w:rPr>
        <w:t>（三）项目主要内容和实施情况</w:t>
      </w:r>
    </w:p>
    <w:p>
      <w:pPr>
        <w:pStyle w:val="10"/>
        <w:pageBreakBefore w:val="0"/>
        <w:numPr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left="640" w:leftChars="0"/>
        <w:textAlignment w:val="auto"/>
        <w:rPr>
          <w:rFonts w:ascii="黑体" w:hAnsi="黑体" w:eastAsia="黑体" w:cs="仿宋_GB2312"/>
          <w:sz w:val="28"/>
        </w:rPr>
      </w:pPr>
      <w:bookmarkStart w:id="3" w:name="_Toc16170"/>
      <w:bookmarkStart w:id="4" w:name="_Toc397505037"/>
      <w:r>
        <w:rPr>
          <w:rFonts w:hint="eastAsia" w:ascii="黑体" w:hAnsi="黑体" w:eastAsia="黑体" w:cs="仿宋_GB2312"/>
          <w:sz w:val="28"/>
          <w:lang w:eastAsia="zh-CN"/>
        </w:rPr>
        <w:t>二、</w:t>
      </w:r>
      <w:r>
        <w:rPr>
          <w:rFonts w:hint="eastAsia" w:ascii="黑体" w:hAnsi="黑体" w:eastAsia="黑体" w:cs="仿宋_GB2312"/>
          <w:sz w:val="28"/>
        </w:rPr>
        <w:t>项目绩效目标</w:t>
      </w:r>
    </w:p>
    <w:p>
      <w:pPr>
        <w:pStyle w:val="10"/>
        <w:pageBreakBefore w:val="0"/>
        <w:numPr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left="640" w:leftChars="0"/>
        <w:textAlignment w:val="auto"/>
        <w:rPr>
          <w:rFonts w:ascii="黑体" w:hAnsi="黑体" w:eastAsia="黑体" w:cs="仿宋_GB2312"/>
          <w:sz w:val="28"/>
        </w:rPr>
      </w:pPr>
      <w:r>
        <w:rPr>
          <w:rFonts w:hint="eastAsia" w:ascii="黑体" w:hAnsi="黑体" w:eastAsia="黑体" w:cs="仿宋_GB2312"/>
          <w:sz w:val="28"/>
          <w:lang w:eastAsia="zh-CN"/>
        </w:rPr>
        <w:t>三、</w:t>
      </w:r>
      <w:r>
        <w:rPr>
          <w:rFonts w:hint="eastAsia" w:ascii="黑体" w:hAnsi="黑体" w:eastAsia="黑体" w:cs="仿宋_GB2312"/>
          <w:sz w:val="28"/>
        </w:rPr>
        <w:t>评价基本情况</w:t>
      </w:r>
      <w:bookmarkEnd w:id="3"/>
      <w:bookmarkEnd w:id="4"/>
    </w:p>
    <w:p>
      <w:pPr>
        <w:pStyle w:val="10"/>
        <w:pageBreakBefore w:val="0"/>
        <w:kinsoku/>
        <w:wordWrap/>
        <w:topLinePunct w:val="0"/>
        <w:bidi w:val="0"/>
        <w:adjustRightInd/>
        <w:snapToGrid/>
        <w:spacing w:line="590" w:lineRule="exact"/>
        <w:ind w:firstLine="560" w:firstLineChars="200"/>
        <w:textAlignment w:val="auto"/>
        <w:rPr>
          <w:rFonts w:ascii="楷体_GB2312" w:eastAsia="楷体_GB2312"/>
          <w:sz w:val="28"/>
        </w:rPr>
      </w:pPr>
      <w:bookmarkStart w:id="5" w:name="_Toc413586940"/>
      <w:r>
        <w:rPr>
          <w:rFonts w:hint="eastAsia" w:ascii="楷体_GB2312" w:eastAsia="楷体_GB2312"/>
          <w:sz w:val="28"/>
        </w:rPr>
        <w:t>（一）绩效评价目的、对象和范围</w:t>
      </w:r>
    </w:p>
    <w:p>
      <w:pPr>
        <w:pStyle w:val="10"/>
        <w:pageBreakBefore w:val="0"/>
        <w:kinsoku/>
        <w:wordWrap/>
        <w:topLinePunct w:val="0"/>
        <w:bidi w:val="0"/>
        <w:adjustRightInd/>
        <w:snapToGrid/>
        <w:spacing w:line="590" w:lineRule="exact"/>
        <w:ind w:firstLine="560" w:firstLineChars="200"/>
        <w:textAlignment w:val="auto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（二）绩效评价</w:t>
      </w:r>
      <w:r>
        <w:rPr>
          <w:rFonts w:hint="eastAsia" w:ascii="楷体_GB2312" w:eastAsia="楷体_GB2312"/>
          <w:sz w:val="28"/>
          <w:lang w:eastAsia="zh-CN"/>
        </w:rPr>
        <w:t>依据、</w:t>
      </w:r>
      <w:r>
        <w:rPr>
          <w:rFonts w:hint="eastAsia" w:ascii="楷体_GB2312" w:eastAsia="楷体_GB2312"/>
          <w:sz w:val="28"/>
        </w:rPr>
        <w:t>原则、</w:t>
      </w:r>
      <w:r>
        <w:rPr>
          <w:rFonts w:hint="eastAsia" w:ascii="楷体_GB2312" w:eastAsia="楷体_GB2312"/>
          <w:sz w:val="28"/>
          <w:lang w:eastAsia="zh-CN"/>
        </w:rPr>
        <w:t>方法</w:t>
      </w:r>
    </w:p>
    <w:p>
      <w:pPr>
        <w:pStyle w:val="10"/>
        <w:pageBreakBefore w:val="0"/>
        <w:kinsoku/>
        <w:wordWrap/>
        <w:topLinePunct w:val="0"/>
        <w:bidi w:val="0"/>
        <w:adjustRightInd/>
        <w:snapToGrid/>
        <w:spacing w:line="590" w:lineRule="exact"/>
        <w:ind w:firstLine="560" w:firstLineChars="200"/>
        <w:textAlignment w:val="auto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（三）绩效评价工作过程</w:t>
      </w:r>
    </w:p>
    <w:p>
      <w:pPr>
        <w:pStyle w:val="10"/>
        <w:pageBreakBefore w:val="0"/>
        <w:kinsoku/>
        <w:wordWrap/>
        <w:topLinePunct w:val="0"/>
        <w:bidi w:val="0"/>
        <w:adjustRightInd/>
        <w:snapToGrid/>
        <w:spacing w:line="590" w:lineRule="exact"/>
        <w:ind w:firstLine="560" w:firstLineChars="200"/>
        <w:textAlignment w:val="auto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（四）评价原则、评价方法。</w:t>
      </w:r>
    </w:p>
    <w:p>
      <w:pPr>
        <w:pStyle w:val="10"/>
        <w:pageBreakBefore w:val="0"/>
        <w:kinsoku/>
        <w:wordWrap/>
        <w:topLinePunct w:val="0"/>
        <w:bidi w:val="0"/>
        <w:adjustRightInd/>
        <w:snapToGrid/>
        <w:spacing w:line="590" w:lineRule="exact"/>
        <w:ind w:firstLine="560" w:firstLineChars="200"/>
        <w:textAlignment w:val="auto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（五）绩效评价指标体系。</w:t>
      </w:r>
    </w:p>
    <w:p>
      <w:pPr>
        <w:pStyle w:val="10"/>
        <w:pageBreakBefore w:val="0"/>
        <w:kinsoku/>
        <w:wordWrap/>
        <w:topLinePunct w:val="0"/>
        <w:bidi w:val="0"/>
        <w:adjustRightInd/>
        <w:snapToGrid/>
        <w:spacing w:line="590" w:lineRule="exact"/>
        <w:ind w:firstLine="560" w:firstLineChars="200"/>
        <w:textAlignment w:val="auto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（六）评价人员组成。</w:t>
      </w:r>
    </w:p>
    <w:p>
      <w:pPr>
        <w:pStyle w:val="10"/>
        <w:pageBreakBefore w:val="0"/>
        <w:kinsoku/>
        <w:wordWrap/>
        <w:topLinePunct w:val="0"/>
        <w:bidi w:val="0"/>
        <w:adjustRightInd/>
        <w:snapToGrid/>
        <w:spacing w:line="590" w:lineRule="exact"/>
        <w:ind w:firstLine="560" w:firstLineChars="200"/>
        <w:textAlignment w:val="auto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（七）绩效评价工作过程</w:t>
      </w:r>
    </w:p>
    <w:p>
      <w:pPr>
        <w:pStyle w:val="10"/>
        <w:pageBreakBefore w:val="0"/>
        <w:numPr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left="640" w:leftChars="0"/>
        <w:textAlignment w:val="auto"/>
        <w:rPr>
          <w:rFonts w:ascii="黑体" w:hAnsi="黑体" w:eastAsia="黑体" w:cs="仿宋_GB2312"/>
          <w:sz w:val="28"/>
        </w:rPr>
      </w:pPr>
      <w:r>
        <w:rPr>
          <w:rFonts w:hint="eastAsia" w:ascii="黑体" w:hAnsi="黑体" w:eastAsia="黑体" w:cs="仿宋_GB2312"/>
          <w:sz w:val="28"/>
          <w:lang w:eastAsia="zh-CN"/>
        </w:rPr>
        <w:t>四、</w:t>
      </w:r>
      <w:r>
        <w:rPr>
          <w:rFonts w:hint="eastAsia" w:ascii="黑体" w:hAnsi="黑体" w:eastAsia="黑体" w:cs="仿宋_GB2312"/>
          <w:sz w:val="28"/>
        </w:rPr>
        <w:t>评价结论和绩效分析</w:t>
      </w:r>
    </w:p>
    <w:p>
      <w:pPr>
        <w:pStyle w:val="10"/>
        <w:pageBreakBefore w:val="0"/>
        <w:kinsoku/>
        <w:wordWrap/>
        <w:topLinePunct w:val="0"/>
        <w:bidi w:val="0"/>
        <w:adjustRightInd/>
        <w:snapToGrid/>
        <w:spacing w:line="590" w:lineRule="exact"/>
        <w:ind w:left="640"/>
        <w:textAlignment w:val="auto"/>
        <w:rPr>
          <w:rFonts w:ascii="楷体_GB2312" w:hAnsi="仿宋_GB2312" w:eastAsia="楷体_GB2312" w:cs="仿宋_GB2312"/>
          <w:sz w:val="28"/>
        </w:rPr>
      </w:pPr>
      <w:r>
        <w:rPr>
          <w:rFonts w:hint="eastAsia" w:ascii="楷体_GB2312" w:hAnsi="仿宋_GB2312" w:eastAsia="楷体_GB2312" w:cs="仿宋_GB2312"/>
          <w:sz w:val="28"/>
        </w:rPr>
        <w:t>（一）综合评价结论</w:t>
      </w:r>
    </w:p>
    <w:p>
      <w:pPr>
        <w:pStyle w:val="10"/>
        <w:pageBreakBefore w:val="0"/>
        <w:kinsoku/>
        <w:wordWrap/>
        <w:topLinePunct w:val="0"/>
        <w:bidi w:val="0"/>
        <w:adjustRightInd/>
        <w:snapToGrid/>
        <w:spacing w:line="590" w:lineRule="exact"/>
        <w:ind w:left="640"/>
        <w:textAlignment w:val="auto"/>
        <w:rPr>
          <w:rFonts w:ascii="楷体_GB2312" w:eastAsia="楷体_GB2312" w:cs="仿宋_GB2312"/>
          <w:sz w:val="28"/>
        </w:rPr>
      </w:pPr>
      <w:r>
        <w:rPr>
          <w:rFonts w:hint="eastAsia" w:ascii="楷体_GB2312" w:eastAsia="楷体_GB2312" w:cs="仿宋_GB2312"/>
          <w:sz w:val="28"/>
        </w:rPr>
        <w:t>（二）绩效分析</w:t>
      </w:r>
    </w:p>
    <w:p>
      <w:pPr>
        <w:pStyle w:val="10"/>
        <w:pageBreakBefore w:val="0"/>
        <w:numPr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left="640" w:leftChars="0"/>
        <w:textAlignment w:val="auto"/>
        <w:rPr>
          <w:rFonts w:ascii="黑体" w:hAnsi="黑体" w:eastAsia="黑体" w:cs="仿宋_GB2312"/>
          <w:sz w:val="28"/>
        </w:rPr>
      </w:pPr>
      <w:bookmarkStart w:id="6" w:name="_Toc7500"/>
      <w:r>
        <w:rPr>
          <w:rFonts w:hint="eastAsia" w:ascii="黑体" w:hAnsi="黑体" w:eastAsia="黑体" w:cs="仿宋_GB2312"/>
          <w:sz w:val="28"/>
          <w:lang w:eastAsia="zh-CN"/>
        </w:rPr>
        <w:t>五、</w:t>
      </w:r>
      <w:r>
        <w:rPr>
          <w:rFonts w:hint="eastAsia" w:ascii="黑体" w:hAnsi="黑体" w:eastAsia="黑体" w:cs="仿宋_GB2312"/>
          <w:sz w:val="28"/>
        </w:rPr>
        <w:t>存在问题及原因分析</w:t>
      </w:r>
    </w:p>
    <w:p>
      <w:pPr>
        <w:pStyle w:val="10"/>
        <w:pageBreakBefore w:val="0"/>
        <w:numPr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left="640" w:leftChars="0"/>
        <w:textAlignment w:val="auto"/>
        <w:rPr>
          <w:rFonts w:ascii="黑体" w:hAnsi="黑体" w:eastAsia="黑体" w:cs="仿宋_GB2312"/>
          <w:sz w:val="28"/>
        </w:rPr>
      </w:pPr>
      <w:r>
        <w:rPr>
          <w:rFonts w:hint="eastAsia" w:ascii="黑体" w:hAnsi="黑体" w:eastAsia="黑体" w:cs="仿宋_GB2312"/>
          <w:sz w:val="28"/>
          <w:lang w:eastAsia="zh-CN"/>
        </w:rPr>
        <w:t>六、</w:t>
      </w:r>
      <w:r>
        <w:rPr>
          <w:rFonts w:hint="eastAsia" w:ascii="黑体" w:hAnsi="黑体" w:eastAsia="黑体" w:cs="仿宋_GB2312"/>
          <w:sz w:val="28"/>
        </w:rPr>
        <w:t>有关建议</w:t>
      </w:r>
      <w:bookmarkEnd w:id="6"/>
    </w:p>
    <w:bookmarkEnd w:id="5"/>
    <w:p>
      <w:pPr>
        <w:pageBreakBefore w:val="0"/>
        <w:kinsoku/>
        <w:wordWrap/>
        <w:topLinePunct w:val="0"/>
        <w:bidi w:val="0"/>
        <w:adjustRightInd/>
        <w:snapToGrid/>
        <w:spacing w:line="590" w:lineRule="exact"/>
        <w:jc w:val="center"/>
        <w:textAlignment w:val="auto"/>
        <w:rPr>
          <w:rFonts w:ascii="方正小标宋简体" w:hAnsi="方正小标宋简体" w:eastAsia="方正小标宋简体"/>
          <w:sz w:val="72"/>
          <w:szCs w:val="44"/>
        </w:rPr>
      </w:pPr>
    </w:p>
    <w:p>
      <w:pPr>
        <w:pageBreakBefore w:val="0"/>
        <w:kinsoku/>
        <w:wordWrap/>
        <w:topLinePunct w:val="0"/>
        <w:bidi w:val="0"/>
        <w:adjustRightInd/>
        <w:snapToGrid/>
        <w:spacing w:line="590" w:lineRule="exact"/>
        <w:textAlignment w:val="auto"/>
        <w:rPr>
          <w:rFonts w:ascii="方正小标宋简体" w:hAnsi="方正小标宋简体" w:eastAsia="方正小标宋简体"/>
          <w:sz w:val="7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（一）项目立项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背景及实施目的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/>
        </w:rPr>
      </w:pPr>
      <w:r>
        <w:rPr>
          <w:rFonts w:hint="eastAsia" w:ascii="仿宋_GB2312"/>
          <w:lang w:eastAsia="zh"/>
        </w:rPr>
        <w:t>县委办公室</w:t>
      </w:r>
      <w:r>
        <w:rPr>
          <w:rFonts w:hint="eastAsia" w:ascii="仿宋_GB2312"/>
        </w:rPr>
        <w:t>是县委的综合部门和办事机构，承担着参谋助手、督促检查、综合协调和服务保障职能，为县委领导、部门和基层提供优质高效服务。主要职能如下：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/>
        </w:rPr>
      </w:pPr>
      <w:r>
        <w:rPr>
          <w:rFonts w:hint="eastAsia" w:ascii="仿宋_GB2312"/>
        </w:rPr>
        <w:t>（1）围绕县委工作部署，对涉及全县经济建设、社会发展、党的自身建设等全局性的重大问题进行调查研究，为县委科学决策提出建议、预案。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/>
        </w:rPr>
      </w:pPr>
      <w:r>
        <w:rPr>
          <w:rFonts w:hint="eastAsia" w:ascii="仿宋_GB2312"/>
        </w:rPr>
        <w:t>（2）负责县委有关会议的筹备和组织协调工作。负责安排县委领导的公务活动，办理县委领导交办的事项。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/>
        </w:rPr>
      </w:pPr>
      <w:r>
        <w:rPr>
          <w:rFonts w:hint="eastAsia" w:ascii="仿宋_GB2312"/>
        </w:rPr>
        <w:t>（3）负责县委文件和文稿的起草、校核、印发工作，负责文书处理、档案管理和开发利用工作；研究、审核县直各部门、各乡镇党委向县委的请示，提出处理意见报县委领导审批。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/>
        </w:rPr>
      </w:pPr>
      <w:r>
        <w:rPr>
          <w:rFonts w:hint="eastAsia" w:ascii="仿宋_GB2312"/>
        </w:rPr>
        <w:t>（4）及时收集、筛选、综合整理各类情况，全面准确地为县委、上级党委报送信息；及时传达贯彻党委、政府的重大决策、重要精神和扩大乡镇、部门工作交流。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/>
        </w:rPr>
      </w:pPr>
      <w:r>
        <w:rPr>
          <w:rFonts w:hint="eastAsia" w:ascii="仿宋_GB2312"/>
        </w:rPr>
        <w:t>（5）负责党的方针政策、上级党委和县委重要工作部署、领导同志重要批示、批件贯彻落实情况的督促检查，以及受县委委托对某些问题的调查核实；组织督办人大代表有关建议、政协委员有关提案。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/>
        </w:rPr>
      </w:pPr>
      <w:r>
        <w:rPr>
          <w:rFonts w:hint="eastAsia" w:ascii="仿宋_GB2312"/>
        </w:rPr>
        <w:t>（6）负责牵头组织全县目标管理年度考核工作。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/>
        </w:rPr>
      </w:pPr>
      <w:r>
        <w:rPr>
          <w:rFonts w:hint="eastAsia" w:ascii="仿宋_GB2312"/>
        </w:rPr>
        <w:t>（7）负责对全县各级办公室的业务指导和协调管理。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/>
        </w:rPr>
      </w:pPr>
      <w:r>
        <w:rPr>
          <w:rFonts w:hint="eastAsia" w:ascii="仿宋_GB2312"/>
        </w:rPr>
        <w:t>（8）承办县委及上级党委办公室交办的其他工作。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预算安排和支出情况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5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eastAsia="zh-CN" w:bidi="ar-SA"/>
        </w:rPr>
        <w:t>预算安排：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 w:bidi="ar-SA"/>
        </w:rPr>
        <w:t>本项目的实施主要确保为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" w:bidi="ar-SA"/>
        </w:rPr>
        <w:t>县委办公室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 w:bidi="ar-SA"/>
        </w:rPr>
        <w:t>人员开展全县督查工作提供保障，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 w:bidi="ar-SA"/>
        </w:rPr>
        <w:t>推动县委各项决策部署落地见效。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5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 w:bidi="ar-SA"/>
        </w:rPr>
        <w:t>支出情况：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 w:bidi="ar-SA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ar-SA"/>
        </w:rPr>
        <w:t>23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 w:bidi="ar-SA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 w:bidi="ar-SA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 w:bidi="ar-SA"/>
        </w:rPr>
        <w:t>日屯昌县财政局印发《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ar-SA"/>
        </w:rPr>
        <w:t>关于批复2023年部门预算的通知》（屯财预〔2023〕40号），下达该项目资金3万元，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 w:bidi="ar-SA"/>
        </w:rPr>
        <w:t>全部为县级财政资金，到位率100%。截至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ar-SA"/>
        </w:rPr>
        <w:t>2023年12月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 w:bidi="ar-SA"/>
        </w:rPr>
        <w:t>，该项目资金共计开支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ar-SA"/>
        </w:rPr>
        <w:t>2.28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 w:bidi="ar-SA"/>
        </w:rPr>
        <w:t>万元，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ar-SA"/>
        </w:rPr>
        <w:t>结余专项资金0.72万元，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 w:bidi="ar-SA"/>
        </w:rPr>
        <w:t>完成支出比例为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ar-SA"/>
        </w:rPr>
        <w:t>76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 w:bidi="ar-SA"/>
        </w:rPr>
        <w:t>%。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5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 w:bidi="ar-SA"/>
        </w:rPr>
        <w:t>该项目资金由县财政局统一拨付入账。中共屯昌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" w:bidi="ar-SA"/>
        </w:rPr>
        <w:t>县委办公室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 w:bidi="ar-SA"/>
        </w:rPr>
        <w:t>严格按照屯昌县财政资金相关报账管理办法，项目资金使用全面实行报账制管理，专款专用，资金拨付执行审批程序，使用规范，资金拨付报帐手续齐全。</w:t>
      </w: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（三）项目主要内容和实施情况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="Times New Roman"/>
          <w:b/>
          <w:bCs/>
          <w:kern w:val="2"/>
          <w:sz w:val="32"/>
          <w:szCs w:val="32"/>
          <w:lang w:val="en-US" w:eastAsia="zh-CN" w:bidi="ar-SA"/>
        </w:rPr>
        <w:t>1.主要内容：</w:t>
      </w: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该项目主要用于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督查全县各项重点项目、工作的执行情况</w:t>
      </w: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的日常开支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，包括上级决策部署的落实情况、县委领导批示件的办理情况等。通过监督检查，确保各项工作落到实处，取得实效。同时，对于发现的问题和不足，及时提出整改意见和建议，推动工作的持续改进和提高</w:t>
      </w: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="Times New Roman"/>
          <w:b/>
          <w:bCs/>
          <w:kern w:val="2"/>
          <w:sz w:val="32"/>
          <w:szCs w:val="32"/>
          <w:lang w:val="en-US" w:eastAsia="zh-CN" w:bidi="ar-SA"/>
        </w:rPr>
        <w:t>2.实施情况：</w:t>
      </w: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该项目统一由</w:t>
      </w:r>
      <w:r>
        <w:rPr>
          <w:rFonts w:hint="eastAsia" w:ascii="仿宋_GB2312" w:cs="Times New Roman"/>
          <w:kern w:val="2"/>
          <w:sz w:val="32"/>
          <w:szCs w:val="32"/>
          <w:lang w:val="en-US" w:eastAsia="zh" w:bidi="ar-SA"/>
        </w:rPr>
        <w:t>县委办公室</w:t>
      </w: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管理支出，不得以任何理由虚列、截留、挤占、挪用，也不得超标准开支。资金由工作人员制表申请，财务审核，</w:t>
      </w:r>
      <w:r>
        <w:rPr>
          <w:rFonts w:hint="eastAsia" w:ascii="仿宋_GB2312" w:cs="Times New Roman"/>
          <w:kern w:val="2"/>
          <w:sz w:val="32"/>
          <w:szCs w:val="32"/>
          <w:lang w:val="en-US" w:eastAsia="zh" w:bidi="ar-SA"/>
        </w:rPr>
        <w:t>县委办公室</w:t>
      </w: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领导审批，会计站报账的程序进行。</w:t>
      </w:r>
    </w:p>
    <w:p>
      <w:pPr>
        <w:pageBreakBefore w:val="0"/>
        <w:kinsoku/>
        <w:wordWrap/>
        <w:topLinePunct w:val="0"/>
        <w:bidi w:val="0"/>
        <w:adjustRightInd/>
        <w:snapToGrid/>
        <w:spacing w:line="59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二、项目绩效目标</w:t>
      </w:r>
    </w:p>
    <w:p>
      <w:pPr>
        <w:pStyle w:val="1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该项目主要用于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督查全县各项重点项目、工作的执行情况</w:t>
      </w: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的日常开支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，包括上级决策部署的落实情况、县委领导批示件的办理情况</w:t>
      </w: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、民生实事、季度考核、群众反馈重大问题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等。通过监督检查，确保各项工作落到实处，取得实效。同时，对于发现的问题和不足，及时提出整改意见和建议，推动工作的持续改进和提高</w:t>
      </w: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。截至2023年12月31日，基本完成全年绩效目标。</w:t>
      </w:r>
    </w:p>
    <w:p>
      <w:pPr>
        <w:pageBreakBefore w:val="0"/>
        <w:kinsoku/>
        <w:wordWrap/>
        <w:topLinePunct w:val="0"/>
        <w:bidi w:val="0"/>
        <w:adjustRightInd/>
        <w:snapToGrid/>
        <w:spacing w:line="59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三、评价基本情况</w:t>
      </w:r>
    </w:p>
    <w:p>
      <w:pPr>
        <w:pageBreakBefore w:val="0"/>
        <w:kinsoku/>
        <w:wordWrap/>
        <w:topLinePunct w:val="0"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楷体_GB2312" w:eastAsia="仿宋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（一）评价目的。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eastAsia="zh-CN"/>
        </w:rPr>
        <w:t>为了更好的提高县委督查工作的实效。</w:t>
      </w:r>
    </w:p>
    <w:p>
      <w:pPr>
        <w:pageBreakBefore w:val="0"/>
        <w:kinsoku/>
        <w:wordWrap/>
        <w:topLinePunct w:val="0"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楷体_GB2312" w:eastAsia="仿宋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（二）评价对象与范围。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eastAsia="zh-CN"/>
        </w:rPr>
        <w:t>主要是对于县委督查工作经费各项使用范围，如印刷相关材料、制作相关横幅、陪同领导外出调研差旅、撰写督查报告误餐等。</w:t>
      </w:r>
    </w:p>
    <w:p>
      <w:pPr>
        <w:pageBreakBefore w:val="0"/>
        <w:kinsoku/>
        <w:wordWrap/>
        <w:topLinePunct w:val="0"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（三）评价依据。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按照县财政局下发的相关文件及资金总量。</w:t>
      </w:r>
    </w:p>
    <w:p>
      <w:pPr>
        <w:pageBreakBefore w:val="0"/>
        <w:kinsoku/>
        <w:wordWrap/>
        <w:topLinePunct w:val="0"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（四）评价原则、评价方法。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保持绝对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公平公正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评价过程中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绝不出现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个人情感和偏见。</w:t>
      </w:r>
    </w:p>
    <w:p>
      <w:pPr>
        <w:pageBreakBefore w:val="0"/>
        <w:kinsoku/>
        <w:wordWrap/>
        <w:topLinePunct w:val="0"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（五）绩效评价指标体系。</w:t>
      </w:r>
    </w:p>
    <w:p>
      <w:pPr>
        <w:pageBreakBefore w:val="0"/>
        <w:kinsoku/>
        <w:wordWrap/>
        <w:topLinePunct w:val="0"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该项目整体分为项目预算执行情况、成本指标、产出指标、效益指标与满意度指标，总分为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100分，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分值占比分别为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10分、20分、30分、30分和10分，根据项目成本控制情况、节约情况、实施进度、完成质量、对社会影响、群众对工作满意程度，自评得分为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"/>
        </w:rPr>
        <w:t>96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分，该项目可持续性强，需县财政资金继续支持，以保证县委督查工作顺利开展。</w:t>
      </w:r>
    </w:p>
    <w:p>
      <w:pPr>
        <w:pageBreakBefore w:val="0"/>
        <w:kinsoku/>
        <w:wordWrap/>
        <w:topLinePunct w:val="0"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（六）评价人员组成。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"/>
        </w:rPr>
        <w:t>县委办公室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主任 黄云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"/>
        </w:rPr>
        <w:t>县委办公室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副主任 王上文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"/>
        </w:rPr>
        <w:t>县委办公室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报账员 韩阳光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（七）绩效评价工作过程。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经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"/>
        </w:rPr>
        <w:t>县委办公室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组织主任、分管副主任、督查部门负责同志和财务报账同志共同研究，对该项目的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成本控制情况、节约情况、实施进度、完成质量、对社会影响、群众对工作满意程度等情况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进行综合评价，结果确定为优秀。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四、评价结论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和绩效</w:t>
      </w:r>
      <w:r>
        <w:rPr>
          <w:rFonts w:hint="eastAsia" w:ascii="黑体" w:hAnsi="黑体" w:eastAsia="黑体" w:cs="黑体"/>
          <w:sz w:val="32"/>
          <w:szCs w:val="32"/>
        </w:rPr>
        <w:t>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5"/>
        <w:textAlignment w:val="auto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（一）综合评价结论。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 w:bidi="ar-SA"/>
        </w:rPr>
        <w:t>截至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ar-SA"/>
        </w:rPr>
        <w:t>2023年12月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 w:bidi="ar-SA"/>
        </w:rPr>
        <w:t>，该项目资金共计开支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ar-SA"/>
        </w:rPr>
        <w:t>2.28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 w:bidi="ar-SA"/>
        </w:rPr>
        <w:t>万元，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ar-SA"/>
        </w:rPr>
        <w:t>结余专项资金0.72万元，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 w:bidi="ar-SA"/>
        </w:rPr>
        <w:t>完成支出比例为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ar-SA"/>
        </w:rPr>
        <w:t>76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 w:bidi="ar-SA"/>
        </w:rPr>
        <w:t>%，完成年初设定的绩效目标。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（二）绩效分析。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该项目效益成效明显，预期目标已完成。一是对县委常委会、领导批示件安排的工作任务，及时反馈，督出实效。对省委督查室下发的督办单，高度重视，迅速办理。全年开展各类检查督导事项共计77余次，完成检查报告11份。二是制定《屯昌县2023年督查检查考核年度计划》，印发《2023年度屯昌县重点工作督查考评方案》《屯昌县重点工作督查考核“红黑榜”通报工作机制（试行）》，切实推动各项工作任务落实落地。三是围绕群众反映强烈，呼声较大的事项开展督查24次，撰写督查专报11期，对群众关心问题快速受理，及时汇报，紧跟进展，确保件件有着落，事事有回音。</w:t>
      </w:r>
    </w:p>
    <w:p>
      <w:pPr>
        <w:pageBreakBefore w:val="0"/>
        <w:kinsoku/>
        <w:wordWrap/>
        <w:topLinePunct w:val="0"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、存在的问题及原因分析</w:t>
      </w:r>
    </w:p>
    <w:p>
      <w:pPr>
        <w:pStyle w:val="2"/>
        <w:pageBreakBefore w:val="0"/>
        <w:kinsoku/>
        <w:wordWrap/>
        <w:topLinePunct w:val="0"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楷体_GB2312" w:eastAsia="仿宋_GB2312" w:cs="楷体_GB2312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_GB2312" w:eastAsia="仿宋_GB2312" w:cs="楷体_GB2312"/>
          <w:bCs w:val="0"/>
          <w:kern w:val="2"/>
          <w:sz w:val="32"/>
          <w:szCs w:val="32"/>
          <w:lang w:val="en-US" w:eastAsia="zh-CN" w:bidi="ar-SA"/>
        </w:rPr>
        <w:t>无</w:t>
      </w:r>
    </w:p>
    <w:p>
      <w:pPr>
        <w:pageBreakBefore w:val="0"/>
        <w:kinsoku/>
        <w:wordWrap/>
        <w:topLinePunct w:val="0"/>
        <w:bidi w:val="0"/>
        <w:adjustRightInd/>
        <w:snapToGrid/>
        <w:spacing w:line="59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、意见建议</w:t>
      </w:r>
    </w:p>
    <w:p>
      <w:pPr>
        <w:pageBreakBefore w:val="0"/>
        <w:kinsoku/>
        <w:wordWrap/>
        <w:topLinePunct w:val="0"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我办通过加强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eastAsia="仿宋_GB2312" w:cs="仿宋_GB2312"/>
          <w:sz w:val="32"/>
          <w:szCs w:val="32"/>
        </w:rPr>
        <w:t>领导、完善制度、切实加强项目预算和项目资金管理，确保202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年项目实施顺利并取得显著成效。下一步，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县委办公室</w:t>
      </w:r>
      <w:r>
        <w:rPr>
          <w:rFonts w:hint="eastAsia" w:ascii="仿宋_GB2312" w:eastAsia="仿宋_GB2312" w:cs="仿宋_GB2312"/>
          <w:sz w:val="32"/>
          <w:szCs w:val="32"/>
        </w:rPr>
        <w:t>将继续加强对项目预算和项目资金的管理、监督，加强专用经费管理。凡属专项经费的，必须严格按照有关规定使用，做到专款专用，保障各项工作的</w:t>
      </w:r>
      <w:bookmarkStart w:id="7" w:name="_GoBack"/>
      <w:bookmarkEnd w:id="7"/>
      <w:r>
        <w:rPr>
          <w:rFonts w:hint="eastAsia" w:ascii="仿宋_GB2312" w:eastAsia="仿宋_GB2312" w:cs="仿宋_GB2312"/>
          <w:sz w:val="32"/>
          <w:szCs w:val="32"/>
        </w:rPr>
        <w:t>顺利开展。</w:t>
      </w:r>
    </w:p>
    <w:sectPr>
      <w:pgSz w:w="11906" w:h="16838"/>
      <w:pgMar w:top="192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仿宋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简黑体">
    <w:altName w:val="黑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ZDhmOWUxNTZlNmNkMWI4ZGEyOGQzOTU0YzBhYTkifQ=="/>
  </w:docVars>
  <w:rsids>
    <w:rsidRoot w:val="64041033"/>
    <w:rsid w:val="0B7849E6"/>
    <w:rsid w:val="15E909BB"/>
    <w:rsid w:val="1A843D04"/>
    <w:rsid w:val="1B0032DD"/>
    <w:rsid w:val="1B8D3056"/>
    <w:rsid w:val="342B6450"/>
    <w:rsid w:val="345A0554"/>
    <w:rsid w:val="39EFD00D"/>
    <w:rsid w:val="3BE93431"/>
    <w:rsid w:val="44361A84"/>
    <w:rsid w:val="4646555E"/>
    <w:rsid w:val="4A6F2DDD"/>
    <w:rsid w:val="4E616639"/>
    <w:rsid w:val="577F5AF6"/>
    <w:rsid w:val="58CE39FE"/>
    <w:rsid w:val="5A317CDB"/>
    <w:rsid w:val="5A9102A6"/>
    <w:rsid w:val="5AC13944"/>
    <w:rsid w:val="5D947FE8"/>
    <w:rsid w:val="5E970D0A"/>
    <w:rsid w:val="634C7460"/>
    <w:rsid w:val="64041033"/>
    <w:rsid w:val="64D25170"/>
    <w:rsid w:val="65867EB4"/>
    <w:rsid w:val="6FFD27F9"/>
    <w:rsid w:val="74300E0D"/>
    <w:rsid w:val="7902536C"/>
    <w:rsid w:val="7BFA91AB"/>
    <w:rsid w:val="7FF75C61"/>
    <w:rsid w:val="9AFF440E"/>
    <w:rsid w:val="A9B39F22"/>
    <w:rsid w:val="D7D79BFC"/>
    <w:rsid w:val="DE5783A5"/>
    <w:rsid w:val="EA5C0222"/>
    <w:rsid w:val="F9EFD16A"/>
    <w:rsid w:val="FFFFF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p0"/>
    <w:basedOn w:val="1"/>
    <w:qFormat/>
    <w:uiPriority w:val="0"/>
    <w:pPr>
      <w:widowControl/>
      <w:spacing w:line="600" w:lineRule="atLeast"/>
    </w:pPr>
    <w:rPr>
      <w:rFonts w:ascii="Times New Roman" w:hAnsi="Times New Roman" w:eastAsia="仿宋_GB2312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2326</Words>
  <Characters>2405</Characters>
  <Lines>0</Lines>
  <Paragraphs>0</Paragraphs>
  <TotalTime>2</TotalTime>
  <ScaleCrop>false</ScaleCrop>
  <LinksUpToDate>false</LinksUpToDate>
  <CharactersWithSpaces>2409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2024-10-26T23:17:00Z</dcterms:created>
  <dc:creator>Administrator</dc:creator>
  <cp:lastModifiedBy>lenovo</cp:lastModifiedBy>
  <cp:lastPrinted>2024-12-05T17:39:00Z</cp:lastPrinted>
  <dcterms:modified xsi:type="dcterms:W3CDTF">2024-12-06T08:58:41Z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A18B4D87C27C43A5BB41AFB8E25F67EA_12</vt:lpwstr>
  </property>
</Properties>
</file>