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u w:val="single"/>
          <w:lang w:eastAsia="zh-CN"/>
        </w:rPr>
        <w:t>屯昌县产城融合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u w:val="single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u w:val="single"/>
          <w:lang w:eastAsia="zh-CN"/>
        </w:rPr>
        <w:t>区污水处理厂及配套管网工程可行性研究报告编制单位选聘公告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的全部内容，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愿意以下浮率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XX%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投标总报价，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开展项目可行性研究报告编制工作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）我方承诺在合同约定的期限内完成并移交全部成果（含电子稿）。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68"/>
          <w:tab w:val="left" w:pos="6308"/>
          <w:tab w:val="left" w:pos="7148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C39104-860A-46D4-BE32-4AC18A1FFE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EADADD-4426-4C69-A419-86B37D7BC6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4E2399-8D89-464F-B0F4-A0E685C251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zQwMWE3OWZhMmEwOGEwNDhlZjBlYmMwYzFhZGMifQ=="/>
  </w:docVars>
  <w:rsids>
    <w:rsidRoot w:val="1810566E"/>
    <w:rsid w:val="12D17273"/>
    <w:rsid w:val="15345869"/>
    <w:rsid w:val="1810566E"/>
    <w:rsid w:val="6EB12656"/>
    <w:rsid w:val="6FD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2024-01-10T02:32:00Z</dcterms:created>
  <dc:creator>朋友仔</dc:creator>
  <cp:lastModifiedBy>MU</cp:lastModifiedBy>
  <dcterms:modified xsi:type="dcterms:W3CDTF">2024-04-09T09:12:28Z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8C732B50ED724D7E9BC12BF1E370A529_13</vt:lpwstr>
  </property>
</Properties>
</file>