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Theme="majorEastAsia" w:hAnsiTheme="majorEastAsia" w:eastAsiaTheme="majorEastAsia" w:cstheme="majorEastAsia"/>
          <w:sz w:val="72"/>
          <w:szCs w:val="72"/>
        </w:rPr>
      </w:pPr>
      <w:r>
        <w:rPr>
          <w:rFonts w:hint="eastAsia" w:asciiTheme="majorEastAsia" w:hAnsiTheme="majorEastAsia" w:eastAsiaTheme="majorEastAsia" w:cstheme="majorEastAsia"/>
          <w:sz w:val="72"/>
          <w:szCs w:val="72"/>
          <w:lang w:val="en-US" w:eastAsia="zh-CN"/>
        </w:rPr>
        <w:t>2024</w:t>
      </w:r>
      <w:r>
        <w:rPr>
          <w:rFonts w:hint="eastAsia" w:asciiTheme="majorEastAsia" w:hAnsiTheme="majorEastAsia" w:eastAsiaTheme="majorEastAsia" w:cstheme="majorEastAsia"/>
          <w:sz w:val="72"/>
          <w:szCs w:val="72"/>
        </w:rPr>
        <w:t>年</w:t>
      </w:r>
      <w:r>
        <w:rPr>
          <w:rFonts w:hint="eastAsia" w:asciiTheme="majorEastAsia" w:hAnsiTheme="majorEastAsia" w:eastAsiaTheme="majorEastAsia" w:cstheme="majorEastAsia"/>
          <w:sz w:val="72"/>
          <w:szCs w:val="72"/>
          <w:lang w:eastAsia="zh-CN"/>
        </w:rPr>
        <w:t>屯昌县人力资源和社会保障局</w:t>
      </w:r>
      <w:r>
        <w:rPr>
          <w:rFonts w:hint="eastAsia" w:asciiTheme="majorEastAsia" w:hAnsiTheme="majorEastAsia" w:eastAsiaTheme="majorEastAsia" w:cstheme="majorEastAsia"/>
          <w:sz w:val="72"/>
          <w:szCs w:val="72"/>
          <w:lang w:val="en-US" w:eastAsia="zh-CN"/>
        </w:rPr>
        <w:t>本级</w:t>
      </w:r>
      <w:r>
        <w:rPr>
          <w:rFonts w:hint="eastAsia" w:asciiTheme="majorEastAsia" w:hAnsiTheme="majorEastAsia" w:eastAsiaTheme="majorEastAsia" w:cstheme="majorEastAsia"/>
          <w:sz w:val="72"/>
          <w:szCs w:val="7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屯昌县人力资源和社会保障局概况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屯昌县</w:t>
      </w:r>
      <w:r>
        <w:rPr>
          <w:rFonts w:hint="eastAsia" w:ascii="黑体" w:hAnsi="黑体" w:eastAsia="黑体"/>
          <w:sz w:val="32"/>
          <w:szCs w:val="32"/>
          <w:lang w:val="en-US" w:eastAsia="zh-CN"/>
        </w:rPr>
        <w:t>人力资源和社会保障局</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w:t>
      </w:r>
      <w:r>
        <w:rPr>
          <w:rFonts w:hint="eastAsia" w:ascii="黑体" w:hAnsi="黑体" w:eastAsia="黑体"/>
          <w:sz w:val="32"/>
          <w:szCs w:val="32"/>
          <w:lang w:val="en-US" w:eastAsia="zh-CN"/>
        </w:rPr>
        <w:t>部门</w:t>
      </w:r>
      <w:r>
        <w:rPr>
          <w:rFonts w:hint="eastAsia" w:ascii="黑体" w:hAnsi="黑体" w:eastAsia="黑体"/>
          <w:sz w:val="32"/>
          <w:szCs w:val="32"/>
        </w:rPr>
        <w:t>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屯昌县</w:t>
      </w:r>
      <w:r>
        <w:rPr>
          <w:rFonts w:hint="eastAsia" w:ascii="黑体" w:hAnsi="黑体" w:eastAsia="黑体" w:cs="黑体"/>
          <w:sz w:val="32"/>
          <w:szCs w:val="32"/>
          <w:lang w:eastAsia="zh-CN"/>
        </w:rPr>
        <w:t>人力资源和社会保障局</w:t>
      </w:r>
      <w:r>
        <w:rPr>
          <w:rFonts w:hint="eastAsia" w:ascii="黑体" w:hAnsi="黑体" w:eastAsia="黑体" w:cs="黑体"/>
          <w:sz w:val="32"/>
          <w:szCs w:val="32"/>
          <w:lang w:val="en-US" w:eastAsia="zh-CN"/>
        </w:rPr>
        <w:t>2024</w:t>
      </w:r>
      <w:r>
        <w:rPr>
          <w:rFonts w:hint="eastAsia" w:ascii="黑体" w:hAnsi="黑体" w:eastAsia="黑体"/>
          <w:sz w:val="32"/>
          <w:szCs w:val="32"/>
        </w:rPr>
        <w:t>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屯昌县人力资源和社会保障局</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4"/>
        <w:widowControl/>
        <w:snapToGrid w:val="0"/>
        <w:spacing w:before="0" w:beforeAutospacing="0" w:after="0" w:afterAutospacing="0" w:line="590" w:lineRule="exact"/>
        <w:jc w:val="both"/>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（一）贯彻执行党和国家有关人力资源和社会保障工作的方针政策、法律法规规章，依法拟定全县人力资源和社会保障工作规划、计划，并组织实施落实。</w:t>
      </w:r>
    </w:p>
    <w:p>
      <w:pPr>
        <w:pStyle w:val="4"/>
        <w:widowControl/>
        <w:snapToGrid w:val="0"/>
        <w:spacing w:before="0" w:beforeAutospacing="0" w:after="0" w:afterAutospacing="0" w:line="590" w:lineRule="exact"/>
        <w:jc w:val="both"/>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（二）拟定全县人力资源市场发展规划，建立统一规范的人力资源市场，促进人力资源合理流动、有效配置，负责全县人力资源和社会保障统计和信息工作。</w:t>
      </w:r>
    </w:p>
    <w:p>
      <w:pPr>
        <w:pStyle w:val="4"/>
        <w:widowControl/>
        <w:snapToGrid w:val="0"/>
        <w:spacing w:before="0" w:beforeAutospacing="0" w:after="0" w:afterAutospacing="0" w:line="590" w:lineRule="exact"/>
        <w:jc w:val="both"/>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（三）负责全县促进就业工作，拟定统筹城乡的就业发展规划，完善公共就业服务体系，拟定就业援助制度，完善职业资格制度，统筹建立面向城乡劳动者的职业培训制度。</w:t>
      </w:r>
    </w:p>
    <w:p>
      <w:pPr>
        <w:pStyle w:val="4"/>
        <w:widowControl/>
        <w:numPr>
          <w:ilvl w:val="0"/>
          <w:numId w:val="6"/>
        </w:numPr>
        <w:snapToGrid w:val="0"/>
        <w:spacing w:before="0" w:beforeAutospacing="0" w:after="0" w:afterAutospacing="0" w:line="59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统筹建立全县覆盖城乡的社会保障体系。按照国家、省有关规定，统筹拟定全县城乡社会保险及其补充保险标准，执行省机关企事业单位社会保险政策。会同有关部门拟定社会保险及其补充保险基金管理和监督制度，编制全县社会保险基金预决算草案。</w:t>
      </w:r>
      <w:r>
        <w:rPr>
          <w:rFonts w:ascii="仿宋_GB2312" w:hAnsi="仿宋_GB2312" w:eastAsia="仿宋_GB2312" w:cs="仿宋_GB2312"/>
          <w:color w:val="000000"/>
          <w:sz w:val="32"/>
          <w:szCs w:val="32"/>
        </w:rPr>
        <w:t xml:space="preserve">       </w:t>
      </w:r>
    </w:p>
    <w:p>
      <w:pPr>
        <w:pStyle w:val="4"/>
        <w:widowControl/>
        <w:snapToGrid w:val="0"/>
        <w:spacing w:before="0" w:beforeAutospacing="0" w:after="0" w:afterAutospacing="0" w:line="590" w:lineRule="exact"/>
        <w:jc w:val="both"/>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（五）负责全县就业、失业、社会保险基金预测预警和信息引导，拟定应对预案，实施预防、调节和控制，保持就业形势稳定和社会保险基金总体收支平衡。</w:t>
      </w:r>
    </w:p>
    <w:p>
      <w:pPr>
        <w:pStyle w:val="4"/>
        <w:widowControl/>
        <w:snapToGrid w:val="0"/>
        <w:spacing w:before="0" w:beforeAutospacing="0" w:after="0" w:afterAutospacing="0" w:line="590" w:lineRule="exact"/>
        <w:jc w:val="both"/>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（六）贯彻执行全省机关、事业单位人员工资收入分配政策，负责全县机关企事业单位人员工资正常增长的审批，组织实施全县机关企事业单位人员福利和职责范围内人员的退休政策。</w:t>
      </w:r>
    </w:p>
    <w:p>
      <w:pPr>
        <w:pStyle w:val="4"/>
        <w:widowControl/>
        <w:snapToGrid w:val="0"/>
        <w:spacing w:before="0" w:beforeAutospacing="0" w:after="0" w:afterAutospacing="0" w:line="590" w:lineRule="exact"/>
        <w:jc w:val="both"/>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（七）指导全县事业单位人事制度改革，拟定全县事业单位人员和机关工勤人员管理制度，负责大中专毕业生的就业指导服务工作。</w:t>
      </w:r>
    </w:p>
    <w:p>
      <w:pPr>
        <w:pStyle w:val="4"/>
        <w:widowControl/>
        <w:snapToGrid w:val="0"/>
        <w:spacing w:before="0" w:beforeAutospacing="0" w:after="0" w:afterAutospacing="0" w:line="590" w:lineRule="exact"/>
        <w:jc w:val="both"/>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（八）负责军队转业干部安置，组织实施部分企业军队转业干部解困和稳定政策，负责自主择业军队转业干部管理服务工作。</w:t>
      </w:r>
    </w:p>
    <w:p>
      <w:pPr>
        <w:pStyle w:val="4"/>
        <w:widowControl/>
        <w:snapToGrid w:val="0"/>
        <w:spacing w:before="0" w:beforeAutospacing="0" w:after="0" w:afterAutospacing="0" w:line="590" w:lineRule="exact"/>
        <w:jc w:val="both"/>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（九）负责全县人力资源和社会保障系统人员的教育培训工作，指导全县人力资源和社会保障系统队伍建设。</w:t>
      </w:r>
    </w:p>
    <w:p>
      <w:pPr>
        <w:pStyle w:val="4"/>
        <w:widowControl/>
        <w:snapToGrid w:val="0"/>
        <w:spacing w:before="0" w:beforeAutospacing="0" w:after="0" w:afterAutospacing="0" w:line="590" w:lineRule="exact"/>
        <w:jc w:val="both"/>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（十）会同有关部门拟定全县农民工工作规划，推动农民工相关政策的落实；协调解决重点难点问题，维护农民工合法权益。</w:t>
      </w:r>
    </w:p>
    <w:p>
      <w:pPr>
        <w:pStyle w:val="4"/>
        <w:widowControl/>
        <w:snapToGrid w:val="0"/>
        <w:spacing w:before="0" w:beforeAutospacing="0" w:after="0" w:afterAutospacing="0" w:line="590" w:lineRule="exact"/>
        <w:jc w:val="both"/>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十一）完善劳动、人事争议调解仲裁制度和劳动关系政策，健全劳动关系协调机制，贯彻执行消除非法使用童工政策和女工、未成年工的特殊劳动保护政策，组织实施劳动监察，协调劳动者维权工作，依法查处重大案件。</w:t>
      </w:r>
    </w:p>
    <w:p>
      <w:pPr>
        <w:pStyle w:val="4"/>
        <w:widowControl/>
        <w:snapToGrid w:val="0"/>
        <w:spacing w:before="0" w:beforeAutospacing="0" w:after="0" w:afterAutospacing="0" w:line="590" w:lineRule="exact"/>
        <w:ind w:firstLine="640"/>
        <w:jc w:val="both"/>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（十二）负责对所属事业单位贯彻执行党和国家的方针政策、法律法规规章的监督检查，对其发展规划、计划进行指导协调。</w:t>
      </w:r>
    </w:p>
    <w:p>
      <w:pPr>
        <w:pStyle w:val="4"/>
        <w:widowControl/>
        <w:snapToGrid w:val="0"/>
        <w:spacing w:before="0" w:beforeAutospacing="0" w:after="0" w:afterAutospacing="0" w:line="590" w:lineRule="exact"/>
        <w:ind w:firstLine="640"/>
        <w:jc w:val="both"/>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（十三）承办县委、县政府和上级业务部门交办的其他工作。</w:t>
      </w: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pPr>
        <w:widowControl/>
        <w:spacing w:line="590" w:lineRule="exact"/>
        <w:rPr>
          <w:rFonts w:ascii="楷体_GB2312" w:hAnsi="仿宋_GB2312" w:eastAsia="楷体_GB2312" w:cs="Times New Roman"/>
          <w:sz w:val="32"/>
          <w:szCs w:val="32"/>
        </w:rPr>
      </w:pPr>
      <w:r>
        <w:rPr>
          <w:rFonts w:hint="eastAsia" w:ascii="楷体_GB2312" w:hAnsi="仿宋_GB2312" w:eastAsia="楷体_GB2312" w:cs="楷体_GB2312"/>
          <w:kern w:val="0"/>
          <w:sz w:val="32"/>
          <w:szCs w:val="32"/>
        </w:rPr>
        <w:t>（一）人社局本级</w:t>
      </w:r>
    </w:p>
    <w:p>
      <w:pPr>
        <w:pStyle w:val="4"/>
        <w:widowControl/>
        <w:snapToGrid w:val="0"/>
        <w:spacing w:before="0" w:beforeAutospacing="0" w:after="0" w:afterAutospacing="0" w:line="590" w:lineRule="exact"/>
        <w:ind w:firstLine="640"/>
        <w:rPr>
          <w:rFonts w:hint="eastAsia" w:ascii="仿宋_GB2312" w:hAnsi="仿宋_GB2312" w:eastAsia="仿宋_GB2312"/>
          <w:sz w:val="32"/>
          <w:szCs w:val="32"/>
          <w:lang w:val="en-US" w:eastAsia="zh-CN"/>
        </w:rPr>
      </w:pPr>
      <w:r>
        <w:rPr>
          <w:rFonts w:hint="eastAsia" w:ascii="仿宋_GB2312" w:hAnsi="仿宋_GB2312" w:eastAsia="仿宋_GB2312" w:cs="仿宋_GB2312"/>
          <w:color w:val="000000"/>
          <w:sz w:val="32"/>
          <w:szCs w:val="32"/>
        </w:rPr>
        <w:t>内设</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个股级职能机构：行政文秘岗位、就业促进岗位、人力资源管理岗位、工资福利岗位、社会保险管理岗位</w:t>
      </w:r>
      <w:r>
        <w:rPr>
          <w:rFonts w:hint="eastAsia" w:ascii="仿宋_GB2312" w:hAnsi="仿宋_GB2312" w:eastAsia="仿宋_GB2312" w:cs="仿宋_GB2312"/>
          <w:color w:val="000000"/>
          <w:sz w:val="32"/>
          <w:szCs w:val="32"/>
          <w:lang w:eastAsia="zh-CN"/>
        </w:rPr>
        <w:t>。</w:t>
      </w:r>
    </w:p>
    <w:p>
      <w:pPr>
        <w:widowControl/>
        <w:spacing w:line="590" w:lineRule="exact"/>
        <w:rPr>
          <w:rFonts w:ascii="楷体_GB2312" w:hAnsi="仿宋_GB2312" w:eastAsia="楷体_GB2312" w:cs="Times New Roman"/>
          <w:kern w:val="0"/>
          <w:sz w:val="32"/>
          <w:szCs w:val="32"/>
        </w:rPr>
      </w:pPr>
      <w:r>
        <w:rPr>
          <w:rFonts w:hint="eastAsia" w:ascii="楷体_GB2312" w:hAnsi="仿宋_GB2312" w:eastAsia="楷体_GB2312" w:cs="楷体_GB2312"/>
          <w:kern w:val="0"/>
          <w:sz w:val="32"/>
          <w:szCs w:val="32"/>
        </w:rPr>
        <w:t>（二）下属单位</w:t>
      </w:r>
    </w:p>
    <w:p>
      <w:pPr>
        <w:pStyle w:val="7"/>
        <w:numPr>
          <w:ilvl w:val="0"/>
          <w:numId w:val="0"/>
        </w:numPr>
        <w:ind w:leftChars="0"/>
        <w:jc w:val="left"/>
        <w:rPr>
          <w:rFonts w:ascii="黑体" w:hAnsi="黑体" w:eastAsia="黑体" w:cs="仿宋_GB2312"/>
          <w:sz w:val="32"/>
          <w:szCs w:val="32"/>
        </w:rPr>
      </w:pPr>
      <w:r>
        <w:rPr>
          <w:rFonts w:hint="eastAsia" w:ascii="仿宋_GB2312" w:hAnsi="仿宋_GB2312" w:eastAsia="仿宋_GB2312" w:cs="仿宋_GB2312"/>
          <w:color w:val="000000"/>
          <w:sz w:val="32"/>
          <w:szCs w:val="32"/>
        </w:rPr>
        <w:t>其中</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家参照公务员法管理的事业单位：就业管理局；</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家事业单位：劳动人事争议仲裁院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社会保障卡一卡通中心</w:t>
      </w:r>
      <w:r>
        <w:rPr>
          <w:rFonts w:hint="eastAsia" w:ascii="仿宋_GB2312" w:hAnsi="仿宋_GB2312" w:eastAsia="仿宋_GB2312" w:cs="仿宋_GB2312"/>
          <w:color w:val="000000"/>
          <w:sz w:val="32"/>
          <w:szCs w:val="32"/>
          <w:lang w:eastAsia="zh-CN"/>
        </w:rPr>
        <w:t>。</w:t>
      </w:r>
    </w:p>
    <w:p>
      <w:pPr>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sz w:val="32"/>
          <w:szCs w:val="32"/>
          <w:lang w:eastAsia="zh-CN"/>
        </w:rPr>
        <w:t>屯昌县人力资源和社会保障局</w:t>
      </w:r>
      <w:r>
        <w:rPr>
          <w:rFonts w:hint="eastAsia" w:ascii="黑体" w:hAnsi="黑体" w:eastAsia="黑体" w:cs="黑体"/>
          <w:sz w:val="32"/>
          <w:szCs w:val="32"/>
          <w:lang w:val="en-US" w:eastAsia="zh-CN"/>
        </w:rPr>
        <w:t>2024</w:t>
      </w:r>
      <w:r>
        <w:rPr>
          <w:rFonts w:hint="eastAsia" w:ascii="黑体" w:hAnsi="黑体" w:eastAsia="黑体"/>
          <w:sz w:val="32"/>
          <w:szCs w:val="32"/>
        </w:rPr>
        <w:t>年部门预算表</w:t>
      </w: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ind w:left="3038" w:leftChars="304" w:hanging="2400" w:hangingChars="7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eastAsia="zh-CN"/>
        </w:rPr>
        <w:t>屯昌县人力资源和社会保障局</w:t>
      </w:r>
      <w:r>
        <w:rPr>
          <w:rFonts w:hint="eastAsia" w:ascii="黑体" w:hAnsi="黑体" w:eastAsia="黑体" w:cs="黑体"/>
          <w:sz w:val="32"/>
          <w:szCs w:val="32"/>
          <w:lang w:val="en-US" w:eastAsia="zh-CN"/>
        </w:rPr>
        <w:t>2024</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屯昌县人力资源和社会保障局</w:t>
      </w:r>
      <w:r>
        <w:rPr>
          <w:rFonts w:hint="eastAsia" w:ascii="黑体" w:hAnsi="黑体" w:eastAsia="黑体" w:cs="黑体"/>
          <w:sz w:val="32"/>
          <w:szCs w:val="32"/>
          <w:lang w:val="en-US" w:eastAsia="zh-CN"/>
        </w:rPr>
        <w:t>2024</w:t>
      </w:r>
      <w:r>
        <w:rPr>
          <w:rFonts w:hint="eastAsia" w:ascii="黑体" w:hAnsi="黑体" w:eastAsia="黑体"/>
          <w:sz w:val="32"/>
          <w:szCs w:val="32"/>
        </w:rPr>
        <w:t>年财政拨款收支预算情况的总体说明</w:t>
      </w:r>
    </w:p>
    <w:p>
      <w:pPr>
        <w:pStyle w:val="4"/>
        <w:widowControl/>
        <w:snapToGrid w:val="0"/>
        <w:spacing w:before="0" w:beforeAutospacing="0" w:after="0" w:afterAutospacing="0" w:line="590" w:lineRule="exact"/>
        <w:ind w:firstLine="640"/>
        <w:jc w:val="both"/>
        <w:rPr>
          <w:rFonts w:ascii="仿宋_GB2312" w:hAnsi="黑体" w:eastAsia="仿宋_GB2312"/>
          <w:sz w:val="32"/>
          <w:szCs w:val="32"/>
        </w:rPr>
      </w:pPr>
      <w:r>
        <w:rPr>
          <w:rFonts w:hint="eastAsia" w:ascii="仿宋_GB2312" w:hAnsi="黑体" w:eastAsia="仿宋_GB2312"/>
          <w:sz w:val="32"/>
          <w:szCs w:val="32"/>
          <w:lang w:eastAsia="zh-CN"/>
        </w:rPr>
        <w:t>屯昌县人力资源和社会保障局</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466.08</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466.08</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466.08</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0.00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466.08</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仿宋_GB2312" w:eastAsia="仿宋_GB2312" w:cs="仿宋_GB2312"/>
          <w:color w:val="000000"/>
          <w:sz w:val="32"/>
          <w:szCs w:val="32"/>
        </w:rPr>
        <w:t>会保障和就业支出</w:t>
      </w:r>
      <w:r>
        <w:rPr>
          <w:rFonts w:hint="eastAsia" w:ascii="仿宋_GB2312" w:hAnsi="仿宋_GB2312" w:eastAsia="仿宋_GB2312" w:cs="仿宋_GB2312"/>
          <w:color w:val="000000"/>
          <w:sz w:val="32"/>
          <w:szCs w:val="32"/>
          <w:lang w:val="en-US" w:eastAsia="zh-CN"/>
        </w:rPr>
        <w:t>403.84</w:t>
      </w:r>
      <w:r>
        <w:rPr>
          <w:rFonts w:hint="eastAsia" w:ascii="仿宋_GB2312" w:hAnsi="仿宋_GB2312" w:eastAsia="仿宋_GB2312" w:cs="仿宋_GB2312"/>
          <w:color w:val="000000"/>
          <w:sz w:val="32"/>
          <w:szCs w:val="32"/>
        </w:rPr>
        <w:t>万元、卫生健康支出</w:t>
      </w:r>
      <w:r>
        <w:rPr>
          <w:rFonts w:hint="eastAsia" w:ascii="仿宋_GB2312" w:hAnsi="仿宋_GB2312" w:eastAsia="仿宋_GB2312" w:cs="仿宋_GB2312"/>
          <w:color w:val="000000"/>
          <w:sz w:val="32"/>
          <w:szCs w:val="32"/>
          <w:lang w:val="en-US" w:eastAsia="zh-CN"/>
        </w:rPr>
        <w:t>41.39</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住房保障支出</w:t>
      </w:r>
      <w:r>
        <w:rPr>
          <w:rFonts w:hint="eastAsia" w:ascii="仿宋_GB2312" w:hAnsi="仿宋_GB2312" w:eastAsia="仿宋_GB2312" w:cs="仿宋_GB2312"/>
          <w:color w:val="000000"/>
          <w:sz w:val="32"/>
          <w:szCs w:val="32"/>
          <w:lang w:val="en-US" w:eastAsia="zh-CN"/>
        </w:rPr>
        <w:t>20.85</w:t>
      </w:r>
      <w:r>
        <w:rPr>
          <w:rFonts w:hint="eastAsia" w:ascii="仿宋_GB2312" w:hAnsi="仿宋_GB2312" w:eastAsia="仿宋_GB2312" w:cs="仿宋_GB2312"/>
          <w:color w:val="000000"/>
          <w:sz w:val="32"/>
          <w:szCs w:val="32"/>
        </w:rPr>
        <w:t>万元，结转下年0万元。</w:t>
      </w:r>
    </w:p>
    <w:p>
      <w:pPr>
        <w:ind w:firstLine="640" w:firstLineChars="20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屯昌县人力资源和社会保障局</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屯昌县人力资源和社会保障局202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年一般公共预算当年拨款</w:t>
      </w:r>
      <w:r>
        <w:rPr>
          <w:rFonts w:hint="eastAsia" w:ascii="仿宋_GB2312" w:hAnsi="仿宋_GB2312" w:eastAsia="仿宋_GB2312" w:cs="仿宋_GB2312"/>
          <w:color w:val="000000"/>
          <w:sz w:val="32"/>
          <w:szCs w:val="32"/>
          <w:lang w:val="en-US" w:eastAsia="zh-CN"/>
        </w:rPr>
        <w:t>466.08</w:t>
      </w:r>
      <w:r>
        <w:rPr>
          <w:rFonts w:hint="eastAsia" w:ascii="仿宋_GB2312" w:hAnsi="仿宋_GB2312" w:eastAsia="仿宋_GB2312" w:cs="仿宋_GB2312"/>
          <w:color w:val="000000"/>
          <w:sz w:val="32"/>
          <w:szCs w:val="32"/>
        </w:rPr>
        <w:t>万元，比上年预算数</w:t>
      </w:r>
      <w:r>
        <w:rPr>
          <w:rFonts w:hint="eastAsia" w:ascii="仿宋_GB2312" w:hAnsi="仿宋_GB2312" w:eastAsia="仿宋_GB2312" w:cs="仿宋_GB2312"/>
          <w:color w:val="000000"/>
          <w:sz w:val="32"/>
          <w:szCs w:val="32"/>
          <w:lang w:val="en-US" w:eastAsia="zh-CN"/>
        </w:rPr>
        <w:t>减少25.53</w:t>
      </w:r>
      <w:r>
        <w:rPr>
          <w:rFonts w:hint="eastAsia" w:ascii="仿宋_GB2312" w:hAnsi="仿宋_GB2312" w:eastAsia="仿宋_GB2312" w:cs="仿宋_GB2312"/>
          <w:color w:val="000000"/>
          <w:sz w:val="32"/>
          <w:szCs w:val="32"/>
        </w:rPr>
        <w:t>万元，主要是</w:t>
      </w:r>
      <w:r>
        <w:rPr>
          <w:rFonts w:hint="eastAsia" w:ascii="仿宋_GB2312" w:hAnsi="仿宋_GB2312" w:eastAsia="仿宋_GB2312" w:cs="仿宋_GB2312"/>
          <w:color w:val="000000"/>
          <w:sz w:val="32"/>
          <w:szCs w:val="32"/>
          <w:lang w:val="en-US" w:eastAsia="zh-CN"/>
        </w:rPr>
        <w:t>项目经费减少，社会保险基数提高</w:t>
      </w:r>
      <w:r>
        <w:rPr>
          <w:rFonts w:hint="eastAsia" w:ascii="仿宋_GB2312" w:hAnsi="仿宋_GB2312" w:eastAsia="仿宋_GB2312" w:cs="仿宋_GB2312"/>
          <w:color w:val="000000"/>
          <w:sz w:val="32"/>
          <w:szCs w:val="32"/>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一般公共服务（类）支出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%；社会保障和就业支出</w:t>
      </w:r>
      <w:r>
        <w:rPr>
          <w:rFonts w:hint="eastAsia" w:ascii="仿宋_GB2312" w:hAnsi="仿宋_GB2312" w:eastAsia="仿宋_GB2312" w:cs="仿宋_GB2312"/>
          <w:color w:val="000000"/>
          <w:sz w:val="32"/>
          <w:szCs w:val="32"/>
          <w:lang w:val="en-US" w:eastAsia="zh-CN"/>
        </w:rPr>
        <w:t>403.84</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占86.64</w:t>
      </w:r>
      <w:r>
        <w:rPr>
          <w:rFonts w:hint="eastAsia" w:ascii="仿宋_GB2312" w:hAnsi="仿宋_GB2312" w:eastAsia="仿宋_GB2312" w:cs="仿宋_GB2312"/>
          <w:color w:val="000000"/>
          <w:sz w:val="32"/>
          <w:szCs w:val="32"/>
        </w:rPr>
        <w:t>%；卫生健康支出</w:t>
      </w:r>
      <w:r>
        <w:rPr>
          <w:rFonts w:hint="eastAsia" w:ascii="仿宋_GB2312" w:hAnsi="仿宋_GB2312" w:eastAsia="仿宋_GB2312" w:cs="仿宋_GB2312"/>
          <w:color w:val="000000"/>
          <w:sz w:val="32"/>
          <w:szCs w:val="32"/>
          <w:lang w:val="en-US" w:eastAsia="zh-CN"/>
        </w:rPr>
        <w:t>41.39</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8.89</w:t>
      </w:r>
      <w:r>
        <w:rPr>
          <w:rFonts w:hint="eastAsia" w:ascii="仿宋_GB2312" w:hAnsi="仿宋_GB2312" w:eastAsia="仿宋_GB2312" w:cs="仿宋_GB2312"/>
          <w:color w:val="000000"/>
          <w:sz w:val="32"/>
          <w:szCs w:val="32"/>
        </w:rPr>
        <w:t>%；住房保障支出</w:t>
      </w:r>
      <w:r>
        <w:rPr>
          <w:rFonts w:hint="eastAsia" w:ascii="仿宋_GB2312" w:hAnsi="仿宋_GB2312" w:eastAsia="仿宋_GB2312" w:cs="仿宋_GB2312"/>
          <w:color w:val="000000"/>
          <w:sz w:val="32"/>
          <w:szCs w:val="32"/>
          <w:lang w:val="en-US" w:eastAsia="zh-CN"/>
        </w:rPr>
        <w:t>20.85</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4.47</w:t>
      </w:r>
      <w:r>
        <w:rPr>
          <w:rFonts w:hint="eastAsia" w:ascii="仿宋_GB2312" w:hAnsi="仿宋_GB2312" w:eastAsia="仿宋_GB2312" w:cs="仿宋_GB2312"/>
          <w:color w:val="000000"/>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pStyle w:val="4"/>
        <w:widowControl/>
        <w:numPr>
          <w:ilvl w:val="0"/>
          <w:numId w:val="0"/>
        </w:numPr>
        <w:snapToGrid w:val="0"/>
        <w:spacing w:before="0" w:beforeAutospacing="0" w:after="0" w:afterAutospacing="0" w:line="590" w:lineRule="exact"/>
        <w:ind w:firstLine="320" w:firstLineChars="1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社会保障和就业支出（类）人力资源和社会保障管理事务（款）</w:t>
      </w:r>
      <w:r>
        <w:rPr>
          <w:rFonts w:hint="eastAsia" w:ascii="仿宋_GB2312" w:hAnsi="仿宋_GB2312" w:eastAsia="仿宋_GB2312" w:cs="仿宋_GB2312"/>
          <w:color w:val="000000"/>
          <w:sz w:val="32"/>
          <w:szCs w:val="32"/>
          <w:lang w:val="en-US" w:eastAsia="zh-CN"/>
        </w:rPr>
        <w:t>行政运行</w:t>
      </w:r>
      <w:r>
        <w:rPr>
          <w:rFonts w:hint="eastAsia" w:ascii="仿宋_GB2312" w:hAnsi="仿宋_GB2312" w:eastAsia="仿宋_GB2312" w:cs="仿宋_GB2312"/>
          <w:color w:val="000000"/>
          <w:sz w:val="32"/>
          <w:szCs w:val="32"/>
        </w:rPr>
        <w:t>（项）202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年预算数为</w:t>
      </w:r>
      <w:r>
        <w:rPr>
          <w:rFonts w:hint="eastAsia" w:ascii="仿宋_GB2312" w:hAnsi="仿宋_GB2312" w:eastAsia="仿宋_GB2312" w:cs="仿宋_GB2312"/>
          <w:color w:val="000000"/>
          <w:sz w:val="32"/>
          <w:szCs w:val="32"/>
          <w:lang w:val="en-US" w:eastAsia="zh-CN"/>
        </w:rPr>
        <w:t>206.24</w:t>
      </w:r>
      <w:r>
        <w:rPr>
          <w:rFonts w:hint="eastAsia" w:ascii="仿宋_GB2312" w:hAnsi="仿宋_GB2312" w:eastAsia="仿宋_GB2312" w:cs="仿宋_GB2312"/>
          <w:color w:val="000000"/>
          <w:sz w:val="32"/>
          <w:szCs w:val="32"/>
        </w:rPr>
        <w:t>万元，比上年预算数增加</w:t>
      </w:r>
      <w:r>
        <w:rPr>
          <w:rFonts w:hint="eastAsia" w:ascii="仿宋_GB2312" w:hAnsi="仿宋_GB2312" w:eastAsia="仿宋_GB2312" w:cs="仿宋_GB2312"/>
          <w:color w:val="000000"/>
          <w:sz w:val="32"/>
          <w:szCs w:val="32"/>
          <w:lang w:val="en-US" w:eastAsia="zh-CN"/>
        </w:rPr>
        <w:t>19.88</w:t>
      </w:r>
      <w:r>
        <w:rPr>
          <w:rFonts w:hint="eastAsia" w:ascii="仿宋_GB2312" w:hAnsi="仿宋_GB2312" w:eastAsia="仿宋_GB2312" w:cs="仿宋_GB2312"/>
          <w:color w:val="000000"/>
          <w:sz w:val="32"/>
          <w:szCs w:val="32"/>
        </w:rPr>
        <w:t>万元，主要是2</w:t>
      </w:r>
      <w:r>
        <w:rPr>
          <w:rFonts w:ascii="仿宋_GB2312" w:hAnsi="仿宋_GB2312" w:eastAsia="仿宋_GB2312" w:cs="仿宋_GB2312"/>
          <w:color w:val="000000"/>
          <w:sz w:val="32"/>
          <w:szCs w:val="32"/>
        </w:rPr>
        <w:t>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年行政管理业务</w:t>
      </w:r>
      <w:r>
        <w:rPr>
          <w:rFonts w:hint="eastAsia" w:ascii="仿宋_GB2312" w:hAnsi="仿宋_GB2312" w:eastAsia="仿宋_GB2312" w:cs="仿宋_GB2312"/>
          <w:color w:val="000000"/>
          <w:sz w:val="32"/>
          <w:szCs w:val="32"/>
          <w:lang w:val="en-US" w:eastAsia="zh-CN"/>
        </w:rPr>
        <w:t>增加</w:t>
      </w:r>
      <w:r>
        <w:rPr>
          <w:rFonts w:hint="eastAsia" w:ascii="仿宋_GB2312" w:hAnsi="仿宋_GB2312" w:eastAsia="仿宋_GB2312" w:cs="仿宋_GB2312"/>
          <w:color w:val="000000"/>
          <w:sz w:val="32"/>
          <w:szCs w:val="32"/>
        </w:rPr>
        <w:t>。</w:t>
      </w:r>
    </w:p>
    <w:p>
      <w:pPr>
        <w:pStyle w:val="4"/>
        <w:widowControl/>
        <w:numPr>
          <w:ilvl w:val="0"/>
          <w:numId w:val="0"/>
        </w:numPr>
        <w:snapToGrid w:val="0"/>
        <w:spacing w:before="0" w:beforeAutospacing="0" w:after="0" w:afterAutospacing="0" w:line="59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社会保障和就业支出（类）人力资源和社会保障管理事务（款）</w:t>
      </w:r>
      <w:r>
        <w:rPr>
          <w:rFonts w:hint="eastAsia" w:ascii="仿宋_GB2312" w:hAnsi="仿宋_GB2312" w:eastAsia="仿宋_GB2312" w:cs="仿宋_GB2312"/>
          <w:color w:val="000000"/>
          <w:sz w:val="32"/>
          <w:szCs w:val="32"/>
          <w:lang w:val="en-US" w:eastAsia="zh-CN"/>
        </w:rPr>
        <w:t>其他人力资源和社会保障管理事务支出</w:t>
      </w:r>
      <w:r>
        <w:rPr>
          <w:rFonts w:hint="eastAsia" w:ascii="仿宋_GB2312" w:hAnsi="仿宋_GB2312" w:eastAsia="仿宋_GB2312" w:cs="仿宋_GB2312"/>
          <w:color w:val="000000"/>
          <w:sz w:val="32"/>
          <w:szCs w:val="32"/>
        </w:rPr>
        <w:t>（项）202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年预算数为</w:t>
      </w:r>
      <w:r>
        <w:rPr>
          <w:rFonts w:hint="eastAsia" w:ascii="仿宋_GB2312" w:hAnsi="仿宋_GB2312" w:eastAsia="仿宋_GB2312" w:cs="仿宋_GB2312"/>
          <w:color w:val="000000"/>
          <w:sz w:val="32"/>
          <w:szCs w:val="32"/>
          <w:lang w:val="en-US" w:eastAsia="zh-CN"/>
        </w:rPr>
        <w:t>161.55</w:t>
      </w:r>
      <w:r>
        <w:rPr>
          <w:rFonts w:hint="eastAsia" w:ascii="仿宋_GB2312" w:hAnsi="仿宋_GB2312" w:eastAsia="仿宋_GB2312" w:cs="仿宋_GB2312"/>
          <w:color w:val="000000"/>
          <w:sz w:val="32"/>
          <w:szCs w:val="32"/>
        </w:rPr>
        <w:t>万元，比上年预算数</w:t>
      </w:r>
      <w:r>
        <w:rPr>
          <w:rFonts w:hint="eastAsia" w:ascii="仿宋_GB2312" w:hAnsi="仿宋_GB2312" w:eastAsia="仿宋_GB2312" w:cs="仿宋_GB2312"/>
          <w:color w:val="000000"/>
          <w:sz w:val="32"/>
          <w:szCs w:val="32"/>
          <w:lang w:val="en-US" w:eastAsia="zh-CN"/>
        </w:rPr>
        <w:t>减少61.04</w:t>
      </w:r>
      <w:r>
        <w:rPr>
          <w:rFonts w:hint="eastAsia" w:ascii="仿宋_GB2312" w:hAnsi="仿宋_GB2312" w:eastAsia="仿宋_GB2312" w:cs="仿宋_GB2312"/>
          <w:color w:val="000000"/>
          <w:sz w:val="32"/>
          <w:szCs w:val="32"/>
        </w:rPr>
        <w:t>万元，主要是2</w:t>
      </w:r>
      <w:r>
        <w:rPr>
          <w:rFonts w:ascii="仿宋_GB2312" w:hAnsi="仿宋_GB2312" w:eastAsia="仿宋_GB2312" w:cs="仿宋_GB2312"/>
          <w:color w:val="000000"/>
          <w:sz w:val="32"/>
          <w:szCs w:val="32"/>
        </w:rPr>
        <w:t>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就业</w:t>
      </w:r>
      <w:r>
        <w:rPr>
          <w:rFonts w:hint="eastAsia" w:ascii="仿宋_GB2312" w:hAnsi="仿宋_GB2312" w:eastAsia="仿宋_GB2312" w:cs="仿宋_GB2312"/>
          <w:color w:val="000000"/>
          <w:sz w:val="32"/>
          <w:szCs w:val="32"/>
        </w:rPr>
        <w:t>管理业务</w:t>
      </w:r>
      <w:r>
        <w:rPr>
          <w:rFonts w:hint="eastAsia" w:ascii="仿宋_GB2312" w:hAnsi="仿宋_GB2312" w:eastAsia="仿宋_GB2312" w:cs="仿宋_GB2312"/>
          <w:color w:val="000000"/>
          <w:sz w:val="32"/>
          <w:szCs w:val="32"/>
          <w:lang w:val="en-US" w:eastAsia="zh-CN"/>
        </w:rPr>
        <w:t>增减少</w:t>
      </w:r>
      <w:r>
        <w:rPr>
          <w:rFonts w:hint="eastAsia" w:ascii="仿宋_GB2312" w:hAnsi="仿宋_GB2312" w:eastAsia="仿宋_GB2312" w:cs="仿宋_GB2312"/>
          <w:color w:val="000000"/>
          <w:sz w:val="32"/>
          <w:szCs w:val="32"/>
        </w:rPr>
        <w:t>。</w:t>
      </w:r>
    </w:p>
    <w:p>
      <w:pPr>
        <w:pStyle w:val="4"/>
        <w:widowControl/>
        <w:snapToGrid w:val="0"/>
        <w:spacing w:before="0" w:beforeAutospacing="0" w:after="0" w:afterAutospacing="0" w:line="59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.社会保障和就业支出（类）行政事业单位养老支出（款）机关事业单位基本养老保险缴费支出（项）202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年预算数为</w:t>
      </w:r>
      <w:r>
        <w:rPr>
          <w:rFonts w:hint="eastAsia" w:ascii="仿宋_GB2312" w:hAnsi="仿宋_GB2312" w:eastAsia="仿宋_GB2312" w:cs="仿宋_GB2312"/>
          <w:color w:val="000000"/>
          <w:sz w:val="32"/>
          <w:szCs w:val="32"/>
          <w:lang w:val="en-US" w:eastAsia="zh-CN"/>
        </w:rPr>
        <w:t>36.05</w:t>
      </w:r>
      <w:r>
        <w:rPr>
          <w:rFonts w:hint="eastAsia" w:ascii="仿宋_GB2312" w:hAnsi="仿宋_GB2312" w:eastAsia="仿宋_GB2312" w:cs="仿宋_GB2312"/>
          <w:color w:val="000000"/>
          <w:sz w:val="32"/>
          <w:szCs w:val="32"/>
        </w:rPr>
        <w:t>万元，比上年预算数</w:t>
      </w:r>
      <w:r>
        <w:rPr>
          <w:rFonts w:hint="eastAsia" w:ascii="仿宋_GB2312" w:hAnsi="仿宋_GB2312" w:eastAsia="仿宋_GB2312" w:cs="仿宋_GB2312"/>
          <w:color w:val="000000"/>
          <w:sz w:val="32"/>
          <w:szCs w:val="32"/>
          <w:lang w:val="en-US" w:eastAsia="zh-CN"/>
        </w:rPr>
        <w:t>增加5.57</w:t>
      </w:r>
      <w:r>
        <w:rPr>
          <w:rFonts w:hint="eastAsia" w:ascii="仿宋_GB2312" w:hAnsi="仿宋_GB2312" w:eastAsia="仿宋_GB2312" w:cs="仿宋_GB2312"/>
          <w:color w:val="000000"/>
          <w:sz w:val="32"/>
          <w:szCs w:val="32"/>
        </w:rPr>
        <w:t>万元，主要是人员数量</w:t>
      </w:r>
      <w:r>
        <w:rPr>
          <w:rFonts w:hint="eastAsia" w:ascii="仿宋_GB2312" w:hAnsi="仿宋_GB2312" w:eastAsia="仿宋_GB2312" w:cs="仿宋_GB2312"/>
          <w:color w:val="000000"/>
          <w:sz w:val="32"/>
          <w:szCs w:val="32"/>
          <w:lang w:val="en-US" w:eastAsia="zh-CN"/>
        </w:rPr>
        <w:t>增加缴费基数提高，2024年新增机关事业单位职业年金缴费102.05万元</w:t>
      </w:r>
      <w:r>
        <w:rPr>
          <w:rFonts w:hint="eastAsia" w:ascii="仿宋_GB2312" w:hAnsi="仿宋_GB2312" w:eastAsia="仿宋_GB2312" w:cs="仿宋_GB2312"/>
          <w:color w:val="000000"/>
          <w:sz w:val="32"/>
          <w:szCs w:val="32"/>
        </w:rPr>
        <w:t>。</w:t>
      </w:r>
    </w:p>
    <w:p>
      <w:pPr>
        <w:pStyle w:val="4"/>
        <w:widowControl/>
        <w:snapToGrid w:val="0"/>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卫生健康支出（类）行政事业单位医疗（款）行政单位医疗、公务员医疗补助、其他行政事业单位医疗支出（项）202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年预算数为</w:t>
      </w:r>
      <w:r>
        <w:rPr>
          <w:rFonts w:hint="eastAsia" w:ascii="仿宋_GB2312" w:hAnsi="仿宋_GB2312" w:eastAsia="仿宋_GB2312" w:cs="仿宋_GB2312"/>
          <w:color w:val="000000"/>
          <w:sz w:val="32"/>
          <w:szCs w:val="32"/>
          <w:lang w:val="en-US" w:eastAsia="zh-CN"/>
        </w:rPr>
        <w:t>41.39</w:t>
      </w:r>
      <w:r>
        <w:rPr>
          <w:rFonts w:hint="eastAsia" w:ascii="仿宋_GB2312" w:hAnsi="仿宋_GB2312" w:eastAsia="仿宋_GB2312" w:cs="仿宋_GB2312"/>
          <w:color w:val="000000"/>
          <w:sz w:val="32"/>
          <w:szCs w:val="32"/>
        </w:rPr>
        <w:t>万元，比上年预算数</w:t>
      </w:r>
      <w:r>
        <w:rPr>
          <w:rFonts w:hint="eastAsia" w:ascii="仿宋_GB2312" w:hAnsi="仿宋_GB2312" w:eastAsia="仿宋_GB2312" w:cs="仿宋_GB2312"/>
          <w:color w:val="000000"/>
          <w:sz w:val="32"/>
          <w:szCs w:val="32"/>
          <w:lang w:val="en-US" w:eastAsia="zh-CN"/>
        </w:rPr>
        <w:t>增加17.42</w:t>
      </w:r>
      <w:r>
        <w:rPr>
          <w:rFonts w:hint="eastAsia" w:ascii="仿宋_GB2312" w:hAnsi="仿宋_GB2312" w:eastAsia="仿宋_GB2312" w:cs="仿宋_GB2312"/>
          <w:color w:val="000000"/>
          <w:sz w:val="32"/>
          <w:szCs w:val="32"/>
        </w:rPr>
        <w:t>万元，主要是单位人员数量</w:t>
      </w:r>
      <w:r>
        <w:rPr>
          <w:rFonts w:hint="eastAsia" w:ascii="仿宋_GB2312" w:hAnsi="仿宋_GB2312" w:eastAsia="仿宋_GB2312" w:cs="仿宋_GB2312"/>
          <w:color w:val="000000"/>
          <w:sz w:val="32"/>
          <w:szCs w:val="32"/>
          <w:lang w:val="en-US" w:eastAsia="zh-CN"/>
        </w:rPr>
        <w:t>增加</w:t>
      </w:r>
      <w:r>
        <w:rPr>
          <w:rFonts w:hint="eastAsia" w:ascii="仿宋_GB2312" w:hAnsi="仿宋_GB2312" w:eastAsia="仿宋_GB2312" w:cs="仿宋_GB2312"/>
          <w:color w:val="000000"/>
          <w:sz w:val="32"/>
          <w:szCs w:val="32"/>
        </w:rPr>
        <w:t>。</w:t>
      </w:r>
    </w:p>
    <w:p>
      <w:pPr>
        <w:pStyle w:val="4"/>
        <w:widowControl/>
        <w:snapToGrid w:val="0"/>
        <w:spacing w:before="0" w:beforeAutospacing="0" w:after="0" w:afterAutospacing="0" w:line="59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.住房保障支出（类）住房改革支出（款）住房公积金（项）</w:t>
      </w: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年预算数为</w:t>
      </w:r>
      <w:r>
        <w:rPr>
          <w:rFonts w:hint="eastAsia" w:ascii="仿宋_GB2312" w:hAnsi="仿宋_GB2312" w:eastAsia="仿宋_GB2312" w:cs="仿宋_GB2312"/>
          <w:color w:val="000000"/>
          <w:sz w:val="32"/>
          <w:szCs w:val="32"/>
          <w:lang w:val="en-US" w:eastAsia="zh-CN"/>
        </w:rPr>
        <w:t>20.85</w:t>
      </w:r>
      <w:r>
        <w:rPr>
          <w:rFonts w:hint="eastAsia" w:ascii="仿宋_GB2312" w:hAnsi="仿宋_GB2312" w:eastAsia="仿宋_GB2312" w:cs="仿宋_GB2312"/>
          <w:color w:val="000000"/>
          <w:sz w:val="32"/>
          <w:szCs w:val="32"/>
        </w:rPr>
        <w:t>万元，比上年预算数</w:t>
      </w:r>
      <w:r>
        <w:rPr>
          <w:rFonts w:hint="eastAsia" w:ascii="仿宋_GB2312" w:hAnsi="仿宋_GB2312" w:eastAsia="仿宋_GB2312" w:cs="仿宋_GB2312"/>
          <w:color w:val="000000"/>
          <w:sz w:val="32"/>
          <w:szCs w:val="32"/>
          <w:lang w:val="en-US" w:eastAsia="zh-CN"/>
        </w:rPr>
        <w:t>增加2.64</w:t>
      </w:r>
      <w:r>
        <w:rPr>
          <w:rFonts w:hint="eastAsia" w:ascii="仿宋_GB2312" w:hAnsi="仿宋_GB2312" w:eastAsia="仿宋_GB2312" w:cs="仿宋_GB2312"/>
          <w:color w:val="000000"/>
          <w:sz w:val="32"/>
          <w:szCs w:val="32"/>
        </w:rPr>
        <w:t>万元，主要是</w:t>
      </w: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年人员</w:t>
      </w:r>
      <w:r>
        <w:rPr>
          <w:rFonts w:hint="eastAsia" w:ascii="仿宋_GB2312" w:hAnsi="仿宋_GB2312" w:eastAsia="仿宋_GB2312" w:cs="仿宋_GB2312"/>
          <w:color w:val="000000"/>
          <w:sz w:val="32"/>
          <w:szCs w:val="32"/>
          <w:lang w:val="en-US" w:eastAsia="zh-CN"/>
        </w:rPr>
        <w:t>数量增加缴费基数提高</w:t>
      </w:r>
      <w:r>
        <w:rPr>
          <w:rFonts w:hint="eastAsia" w:ascii="仿宋_GB2312" w:hAnsi="仿宋_GB2312" w:eastAsia="仿宋_GB2312" w:cs="仿宋_GB2312"/>
          <w:color w:val="000000"/>
          <w:sz w:val="32"/>
          <w:szCs w:val="32"/>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屯昌县人力资源和社会保障局</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仿宋_GB2312" w:eastAsia="仿宋_GB2312" w:cs="仿宋_GB2312"/>
          <w:color w:val="000000"/>
          <w:sz w:val="32"/>
          <w:szCs w:val="32"/>
        </w:rPr>
        <w:t>屯昌县人力资源和社会保障局202</w:t>
      </w:r>
      <w:r>
        <w:rPr>
          <w:rFonts w:hint="eastAsia" w:ascii="仿宋_GB2312" w:hAnsi="仿宋_GB2312" w:eastAsia="仿宋_GB2312" w:cs="仿宋_GB2312"/>
          <w:color w:val="000000"/>
          <w:sz w:val="32"/>
          <w:szCs w:val="32"/>
          <w:lang w:val="en-US" w:eastAsia="zh-CN"/>
        </w:rPr>
        <w:t>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269.02</w:t>
      </w:r>
      <w:r>
        <w:rPr>
          <w:rFonts w:hint="eastAsia" w:ascii="仿宋_GB2312" w:hAnsi="黑体" w:eastAsia="仿宋_GB2312"/>
          <w:sz w:val="32"/>
          <w:szCs w:val="32"/>
        </w:rPr>
        <w:t>万元，其中：</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304.53</w:t>
      </w:r>
      <w:r>
        <w:rPr>
          <w:rFonts w:hint="eastAsia" w:ascii="仿宋_GB2312" w:hAnsi="黑体" w:eastAsia="仿宋_GB2312"/>
          <w:sz w:val="32"/>
          <w:szCs w:val="32"/>
        </w:rPr>
        <w:t>万元，主要包括：</w:t>
      </w:r>
      <w:r>
        <w:rPr>
          <w:rFonts w:hint="eastAsia" w:ascii="仿宋_GB2312" w:hAnsi="仿宋_GB2312" w:eastAsia="仿宋_GB2312" w:cs="仿宋_GB2312"/>
          <w:color w:val="000000"/>
          <w:sz w:val="32"/>
          <w:szCs w:val="32"/>
        </w:rPr>
        <w:t>基本工资、津贴补贴、奖金、机关事业单位基本养老保险缴费、城镇职工基本医疗保险缴费、公务员医疗补助缴费、其他社会保障缴费等;</w:t>
      </w:r>
      <w:r>
        <w:rPr>
          <w:rFonts w:hint="eastAsia" w:ascii="仿宋_GB2312" w:hAnsi="仿宋_GB2312" w:eastAsia="仿宋_GB2312" w:cs="仿宋_GB2312"/>
          <w:color w:val="000000"/>
          <w:sz w:val="32"/>
          <w:szCs w:val="32"/>
          <w:lang w:val="en-US" w:eastAsia="zh-CN"/>
        </w:rPr>
        <w:t xml:space="preserve"> </w:t>
      </w:r>
    </w:p>
    <w:p>
      <w:pPr>
        <w:pStyle w:val="4"/>
        <w:widowControl/>
        <w:snapToGrid w:val="0"/>
        <w:spacing w:before="0" w:beforeAutospacing="0" w:after="0" w:afterAutospacing="0" w:line="590" w:lineRule="exact"/>
        <w:ind w:firstLine="640"/>
        <w:jc w:val="both"/>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21.19</w:t>
      </w:r>
      <w:r>
        <w:rPr>
          <w:rFonts w:hint="eastAsia" w:ascii="仿宋_GB2312" w:hAnsi="黑体" w:eastAsia="仿宋_GB2312"/>
          <w:sz w:val="32"/>
          <w:szCs w:val="32"/>
        </w:rPr>
        <w:t>万元，主要包括：</w:t>
      </w:r>
      <w:r>
        <w:rPr>
          <w:rFonts w:hint="eastAsia" w:ascii="仿宋_GB2312" w:hAnsi="仿宋_GB2312" w:eastAsia="仿宋_GB2312" w:cs="仿宋_GB2312"/>
          <w:color w:val="000000"/>
          <w:sz w:val="32"/>
          <w:szCs w:val="32"/>
        </w:rPr>
        <w:t>办公费、水费、电费、邮电费、差旅费、维修（护）费、会议费、培训费、工会经费、公务用车运行维护费等。</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关于</w:t>
      </w:r>
      <w:r>
        <w:rPr>
          <w:rFonts w:hint="eastAsia" w:ascii="黑体" w:hAnsi="黑体" w:eastAsia="黑体" w:cs="黑体"/>
          <w:sz w:val="32"/>
          <w:szCs w:val="32"/>
          <w:lang w:eastAsia="zh-CN"/>
        </w:rPr>
        <w:t>屯昌县人力资源和社会保障局</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仿宋_GB2312" w:eastAsia="仿宋_GB2312" w:cs="仿宋_GB2312"/>
          <w:color w:val="000000"/>
          <w:sz w:val="32"/>
          <w:szCs w:val="32"/>
        </w:rPr>
        <w:t>屯昌县人力资源和社会保障局202</w:t>
      </w:r>
      <w:r>
        <w:rPr>
          <w:rFonts w:hint="eastAsia" w:ascii="仿宋_GB2312" w:hAnsi="仿宋_GB2312" w:eastAsia="仿宋_GB2312" w:cs="仿宋_GB2312"/>
          <w:color w:val="000000"/>
          <w:sz w:val="32"/>
          <w:szCs w:val="32"/>
          <w:lang w:val="en-US" w:eastAsia="zh-CN"/>
        </w:rPr>
        <w:t>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2.2</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val="en-US" w:eastAsia="zh-CN"/>
        </w:rPr>
        <w:t>持平</w:t>
      </w:r>
      <w:r>
        <w:rPr>
          <w:rFonts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0.2</w:t>
      </w:r>
      <w:r>
        <w:rPr>
          <w:rFonts w:ascii="Times New Roman" w:hAnsi="Times New Roman" w:eastAsia="仿宋_GB2312" w:cs="Times New Roman"/>
          <w:sz w:val="32"/>
          <w:shd w:val="clear" w:color="auto" w:fill="FFFFFF"/>
        </w:rPr>
        <w:t>万元，较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val="en-US" w:eastAsia="zh-CN"/>
        </w:rPr>
        <w:t>减少</w:t>
      </w:r>
      <w:r>
        <w:rPr>
          <w:rFonts w:hint="eastAsia" w:ascii="仿宋_GB2312" w:hAnsi="黑体" w:eastAsia="仿宋_GB2312" w:cs="仿宋_GB2312"/>
          <w:sz w:val="32"/>
          <w:szCs w:val="32"/>
          <w:lang w:val="en-US" w:eastAsia="zh-CN"/>
        </w:rPr>
        <w:t>93</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lang w:val="en-US" w:eastAsia="zh-CN"/>
        </w:rPr>
        <w:t>减少</w:t>
      </w:r>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主要原因包括：</w:t>
      </w: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公务接待减少</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仿宋_GB2312" w:eastAsia="仿宋_GB2312" w:cs="仿宋_GB2312"/>
          <w:color w:val="000000"/>
          <w:sz w:val="32"/>
          <w:szCs w:val="32"/>
        </w:rPr>
        <w:t>屯昌县人力资源和社会保障局202</w:t>
      </w:r>
      <w:r>
        <w:rPr>
          <w:rFonts w:hint="eastAsia" w:ascii="仿宋_GB2312" w:hAnsi="仿宋_GB2312" w:eastAsia="仿宋_GB2312" w:cs="仿宋_GB2312"/>
          <w:color w:val="000000"/>
          <w:sz w:val="32"/>
          <w:szCs w:val="32"/>
          <w:lang w:val="en-US" w:eastAsia="zh-CN"/>
        </w:rPr>
        <w:t>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4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40"/>
        <w:rPr>
          <w:rFonts w:hint="eastAsia" w:ascii="Times New Roman" w:hAnsi="Times New Roman" w:eastAsia="仿宋_GB2312" w:cs="Times New Roman"/>
          <w:sz w:val="32"/>
          <w:shd w:val="clear" w:color="auto" w:fill="FFFFFF"/>
          <w:lang w:eastAsia="zh-CN"/>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p>
    <w:p>
      <w:pPr>
        <w:ind w:firstLine="640"/>
        <w:rPr>
          <w:rFonts w:ascii="Times New Roman" w:hAnsi="Times New Roman" w:eastAsia="仿宋_GB2312" w:cs="Times New Roman"/>
          <w:sz w:val="32"/>
          <w:shd w:val="clear" w:color="auto" w:fill="FFFFFF"/>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w:t>
      </w:r>
      <w:r>
        <w:rPr>
          <w:rFonts w:hint="eastAsia" w:ascii="黑体" w:hAnsi="黑体" w:eastAsia="黑体"/>
          <w:sz w:val="32"/>
          <w:szCs w:val="32"/>
        </w:rPr>
        <w:t>关于</w:t>
      </w:r>
      <w:r>
        <w:rPr>
          <w:rFonts w:hint="eastAsia" w:ascii="黑体" w:hAnsi="黑体" w:eastAsia="黑体" w:cs="黑体"/>
          <w:sz w:val="32"/>
          <w:szCs w:val="32"/>
          <w:lang w:eastAsia="zh-CN"/>
        </w:rPr>
        <w:t>屯昌县人力资源和社会保障局</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仿宋_GB2312" w:eastAsia="仿宋_GB2312" w:cs="仿宋_GB2312"/>
          <w:color w:val="000000"/>
          <w:sz w:val="32"/>
          <w:szCs w:val="32"/>
        </w:rPr>
        <w:t>屯昌县人力资源和社会保障局202</w:t>
      </w:r>
      <w:r>
        <w:rPr>
          <w:rFonts w:hint="eastAsia" w:ascii="仿宋_GB2312" w:hAnsi="仿宋_GB2312" w:eastAsia="仿宋_GB2312" w:cs="仿宋_GB2312"/>
          <w:color w:val="000000"/>
          <w:sz w:val="32"/>
          <w:szCs w:val="32"/>
          <w:lang w:val="en-US" w:eastAsia="zh-CN"/>
        </w:rPr>
        <w:t>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w:t>
      </w:r>
      <w:r>
        <w:rPr>
          <w:rFonts w:hint="eastAsia" w:ascii="黑体" w:hAnsi="黑体" w:eastAsia="黑体"/>
          <w:sz w:val="32"/>
          <w:szCs w:val="32"/>
        </w:rPr>
        <w:t>关于</w:t>
      </w:r>
      <w:r>
        <w:rPr>
          <w:rFonts w:hint="eastAsia" w:ascii="黑体" w:hAnsi="黑体" w:eastAsia="黑体" w:cs="黑体"/>
          <w:sz w:val="32"/>
          <w:szCs w:val="32"/>
          <w:lang w:eastAsia="zh-CN"/>
        </w:rPr>
        <w:t>屯昌县人力资源和社会保障局</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hint="eastAsia" w:ascii="仿宋_GB2312" w:hAnsi="仿宋_GB2312" w:eastAsia="仿宋_GB2312" w:cs="仿宋_GB2312"/>
          <w:color w:val="000000"/>
          <w:sz w:val="32"/>
          <w:szCs w:val="32"/>
        </w:rPr>
      </w:pPr>
      <w:r>
        <w:rPr>
          <w:rFonts w:hint="eastAsia" w:ascii="仿宋_GB2312" w:hAnsi="黑体" w:eastAsia="仿宋_GB2312" w:cs="仿宋_GB2312"/>
          <w:sz w:val="32"/>
          <w:szCs w:val="32"/>
        </w:rPr>
        <w:t>按照综合预算原则，</w:t>
      </w:r>
      <w:r>
        <w:rPr>
          <w:rFonts w:hint="eastAsia" w:ascii="仿宋_GB2312" w:hAnsi="仿宋_GB2312" w:eastAsia="仿宋_GB2312" w:cs="仿宋_GB2312"/>
          <w:color w:val="000000"/>
          <w:sz w:val="32"/>
          <w:szCs w:val="32"/>
        </w:rPr>
        <w:t>屯昌县人力资源和社会保障局</w:t>
      </w:r>
      <w:r>
        <w:rPr>
          <w:rFonts w:hint="eastAsia" w:ascii="仿宋_GB2312" w:hAnsi="黑体" w:eastAsia="仿宋_GB2312" w:cs="仿宋_GB2312"/>
          <w:sz w:val="32"/>
          <w:szCs w:val="32"/>
        </w:rPr>
        <w:t>所有收入和支出均</w:t>
      </w:r>
      <w:bookmarkStart w:id="0" w:name="_GoBack"/>
      <w:bookmarkEnd w:id="0"/>
      <w:r>
        <w:rPr>
          <w:rFonts w:hint="eastAsia" w:ascii="仿宋_GB2312" w:hAnsi="黑体" w:eastAsia="仿宋_GB2312" w:cs="仿宋_GB2312"/>
          <w:sz w:val="32"/>
          <w:szCs w:val="32"/>
        </w:rPr>
        <w:t>纳入部门预算管理。收入包括：</w:t>
      </w:r>
      <w:r>
        <w:rPr>
          <w:rFonts w:hint="eastAsia" w:ascii="仿宋_GB2312" w:hAnsi="仿宋_GB2312" w:eastAsia="仿宋_GB2312" w:cs="仿宋_GB2312"/>
          <w:color w:val="000000"/>
          <w:sz w:val="32"/>
          <w:szCs w:val="32"/>
        </w:rPr>
        <w:t>一般公共预算收入；支出包括：社会保障和就业支出、卫生健康支出、住房保障支出。屯昌县人力资源和社会保障局202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年收支总预算</w:t>
      </w:r>
      <w:r>
        <w:rPr>
          <w:rFonts w:hint="eastAsia" w:ascii="仿宋_GB2312" w:hAnsi="仿宋_GB2312" w:eastAsia="仿宋_GB2312" w:cs="仿宋_GB2312"/>
          <w:color w:val="000000"/>
          <w:sz w:val="32"/>
          <w:szCs w:val="32"/>
          <w:lang w:val="en-US" w:eastAsia="zh-CN"/>
        </w:rPr>
        <w:t>466.08</w:t>
      </w:r>
      <w:r>
        <w:rPr>
          <w:rFonts w:hint="eastAsia" w:ascii="仿宋_GB2312" w:hAnsi="仿宋_GB2312" w:eastAsia="仿宋_GB2312" w:cs="仿宋_GB2312"/>
          <w:color w:val="000000"/>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eastAsia="zh-CN"/>
        </w:rPr>
        <w:t>屯昌县人力资源和社会保障局</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仿宋_GB2312" w:eastAsia="仿宋_GB2312" w:cs="仿宋_GB2312"/>
          <w:color w:val="000000"/>
          <w:sz w:val="32"/>
          <w:szCs w:val="32"/>
        </w:rPr>
        <w:t>屯昌县人力资源和社会保障局202</w:t>
      </w:r>
      <w:r>
        <w:rPr>
          <w:rFonts w:hint="eastAsia" w:ascii="仿宋_GB2312" w:hAnsi="仿宋_GB2312" w:eastAsia="仿宋_GB2312" w:cs="仿宋_GB2312"/>
          <w:color w:val="000000"/>
          <w:sz w:val="32"/>
          <w:szCs w:val="32"/>
          <w:lang w:val="en-US" w:eastAsia="zh-CN"/>
        </w:rPr>
        <w:t>4</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466.08</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0.00</w:t>
      </w:r>
      <w:r>
        <w:rPr>
          <w:rFonts w:hint="eastAsia" w:ascii="仿宋_GB2312" w:hAnsi="黑体" w:eastAsia="仿宋_GB2312"/>
          <w:sz w:val="32"/>
          <w:szCs w:val="32"/>
        </w:rPr>
        <w:t>%；经费拨款收入</w:t>
      </w:r>
      <w:r>
        <w:rPr>
          <w:rFonts w:hint="eastAsia" w:ascii="仿宋_GB2312" w:hAnsi="黑体" w:eastAsia="仿宋_GB2312"/>
          <w:sz w:val="32"/>
          <w:szCs w:val="32"/>
          <w:lang w:val="en-US" w:eastAsia="zh-CN"/>
        </w:rPr>
        <w:t>4</w:t>
      </w:r>
      <w:r>
        <w:rPr>
          <w:rFonts w:hint="eastAsia" w:ascii="仿宋_GB2312" w:hAnsi="黑体" w:eastAsia="仿宋_GB2312" w:cs="仿宋_GB2312"/>
          <w:sz w:val="32"/>
          <w:szCs w:val="32"/>
          <w:lang w:val="en-US" w:eastAsia="zh-CN"/>
        </w:rPr>
        <w:t>66.08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减少25.53</w:t>
      </w:r>
      <w:r>
        <w:rPr>
          <w:rFonts w:hint="eastAsia" w:ascii="仿宋_GB2312" w:hAnsi="黑体" w:eastAsia="仿宋_GB2312"/>
          <w:sz w:val="32"/>
          <w:szCs w:val="32"/>
        </w:rPr>
        <w:t>万元，主要是</w:t>
      </w:r>
      <w:r>
        <w:rPr>
          <w:rFonts w:hint="eastAsia" w:ascii="仿宋_GB2312" w:hAnsi="仿宋_GB2312" w:eastAsia="仿宋_GB2312" w:cs="仿宋_GB2312"/>
          <w:color w:val="000000"/>
          <w:sz w:val="32"/>
          <w:szCs w:val="32"/>
        </w:rPr>
        <w:t>行政管理业务</w:t>
      </w:r>
      <w:r>
        <w:rPr>
          <w:rFonts w:hint="eastAsia" w:ascii="仿宋_GB2312" w:hAnsi="仿宋_GB2312" w:eastAsia="仿宋_GB2312" w:cs="仿宋_GB2312"/>
          <w:color w:val="000000"/>
          <w:sz w:val="32"/>
          <w:szCs w:val="32"/>
          <w:lang w:val="en-US" w:eastAsia="zh-CN"/>
        </w:rPr>
        <w:t>经费减少</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屯昌县人力资源和社会保障局</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仿宋_GB2312" w:eastAsia="仿宋_GB2312" w:cs="仿宋_GB2312"/>
          <w:color w:val="000000"/>
          <w:sz w:val="32"/>
          <w:szCs w:val="32"/>
        </w:rPr>
        <w:t>屯昌县人力资源和社会保障局202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年支出预算</w:t>
      </w:r>
      <w:r>
        <w:rPr>
          <w:rFonts w:hint="eastAsia" w:ascii="仿宋_GB2312" w:hAnsi="仿宋_GB2312" w:eastAsia="仿宋_GB2312" w:cs="仿宋_GB2312"/>
          <w:color w:val="000000"/>
          <w:sz w:val="32"/>
          <w:szCs w:val="32"/>
          <w:lang w:val="en-US" w:eastAsia="zh-CN"/>
        </w:rPr>
        <w:t>466.08</w:t>
      </w:r>
      <w:r>
        <w:rPr>
          <w:rFonts w:hint="eastAsia" w:ascii="仿宋_GB2312" w:hAnsi="仿宋_GB2312" w:eastAsia="仿宋_GB2312" w:cs="仿宋_GB2312"/>
          <w:color w:val="000000"/>
          <w:sz w:val="32"/>
          <w:szCs w:val="32"/>
        </w:rPr>
        <w:t>万元，其中：其中：</w:t>
      </w:r>
      <w:r>
        <w:rPr>
          <w:rFonts w:hint="eastAsia" w:ascii="仿宋_GB2312" w:hAnsi="黑体" w:eastAsia="仿宋_GB2312"/>
          <w:sz w:val="32"/>
          <w:szCs w:val="32"/>
        </w:rPr>
        <w:t>基本支出</w:t>
      </w:r>
      <w:r>
        <w:rPr>
          <w:rFonts w:hint="eastAsia" w:ascii="仿宋_GB2312" w:hAnsi="黑体" w:eastAsia="仿宋_GB2312" w:cs="仿宋_GB2312"/>
          <w:sz w:val="32"/>
          <w:szCs w:val="32"/>
          <w:lang w:val="en-US" w:eastAsia="zh-CN"/>
        </w:rPr>
        <w:t>304.53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65.34</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161.55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34.66</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减少25.53</w:t>
      </w:r>
      <w:r>
        <w:rPr>
          <w:rFonts w:hint="eastAsia" w:ascii="仿宋_GB2312" w:hAnsi="黑体" w:eastAsia="仿宋_GB2312"/>
          <w:sz w:val="32"/>
          <w:szCs w:val="32"/>
        </w:rPr>
        <w:t>万元，</w:t>
      </w:r>
      <w:r>
        <w:rPr>
          <w:rFonts w:hint="eastAsia" w:ascii="仿宋_GB2312" w:hAnsi="黑体" w:eastAsia="仿宋_GB2312"/>
          <w:sz w:val="32"/>
          <w:szCs w:val="32"/>
          <w:lang w:eastAsia="zh-CN"/>
        </w:rPr>
        <w:t>主要是</w:t>
      </w: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经费减少</w:t>
      </w:r>
      <w:r>
        <w:rPr>
          <w:rFonts w:hint="eastAsia" w:ascii="仿宋_GB2312" w:hAnsi="仿宋_GB2312" w:eastAsia="仿宋_GB2312" w:cs="仿宋_GB2312"/>
          <w:color w:val="000000"/>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（一）机关运行经费</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年屯昌县人力资源和社会保障局的机关运行经费预算</w:t>
      </w:r>
      <w:r>
        <w:rPr>
          <w:rFonts w:hint="eastAsia" w:ascii="仿宋_GB2312" w:hAnsi="仿宋_GB2312" w:eastAsia="仿宋_GB2312" w:cs="仿宋_GB2312"/>
          <w:color w:val="000000"/>
          <w:sz w:val="32"/>
          <w:szCs w:val="32"/>
          <w:lang w:val="en-US" w:eastAsia="zh-CN"/>
        </w:rPr>
        <w:t>21.19</w:t>
      </w:r>
      <w:r>
        <w:rPr>
          <w:rFonts w:hint="eastAsia" w:ascii="仿宋_GB2312" w:hAnsi="仿宋_GB2312" w:eastAsia="仿宋_GB2312" w:cs="仿宋_GB2312"/>
          <w:color w:val="000000"/>
          <w:sz w:val="32"/>
          <w:szCs w:val="32"/>
        </w:rPr>
        <w:t>万元。</w:t>
      </w:r>
    </w:p>
    <w:p>
      <w:pPr>
        <w:spacing w:line="590"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年屯昌县人力资源和社会保障局政府采购预算总额</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万元，其中：政府采购货物预算</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万元，政府采购工程预算</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万元，政府采购服务预算</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（三）国有资产占有使用情况</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年12月31日，屯昌县人力资源和社会保障局本级单位共有车辆</w:t>
      </w:r>
      <w:r>
        <w:rPr>
          <w:rFonts w:ascii="仿宋_GB2312" w:hAnsi="仿宋_GB2312" w:eastAsia="仿宋_GB2312" w:cs="仿宋_GB2312"/>
          <w:color w:val="000000"/>
          <w:sz w:val="32"/>
          <w:szCs w:val="32"/>
        </w:rPr>
        <w:t xml:space="preserve">1 </w:t>
      </w:r>
      <w:r>
        <w:rPr>
          <w:rFonts w:hint="eastAsia" w:ascii="仿宋_GB2312" w:hAnsi="仿宋_GB2312" w:eastAsia="仿宋_GB2312" w:cs="仿宋_GB2312"/>
          <w:color w:val="000000"/>
          <w:sz w:val="32"/>
          <w:szCs w:val="32"/>
        </w:rPr>
        <w:t>辆，其中，机要通信应急用车</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辆。单位价值</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万元以上设备</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台（套）。</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（四）绩效目标设置情况</w:t>
      </w:r>
    </w:p>
    <w:p>
      <w:pPr>
        <w:pStyle w:val="4"/>
        <w:widowControl/>
        <w:snapToGrid w:val="0"/>
        <w:spacing w:before="0" w:beforeAutospacing="0" w:after="0" w:afterAutospacing="0" w:line="59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年屯昌县人力资源和社会保障局</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个项目实行绩效目标管理，涉及一般公共预算</w:t>
      </w:r>
      <w:r>
        <w:rPr>
          <w:rFonts w:hint="eastAsia" w:ascii="仿宋_GB2312" w:hAnsi="仿宋_GB2312" w:eastAsia="仿宋_GB2312" w:cs="仿宋_GB2312"/>
          <w:color w:val="auto"/>
          <w:sz w:val="32"/>
          <w:szCs w:val="32"/>
          <w:lang w:val="en-US" w:eastAsia="zh-CN"/>
        </w:rPr>
        <w:t>466.08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pStyle w:val="4"/>
        <w:widowControl/>
        <w:snapToGrid w:val="0"/>
        <w:spacing w:before="0" w:beforeAutospacing="0" w:after="0" w:afterAutospacing="0" w:line="590" w:lineRule="exact"/>
        <w:ind w:firstLine="640"/>
        <w:jc w:val="both"/>
        <w:rPr>
          <w:rFonts w:hint="eastAsia" w:ascii="仿宋_GB2312" w:hAnsi="仿宋_GB2312" w:eastAsia="仿宋_GB2312" w:cs="仿宋_GB2312"/>
          <w:color w:val="auto"/>
          <w:sz w:val="32"/>
          <w:szCs w:val="32"/>
          <w:lang w:eastAsia="zh-CN"/>
        </w:rPr>
      </w:pPr>
    </w:p>
    <w:p>
      <w:pPr>
        <w:pStyle w:val="4"/>
        <w:widowControl/>
        <w:snapToGrid w:val="0"/>
        <w:spacing w:before="0" w:beforeAutospacing="0" w:after="0" w:afterAutospacing="0" w:line="590" w:lineRule="exact"/>
        <w:ind w:firstLine="640"/>
        <w:jc w:val="both"/>
        <w:rPr>
          <w:rFonts w:hint="eastAsia" w:ascii="仿宋_GB2312" w:hAnsi="仿宋_GB2312" w:eastAsia="仿宋_GB2312" w:cs="仿宋_GB2312"/>
          <w:color w:val="auto"/>
          <w:sz w:val="32"/>
          <w:szCs w:val="32"/>
          <w:lang w:eastAsia="zh-CN"/>
        </w:rPr>
      </w:pPr>
    </w:p>
    <w:p>
      <w:pPr>
        <w:pStyle w:val="4"/>
        <w:widowControl/>
        <w:snapToGrid w:val="0"/>
        <w:spacing w:before="0" w:beforeAutospacing="0" w:after="0" w:afterAutospacing="0" w:line="590" w:lineRule="exact"/>
        <w:ind w:firstLine="640"/>
        <w:jc w:val="both"/>
        <w:rPr>
          <w:rFonts w:hint="eastAsia" w:ascii="仿宋_GB2312" w:hAnsi="仿宋_GB2312" w:eastAsia="仿宋_GB2312" w:cs="仿宋_GB2312"/>
          <w:color w:val="auto"/>
          <w:sz w:val="32"/>
          <w:szCs w:val="32"/>
          <w:lang w:eastAsia="zh-CN"/>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6319F8"/>
    <w:multiLevelType w:val="singleLevel"/>
    <w:tmpl w:val="586319F8"/>
    <w:lvl w:ilvl="0" w:tentative="0">
      <w:start w:val="4"/>
      <w:numFmt w:val="chineseCounting"/>
      <w:suff w:val="nothing"/>
      <w:lvlText w:val="（%1）"/>
      <w:lvlJc w:val="left"/>
      <w:rPr>
        <w:rFonts w:cs="Times New Roman"/>
      </w:r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OTExMWI4Y2ViODRjMzk1OThmMjNmZGVjODUzZjAifQ=="/>
  </w:docVars>
  <w:rsids>
    <w:rsidRoot w:val="00000000"/>
    <w:rsid w:val="19D5DA33"/>
    <w:rsid w:val="1E552452"/>
    <w:rsid w:val="1FBF8E30"/>
    <w:rsid w:val="2BDF0DC0"/>
    <w:rsid w:val="2FF7110D"/>
    <w:rsid w:val="2FFFCED3"/>
    <w:rsid w:val="392F21C8"/>
    <w:rsid w:val="3B4E3AB0"/>
    <w:rsid w:val="3F7FB4B5"/>
    <w:rsid w:val="3FAD4D11"/>
    <w:rsid w:val="4242307D"/>
    <w:rsid w:val="45247BFF"/>
    <w:rsid w:val="491D214E"/>
    <w:rsid w:val="494871CB"/>
    <w:rsid w:val="4FB80849"/>
    <w:rsid w:val="51DC61E0"/>
    <w:rsid w:val="5D725D6C"/>
    <w:rsid w:val="5DB7E539"/>
    <w:rsid w:val="66CF4AFC"/>
    <w:rsid w:val="66DACB0B"/>
    <w:rsid w:val="68F976EC"/>
    <w:rsid w:val="697BF56A"/>
    <w:rsid w:val="6A8C7941"/>
    <w:rsid w:val="6B6CE30F"/>
    <w:rsid w:val="6C7F1319"/>
    <w:rsid w:val="6DDF74AC"/>
    <w:rsid w:val="6FAF0D8D"/>
    <w:rsid w:val="6FCFCADC"/>
    <w:rsid w:val="6FFA4FE6"/>
    <w:rsid w:val="7077776D"/>
    <w:rsid w:val="75FB0B04"/>
    <w:rsid w:val="79F7B683"/>
    <w:rsid w:val="7D16490F"/>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rFonts w:ascii="Times New Roman" w:hAnsi="Times New Roman" w:cs="Times New Roman"/>
      <w:kern w:val="0"/>
      <w:sz w:val="18"/>
      <w:szCs w:val="18"/>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4278</Words>
  <Characters>4609</Characters>
  <Lines>27</Lines>
  <Paragraphs>7</Paragraphs>
  <TotalTime>144</TotalTime>
  <ScaleCrop>false</ScaleCrop>
  <LinksUpToDate>false</LinksUpToDate>
  <CharactersWithSpaces>4675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县人社局收发员（含县医保局）</cp:lastModifiedBy>
  <dcterms:modified xsi:type="dcterms:W3CDTF">2024-12-31T03:27:43Z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6B3F16FCE59F4E3594C4AA5A7B39AFEA</vt:lpwstr>
  </property>
</Properties>
</file>