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bidi w:val="0"/>
        <w:snapToGrid/>
        <w:spacing w:line="578" w:lineRule="exact"/>
        <w:jc w:val="center"/>
        <w:textAlignment w:val="auto"/>
        <w:rPr>
          <w:rFonts w:hint="eastAsia" w:ascii="方正小标宋_GBK" w:hAnsi="方正小标宋_GBK" w:eastAsia="方正小标宋_GBK" w:cs="方正小标宋_GBK"/>
          <w:b w:val="0"/>
          <w:bCs w:val="0"/>
          <w:color w:val="auto"/>
          <w:sz w:val="44"/>
          <w:szCs w:val="44"/>
          <w:highlight w:val="none"/>
          <w:u w:val="none"/>
        </w:rPr>
      </w:pPr>
      <w:bookmarkStart w:id="406" w:name="_GoBack"/>
      <w:bookmarkEnd w:id="406"/>
      <w:r>
        <w:rPr>
          <w:rFonts w:hint="eastAsia" w:ascii="方正小标宋_GBK" w:hAnsi="方正小标宋_GBK" w:eastAsia="方正小标宋_GBK" w:cs="方正小标宋_GBK"/>
          <w:b w:val="0"/>
          <w:bCs w:val="0"/>
          <w:color w:val="auto"/>
          <w:sz w:val="44"/>
          <w:szCs w:val="44"/>
          <w:highlight w:val="none"/>
          <w:u w:val="none"/>
          <w:lang w:eastAsia="zh-CN"/>
        </w:rPr>
        <w:t>屯昌县</w:t>
      </w:r>
      <w:r>
        <w:rPr>
          <w:rFonts w:hint="eastAsia" w:ascii="方正小标宋_GBK" w:hAnsi="方正小标宋_GBK" w:eastAsia="方正小标宋_GBK" w:cs="方正小标宋_GBK"/>
          <w:b w:val="0"/>
          <w:bCs w:val="0"/>
          <w:color w:val="auto"/>
          <w:sz w:val="44"/>
          <w:szCs w:val="44"/>
          <w:highlight w:val="none"/>
          <w:u w:val="none"/>
        </w:rPr>
        <w:t>药品安全突发事件应急预案</w:t>
      </w:r>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 xml:space="preserve"> </w:t>
      </w:r>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u w:val="none"/>
        </w:rPr>
      </w:pPr>
      <w:r>
        <w:rPr>
          <w:rFonts w:hint="eastAsia" w:ascii="黑体" w:hAnsi="黑体" w:eastAsia="黑体" w:cs="黑体"/>
          <w:color w:val="auto"/>
          <w:sz w:val="44"/>
          <w:szCs w:val="44"/>
          <w:highlight w:val="none"/>
          <w:u w:val="none"/>
        </w:rPr>
        <w:t>目</w:t>
      </w:r>
      <w:r>
        <w:rPr>
          <w:rFonts w:hint="eastAsia" w:ascii="黑体" w:hAnsi="黑体" w:eastAsia="黑体" w:cs="黑体"/>
          <w:color w:val="auto"/>
          <w:sz w:val="44"/>
          <w:szCs w:val="44"/>
          <w:highlight w:val="none"/>
          <w:u w:val="none"/>
          <w:lang w:val="en-US" w:eastAsia="zh-CN"/>
        </w:rPr>
        <w:t xml:space="preserve"> </w:t>
      </w:r>
      <w:r>
        <w:rPr>
          <w:rFonts w:hint="eastAsia" w:ascii="黑体" w:hAnsi="黑体" w:eastAsia="黑体" w:cs="黑体"/>
          <w:color w:val="auto"/>
          <w:sz w:val="44"/>
          <w:szCs w:val="44"/>
          <w:highlight w:val="none"/>
          <w:u w:val="none"/>
        </w:rPr>
        <w:t>录</w:t>
      </w:r>
    </w:p>
    <w:p>
      <w:pPr>
        <w:pStyle w:val="7"/>
        <w:tabs>
          <w:tab w:val="right" w:leader="dot" w:pos="8845"/>
        </w:tabs>
        <w:ind w:left="0" w:leftChars="0" w:firstLine="0" w:firstLineChars="0"/>
        <w:rPr>
          <w:rFonts w:hint="eastAsia" w:ascii="CESI黑体-GB2312" w:hAnsi="CESI黑体-GB2312" w:eastAsia="CESI仿宋-GB2312" w:cs="CESI黑体-GB2312"/>
          <w:color w:val="auto"/>
          <w:sz w:val="32"/>
          <w:szCs w:val="32"/>
          <w:highlight w:val="none"/>
          <w:lang w:val="en-US" w:eastAsia="zh-CN"/>
        </w:rPr>
      </w:pPr>
      <w:r>
        <w:rPr>
          <w:rFonts w:hint="eastAsia" w:ascii="CESI黑体-GB2312" w:hAnsi="CESI黑体-GB2312" w:eastAsia="CESI黑体-GB2312" w:cs="CESI黑体-GB2312"/>
          <w:color w:val="auto"/>
          <w:sz w:val="32"/>
          <w:szCs w:val="32"/>
          <w:highlight w:val="none"/>
          <w:lang w:val="en-US" w:eastAsia="zh-CN"/>
        </w:rPr>
        <w:t>1 总则</w:t>
      </w:r>
      <w:r>
        <w:rPr>
          <w:color w:val="auto"/>
          <w:highlight w:val="none"/>
        </w:rPr>
        <w:tab/>
      </w:r>
      <w:r>
        <w:rPr>
          <w:rFonts w:hint="eastAsia"/>
          <w:color w:val="auto"/>
          <w:highlight w:val="none"/>
          <w:lang w:val="en-US" w:eastAsia="zh-CN"/>
        </w:rPr>
        <w:t>3</w:t>
      </w:r>
    </w:p>
    <w:p>
      <w:pPr>
        <w:pStyle w:val="7"/>
        <w:tabs>
          <w:tab w:val="right" w:leader="dot" w:pos="8845"/>
        </w:tabs>
        <w:rPr>
          <w:color w:val="auto"/>
          <w:highlight w:val="none"/>
        </w:rPr>
      </w:pPr>
      <w:r>
        <w:rPr>
          <w:rFonts w:hint="eastAsia" w:ascii="CESI黑体-GB2312" w:hAnsi="CESI黑体-GB2312" w:eastAsia="CESI黑体-GB2312" w:cs="CESI黑体-GB2312"/>
          <w:color w:val="auto"/>
          <w:sz w:val="32"/>
          <w:szCs w:val="32"/>
          <w:highlight w:val="none"/>
        </w:rPr>
        <w:fldChar w:fldCharType="begin"/>
      </w:r>
      <w:r>
        <w:rPr>
          <w:rFonts w:hint="eastAsia" w:ascii="CESI黑体-GB2312" w:hAnsi="CESI黑体-GB2312" w:eastAsia="CESI黑体-GB2312" w:cs="CESI黑体-GB2312"/>
          <w:color w:val="auto"/>
          <w:sz w:val="32"/>
          <w:szCs w:val="32"/>
          <w:highlight w:val="none"/>
        </w:rPr>
        <w:instrText xml:space="preserve">TOC \o "1-3" \h \u </w:instrText>
      </w:r>
      <w:r>
        <w:rPr>
          <w:rFonts w:hint="eastAsia" w:ascii="CESI黑体-GB2312" w:hAnsi="CESI黑体-GB2312" w:eastAsia="CESI黑体-GB2312" w:cs="CESI黑体-GB2312"/>
          <w:color w:val="auto"/>
          <w:sz w:val="32"/>
          <w:szCs w:val="32"/>
          <w:highlight w:val="none"/>
        </w:rPr>
        <w:fldChar w:fldCharType="separate"/>
      </w: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_Toc22785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rPr>
        <w:t>1.1  编制目的</w:t>
      </w:r>
      <w:r>
        <w:rPr>
          <w:color w:val="auto"/>
          <w:highlight w:val="none"/>
        </w:rPr>
        <w:tab/>
      </w:r>
      <w:r>
        <w:rPr>
          <w:color w:val="auto"/>
          <w:highlight w:val="none"/>
        </w:rPr>
        <w:fldChar w:fldCharType="begin"/>
      </w:r>
      <w:r>
        <w:rPr>
          <w:color w:val="auto"/>
          <w:highlight w:val="none"/>
        </w:rPr>
        <w:instrText xml:space="preserve"> PAGEREF _Toc22785 \h </w:instrText>
      </w:r>
      <w:r>
        <w:rPr>
          <w:color w:val="auto"/>
          <w:highlight w:val="none"/>
        </w:rPr>
        <w:fldChar w:fldCharType="separate"/>
      </w:r>
      <w:r>
        <w:rPr>
          <w:color w:val="auto"/>
          <w:highlight w:val="none"/>
        </w:rPr>
        <w:t>3</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_Toc30479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rPr>
        <w:t>1.2  编制依据</w:t>
      </w:r>
      <w:r>
        <w:rPr>
          <w:color w:val="auto"/>
          <w:highlight w:val="none"/>
        </w:rPr>
        <w:tab/>
      </w:r>
      <w:r>
        <w:rPr>
          <w:color w:val="auto"/>
          <w:highlight w:val="none"/>
        </w:rPr>
        <w:fldChar w:fldCharType="begin"/>
      </w:r>
      <w:r>
        <w:rPr>
          <w:color w:val="auto"/>
          <w:highlight w:val="none"/>
        </w:rPr>
        <w:instrText xml:space="preserve"> PAGEREF _Toc30479 \h </w:instrText>
      </w:r>
      <w:r>
        <w:rPr>
          <w:color w:val="auto"/>
          <w:highlight w:val="none"/>
        </w:rPr>
        <w:fldChar w:fldCharType="separate"/>
      </w:r>
      <w:r>
        <w:rPr>
          <w:color w:val="auto"/>
          <w:highlight w:val="none"/>
        </w:rPr>
        <w:t>3</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_Toc22210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rPr>
        <w:t>1.</w:t>
      </w:r>
      <w:r>
        <w:rPr>
          <w:rFonts w:hint="eastAsia" w:ascii="CESI楷体-GB2312" w:hAnsi="CESI楷体-GB2312" w:eastAsia="CESI楷体-GB2312" w:cs="CESI楷体-GB2312"/>
          <w:color w:val="auto"/>
          <w:szCs w:val="32"/>
          <w:highlight w:val="none"/>
          <w:lang w:val="en-US" w:eastAsia="zh-CN"/>
        </w:rPr>
        <w:t>3</w:t>
      </w:r>
      <w:r>
        <w:rPr>
          <w:rFonts w:hint="eastAsia" w:ascii="CESI楷体-GB2312" w:hAnsi="CESI楷体-GB2312" w:eastAsia="CESI楷体-GB2312" w:cs="CESI楷体-GB2312"/>
          <w:color w:val="auto"/>
          <w:szCs w:val="32"/>
          <w:highlight w:val="none"/>
        </w:rPr>
        <w:t xml:space="preserve">  事件分级</w:t>
      </w:r>
      <w:r>
        <w:rPr>
          <w:color w:val="auto"/>
          <w:highlight w:val="none"/>
        </w:rPr>
        <w:tab/>
      </w:r>
      <w:r>
        <w:rPr>
          <w:color w:val="auto"/>
          <w:highlight w:val="none"/>
        </w:rPr>
        <w:fldChar w:fldCharType="begin"/>
      </w:r>
      <w:r>
        <w:rPr>
          <w:color w:val="auto"/>
          <w:highlight w:val="none"/>
        </w:rPr>
        <w:instrText xml:space="preserve"> PAGEREF _Toc22210 \h </w:instrText>
      </w:r>
      <w:r>
        <w:rPr>
          <w:color w:val="auto"/>
          <w:highlight w:val="none"/>
        </w:rPr>
        <w:fldChar w:fldCharType="separate"/>
      </w:r>
      <w:r>
        <w:rPr>
          <w:color w:val="auto"/>
          <w:highlight w:val="none"/>
        </w:rPr>
        <w:t>3</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_Toc26566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rPr>
        <w:t>1.</w:t>
      </w:r>
      <w:r>
        <w:rPr>
          <w:rFonts w:hint="eastAsia" w:ascii="CESI楷体-GB2312" w:hAnsi="CESI楷体-GB2312" w:eastAsia="CESI楷体-GB2312" w:cs="CESI楷体-GB2312"/>
          <w:color w:val="auto"/>
          <w:szCs w:val="32"/>
          <w:highlight w:val="none"/>
          <w:lang w:val="en-US" w:eastAsia="zh-CN"/>
        </w:rPr>
        <w:t>4</w:t>
      </w:r>
      <w:r>
        <w:rPr>
          <w:rFonts w:hint="eastAsia" w:ascii="CESI楷体-GB2312" w:hAnsi="CESI楷体-GB2312" w:eastAsia="CESI楷体-GB2312" w:cs="CESI楷体-GB2312"/>
          <w:color w:val="auto"/>
          <w:szCs w:val="32"/>
          <w:highlight w:val="none"/>
        </w:rPr>
        <w:t xml:space="preserve">  适用范围</w:t>
      </w:r>
      <w:r>
        <w:rPr>
          <w:color w:val="auto"/>
          <w:highlight w:val="none"/>
        </w:rPr>
        <w:tab/>
      </w:r>
      <w:r>
        <w:rPr>
          <w:color w:val="auto"/>
          <w:highlight w:val="none"/>
        </w:rPr>
        <w:fldChar w:fldCharType="begin"/>
      </w:r>
      <w:r>
        <w:rPr>
          <w:color w:val="auto"/>
          <w:highlight w:val="none"/>
        </w:rPr>
        <w:instrText xml:space="preserve"> PAGEREF _Toc26566 \h </w:instrText>
      </w:r>
      <w:r>
        <w:rPr>
          <w:color w:val="auto"/>
          <w:highlight w:val="none"/>
        </w:rPr>
        <w:fldChar w:fldCharType="separate"/>
      </w:r>
      <w:r>
        <w:rPr>
          <w:color w:val="auto"/>
          <w:highlight w:val="none"/>
        </w:rPr>
        <w:t>4</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_Toc19283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rPr>
        <w:t>1.</w:t>
      </w:r>
      <w:r>
        <w:rPr>
          <w:rFonts w:hint="eastAsia" w:ascii="CESI楷体-GB2312" w:hAnsi="CESI楷体-GB2312" w:eastAsia="CESI楷体-GB2312" w:cs="CESI楷体-GB2312"/>
          <w:color w:val="auto"/>
          <w:szCs w:val="32"/>
          <w:highlight w:val="none"/>
          <w:lang w:val="en-US" w:eastAsia="zh-CN"/>
        </w:rPr>
        <w:t>5</w:t>
      </w:r>
      <w:r>
        <w:rPr>
          <w:rFonts w:hint="eastAsia" w:ascii="CESI楷体-GB2312" w:hAnsi="CESI楷体-GB2312" w:eastAsia="CESI楷体-GB2312" w:cs="CESI楷体-GB2312"/>
          <w:color w:val="auto"/>
          <w:szCs w:val="32"/>
          <w:highlight w:val="none"/>
        </w:rPr>
        <w:t xml:space="preserve">  </w:t>
      </w:r>
      <w:r>
        <w:rPr>
          <w:rFonts w:hint="eastAsia" w:ascii="CESI楷体-GB2312" w:hAnsi="CESI楷体-GB2312" w:eastAsia="CESI楷体-GB2312" w:cs="CESI楷体-GB2312"/>
          <w:color w:val="auto"/>
          <w:szCs w:val="32"/>
          <w:highlight w:val="none"/>
          <w:lang w:eastAsia="zh-CN"/>
        </w:rPr>
        <w:t>处置原则</w:t>
      </w:r>
      <w:r>
        <w:rPr>
          <w:color w:val="auto"/>
          <w:highlight w:val="none"/>
        </w:rPr>
        <w:tab/>
      </w:r>
      <w:r>
        <w:rPr>
          <w:color w:val="auto"/>
          <w:highlight w:val="none"/>
        </w:rPr>
        <w:fldChar w:fldCharType="begin"/>
      </w:r>
      <w:r>
        <w:rPr>
          <w:color w:val="auto"/>
          <w:highlight w:val="none"/>
        </w:rPr>
        <w:instrText xml:space="preserve"> PAGEREF _Toc19283 \h </w:instrText>
      </w:r>
      <w:r>
        <w:rPr>
          <w:color w:val="auto"/>
          <w:highlight w:val="none"/>
        </w:rPr>
        <w:fldChar w:fldCharType="separate"/>
      </w:r>
      <w:r>
        <w:rPr>
          <w:color w:val="auto"/>
          <w:highlight w:val="none"/>
        </w:rPr>
        <w:t>4</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6"/>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_Toc10256 </w:instrText>
      </w:r>
      <w:r>
        <w:rPr>
          <w:rFonts w:hint="eastAsia" w:ascii="CESI黑体-GB2312" w:hAnsi="CESI黑体-GB2312" w:eastAsia="CESI黑体-GB2312" w:cs="CESI黑体-GB2312"/>
          <w:color w:val="auto"/>
          <w:szCs w:val="32"/>
          <w:highlight w:val="none"/>
        </w:rPr>
        <w:fldChar w:fldCharType="separate"/>
      </w:r>
      <w:r>
        <w:rPr>
          <w:rFonts w:hint="eastAsia" w:ascii="CESI黑体-GB2312" w:hAnsi="CESI黑体-GB2312" w:eastAsia="CESI黑体-GB2312" w:cs="CESI黑体-GB2312"/>
          <w:color w:val="auto"/>
          <w:szCs w:val="32"/>
          <w:highlight w:val="none"/>
        </w:rPr>
        <w:t>2  组织机构及职责</w:t>
      </w:r>
      <w:r>
        <w:rPr>
          <w:color w:val="auto"/>
          <w:highlight w:val="none"/>
        </w:rPr>
        <w:tab/>
      </w:r>
      <w:r>
        <w:rPr>
          <w:color w:val="auto"/>
          <w:highlight w:val="none"/>
        </w:rPr>
        <w:fldChar w:fldCharType="begin"/>
      </w:r>
      <w:r>
        <w:rPr>
          <w:color w:val="auto"/>
          <w:highlight w:val="none"/>
        </w:rPr>
        <w:instrText xml:space="preserve"> PAGEREF _Toc10256 \h </w:instrText>
      </w:r>
      <w:r>
        <w:rPr>
          <w:color w:val="auto"/>
          <w:highlight w:val="none"/>
        </w:rPr>
        <w:fldChar w:fldCharType="separate"/>
      </w:r>
      <w:r>
        <w:rPr>
          <w:color w:val="auto"/>
          <w:highlight w:val="none"/>
        </w:rPr>
        <w:t>5</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_Toc23068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rPr>
        <w:t>2.</w:t>
      </w:r>
      <w:r>
        <w:rPr>
          <w:rFonts w:hint="eastAsia" w:ascii="CESI楷体-GB2312" w:hAnsi="CESI楷体-GB2312" w:eastAsia="CESI楷体-GB2312" w:cs="CESI楷体-GB2312"/>
          <w:color w:val="auto"/>
          <w:szCs w:val="32"/>
          <w:highlight w:val="none"/>
          <w:lang w:val="en-US" w:eastAsia="zh-CN"/>
        </w:rPr>
        <w:t>1</w:t>
      </w:r>
      <w:r>
        <w:rPr>
          <w:rFonts w:hint="eastAsia" w:ascii="CESI楷体-GB2312" w:hAnsi="CESI楷体-GB2312" w:eastAsia="CESI楷体-GB2312" w:cs="CESI楷体-GB2312"/>
          <w:color w:val="auto"/>
          <w:szCs w:val="32"/>
          <w:highlight w:val="none"/>
        </w:rPr>
        <w:t xml:space="preserve">  </w:t>
      </w:r>
      <w:r>
        <w:rPr>
          <w:rFonts w:hint="eastAsia" w:ascii="CESI楷体-GB2312" w:hAnsi="CESI楷体-GB2312" w:eastAsia="CESI楷体-GB2312" w:cs="CESI楷体-GB2312"/>
          <w:color w:val="auto"/>
          <w:szCs w:val="32"/>
          <w:highlight w:val="none"/>
          <w:lang w:eastAsia="zh-CN"/>
        </w:rPr>
        <w:t>应急机制启动</w:t>
      </w:r>
      <w:r>
        <w:rPr>
          <w:color w:val="auto"/>
          <w:highlight w:val="none"/>
        </w:rPr>
        <w:tab/>
      </w:r>
      <w:r>
        <w:rPr>
          <w:color w:val="auto"/>
          <w:highlight w:val="none"/>
        </w:rPr>
        <w:fldChar w:fldCharType="begin"/>
      </w:r>
      <w:r>
        <w:rPr>
          <w:color w:val="auto"/>
          <w:highlight w:val="none"/>
        </w:rPr>
        <w:instrText xml:space="preserve"> PAGEREF _Toc23068 \h </w:instrText>
      </w:r>
      <w:r>
        <w:rPr>
          <w:color w:val="auto"/>
          <w:highlight w:val="none"/>
        </w:rPr>
        <w:fldChar w:fldCharType="separate"/>
      </w:r>
      <w:r>
        <w:rPr>
          <w:color w:val="auto"/>
          <w:highlight w:val="none"/>
        </w:rPr>
        <w:t>5</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_Toc4067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rPr>
        <w:t>2.</w:t>
      </w:r>
      <w:r>
        <w:rPr>
          <w:rFonts w:hint="eastAsia" w:ascii="CESI楷体-GB2312" w:hAnsi="CESI楷体-GB2312" w:eastAsia="CESI楷体-GB2312" w:cs="CESI楷体-GB2312"/>
          <w:color w:val="auto"/>
          <w:szCs w:val="32"/>
          <w:highlight w:val="none"/>
          <w:lang w:val="en-US" w:eastAsia="zh-CN"/>
        </w:rPr>
        <w:t>2</w:t>
      </w:r>
      <w:r>
        <w:rPr>
          <w:rFonts w:hint="eastAsia" w:ascii="CESI楷体-GB2312" w:hAnsi="CESI楷体-GB2312" w:eastAsia="CESI楷体-GB2312" w:cs="CESI楷体-GB2312"/>
          <w:color w:val="auto"/>
          <w:szCs w:val="32"/>
          <w:highlight w:val="none"/>
        </w:rPr>
        <w:t xml:space="preserve">  </w:t>
      </w:r>
      <w:r>
        <w:rPr>
          <w:rFonts w:hint="eastAsia" w:ascii="CESI楷体-GB2312" w:hAnsi="CESI楷体-GB2312" w:eastAsia="CESI楷体-GB2312" w:cs="CESI楷体-GB2312"/>
          <w:color w:val="auto"/>
          <w:szCs w:val="32"/>
          <w:highlight w:val="none"/>
          <w:lang w:eastAsia="zh-CN"/>
        </w:rPr>
        <w:t>应急</w:t>
      </w:r>
      <w:r>
        <w:rPr>
          <w:rFonts w:hint="eastAsia" w:ascii="CESI楷体-GB2312" w:hAnsi="CESI楷体-GB2312" w:eastAsia="CESI楷体-GB2312" w:cs="CESI楷体-GB2312"/>
          <w:color w:val="auto"/>
          <w:szCs w:val="32"/>
          <w:highlight w:val="none"/>
        </w:rPr>
        <w:t>指挥机构</w:t>
      </w:r>
      <w:r>
        <w:rPr>
          <w:color w:val="auto"/>
          <w:highlight w:val="none"/>
        </w:rPr>
        <w:tab/>
      </w:r>
      <w:r>
        <w:rPr>
          <w:color w:val="auto"/>
          <w:highlight w:val="none"/>
        </w:rPr>
        <w:fldChar w:fldCharType="begin"/>
      </w:r>
      <w:r>
        <w:rPr>
          <w:color w:val="auto"/>
          <w:highlight w:val="none"/>
        </w:rPr>
        <w:instrText xml:space="preserve"> PAGEREF _Toc4067 \h </w:instrText>
      </w:r>
      <w:r>
        <w:rPr>
          <w:color w:val="auto"/>
          <w:highlight w:val="none"/>
        </w:rPr>
        <w:fldChar w:fldCharType="separate"/>
      </w:r>
      <w:r>
        <w:rPr>
          <w:color w:val="auto"/>
          <w:highlight w:val="none"/>
        </w:rPr>
        <w:t>5</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6"/>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_Toc31768 </w:instrText>
      </w:r>
      <w:r>
        <w:rPr>
          <w:rFonts w:hint="eastAsia" w:ascii="CESI黑体-GB2312" w:hAnsi="CESI黑体-GB2312" w:eastAsia="CESI黑体-GB2312" w:cs="CESI黑体-GB2312"/>
          <w:color w:val="auto"/>
          <w:szCs w:val="32"/>
          <w:highlight w:val="none"/>
        </w:rPr>
        <w:fldChar w:fldCharType="separate"/>
      </w:r>
      <w:r>
        <w:rPr>
          <w:rFonts w:hint="eastAsia" w:ascii="CESI黑体-GB2312" w:hAnsi="CESI黑体-GB2312" w:eastAsia="CESI黑体-GB2312" w:cs="CESI黑体-GB2312"/>
          <w:color w:val="auto"/>
          <w:szCs w:val="32"/>
          <w:highlight w:val="none"/>
        </w:rPr>
        <w:t>3  监测</w:t>
      </w:r>
      <w:r>
        <w:rPr>
          <w:rFonts w:hint="eastAsia" w:ascii="CESI黑体-GB2312" w:hAnsi="CESI黑体-GB2312" w:eastAsia="CESI黑体-GB2312" w:cs="CESI黑体-GB2312"/>
          <w:color w:val="auto"/>
          <w:szCs w:val="32"/>
          <w:highlight w:val="none"/>
          <w:lang w:eastAsia="zh-CN"/>
        </w:rPr>
        <w:t>、</w:t>
      </w:r>
      <w:r>
        <w:rPr>
          <w:rFonts w:hint="eastAsia" w:ascii="CESI黑体-GB2312" w:hAnsi="CESI黑体-GB2312" w:eastAsia="CESI黑体-GB2312" w:cs="CESI黑体-GB2312"/>
          <w:color w:val="auto"/>
          <w:szCs w:val="32"/>
          <w:highlight w:val="none"/>
        </w:rPr>
        <w:t>预警</w:t>
      </w:r>
      <w:r>
        <w:rPr>
          <w:rFonts w:hint="eastAsia" w:ascii="CESI黑体-GB2312" w:hAnsi="CESI黑体-GB2312" w:eastAsia="CESI黑体-GB2312" w:cs="CESI黑体-GB2312"/>
          <w:color w:val="auto"/>
          <w:szCs w:val="32"/>
          <w:highlight w:val="none"/>
          <w:lang w:eastAsia="zh-CN"/>
        </w:rPr>
        <w:t>、报告</w:t>
      </w:r>
      <w:r>
        <w:rPr>
          <w:color w:val="auto"/>
          <w:highlight w:val="none"/>
        </w:rPr>
        <w:tab/>
      </w:r>
      <w:r>
        <w:rPr>
          <w:color w:val="auto"/>
          <w:highlight w:val="none"/>
        </w:rPr>
        <w:fldChar w:fldCharType="begin"/>
      </w:r>
      <w:r>
        <w:rPr>
          <w:color w:val="auto"/>
          <w:highlight w:val="none"/>
        </w:rPr>
        <w:instrText xml:space="preserve"> PAGEREF _Toc31768 \h </w:instrText>
      </w:r>
      <w:r>
        <w:rPr>
          <w:color w:val="auto"/>
          <w:highlight w:val="none"/>
        </w:rPr>
        <w:fldChar w:fldCharType="separate"/>
      </w:r>
      <w:r>
        <w:rPr>
          <w:color w:val="auto"/>
          <w:highlight w:val="none"/>
        </w:rPr>
        <w:t>10</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_Toc972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rPr>
        <w:t>3.</w:t>
      </w:r>
      <w:r>
        <w:rPr>
          <w:rFonts w:hint="eastAsia" w:ascii="CESI楷体-GB2312" w:hAnsi="CESI楷体-GB2312" w:eastAsia="CESI楷体-GB2312" w:cs="CESI楷体-GB2312"/>
          <w:color w:val="auto"/>
          <w:szCs w:val="32"/>
          <w:highlight w:val="none"/>
          <w:lang w:val="en-US" w:eastAsia="zh-CN"/>
        </w:rPr>
        <w:t>1</w:t>
      </w:r>
      <w:r>
        <w:rPr>
          <w:rFonts w:hint="eastAsia" w:ascii="CESI楷体-GB2312" w:hAnsi="CESI楷体-GB2312" w:eastAsia="CESI楷体-GB2312" w:cs="CESI楷体-GB2312"/>
          <w:color w:val="auto"/>
          <w:szCs w:val="32"/>
          <w:highlight w:val="none"/>
        </w:rPr>
        <w:t xml:space="preserve">  监测</w:t>
      </w:r>
      <w:r>
        <w:rPr>
          <w:color w:val="auto"/>
          <w:highlight w:val="none"/>
        </w:rPr>
        <w:tab/>
      </w:r>
      <w:r>
        <w:rPr>
          <w:color w:val="auto"/>
          <w:highlight w:val="none"/>
        </w:rPr>
        <w:fldChar w:fldCharType="begin"/>
      </w:r>
      <w:r>
        <w:rPr>
          <w:color w:val="auto"/>
          <w:highlight w:val="none"/>
        </w:rPr>
        <w:instrText xml:space="preserve"> PAGEREF _Toc972 \h </w:instrText>
      </w:r>
      <w:r>
        <w:rPr>
          <w:color w:val="auto"/>
          <w:highlight w:val="none"/>
        </w:rPr>
        <w:fldChar w:fldCharType="separate"/>
      </w:r>
      <w:r>
        <w:rPr>
          <w:color w:val="auto"/>
          <w:highlight w:val="none"/>
        </w:rPr>
        <w:t>10</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_Toc2071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rPr>
        <w:t>3.</w:t>
      </w:r>
      <w:r>
        <w:rPr>
          <w:rFonts w:hint="eastAsia" w:ascii="CESI楷体-GB2312" w:hAnsi="CESI楷体-GB2312" w:eastAsia="CESI楷体-GB2312" w:cs="CESI楷体-GB2312"/>
          <w:color w:val="auto"/>
          <w:szCs w:val="32"/>
          <w:highlight w:val="none"/>
          <w:lang w:val="en-US" w:eastAsia="zh-CN"/>
        </w:rPr>
        <w:t>2</w:t>
      </w:r>
      <w:r>
        <w:rPr>
          <w:rFonts w:hint="eastAsia" w:ascii="CESI楷体-GB2312" w:hAnsi="CESI楷体-GB2312" w:eastAsia="CESI楷体-GB2312" w:cs="CESI楷体-GB2312"/>
          <w:color w:val="auto"/>
          <w:szCs w:val="32"/>
          <w:highlight w:val="none"/>
        </w:rPr>
        <w:t xml:space="preserve">  预警</w:t>
      </w:r>
      <w:r>
        <w:rPr>
          <w:color w:val="auto"/>
          <w:highlight w:val="none"/>
        </w:rPr>
        <w:tab/>
      </w:r>
      <w:r>
        <w:rPr>
          <w:color w:val="auto"/>
          <w:highlight w:val="none"/>
        </w:rPr>
        <w:fldChar w:fldCharType="begin"/>
      </w:r>
      <w:r>
        <w:rPr>
          <w:color w:val="auto"/>
          <w:highlight w:val="none"/>
        </w:rPr>
        <w:instrText xml:space="preserve"> PAGEREF _Toc2071 \h </w:instrText>
      </w:r>
      <w:r>
        <w:rPr>
          <w:color w:val="auto"/>
          <w:highlight w:val="none"/>
        </w:rPr>
        <w:fldChar w:fldCharType="separate"/>
      </w:r>
      <w:r>
        <w:rPr>
          <w:color w:val="auto"/>
          <w:highlight w:val="none"/>
        </w:rPr>
        <w:t>10</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_Toc24689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rPr>
        <w:t>3.</w:t>
      </w:r>
      <w:r>
        <w:rPr>
          <w:rFonts w:hint="eastAsia" w:ascii="CESI楷体-GB2312" w:hAnsi="CESI楷体-GB2312" w:eastAsia="CESI楷体-GB2312" w:cs="CESI楷体-GB2312"/>
          <w:color w:val="auto"/>
          <w:szCs w:val="32"/>
          <w:highlight w:val="none"/>
          <w:lang w:val="en-US" w:eastAsia="zh-CN"/>
        </w:rPr>
        <w:t>3</w:t>
      </w:r>
      <w:r>
        <w:rPr>
          <w:rFonts w:hint="eastAsia" w:ascii="CESI楷体-GB2312" w:hAnsi="CESI楷体-GB2312" w:eastAsia="CESI楷体-GB2312" w:cs="CESI楷体-GB2312"/>
          <w:color w:val="auto"/>
          <w:szCs w:val="32"/>
          <w:highlight w:val="none"/>
        </w:rPr>
        <w:t xml:space="preserve">  </w:t>
      </w:r>
      <w:r>
        <w:rPr>
          <w:rFonts w:hint="eastAsia" w:ascii="CESI楷体-GB2312" w:hAnsi="CESI楷体-GB2312" w:eastAsia="CESI楷体-GB2312" w:cs="CESI楷体-GB2312"/>
          <w:color w:val="auto"/>
          <w:szCs w:val="32"/>
          <w:highlight w:val="none"/>
          <w:lang w:eastAsia="zh-CN"/>
        </w:rPr>
        <w:t>报告</w:t>
      </w:r>
      <w:r>
        <w:rPr>
          <w:color w:val="auto"/>
          <w:highlight w:val="none"/>
        </w:rPr>
        <w:tab/>
      </w:r>
      <w:r>
        <w:rPr>
          <w:color w:val="auto"/>
          <w:highlight w:val="none"/>
        </w:rPr>
        <w:fldChar w:fldCharType="begin"/>
      </w:r>
      <w:r>
        <w:rPr>
          <w:color w:val="auto"/>
          <w:highlight w:val="none"/>
        </w:rPr>
        <w:instrText xml:space="preserve"> PAGEREF _Toc24689 \h </w:instrText>
      </w:r>
      <w:r>
        <w:rPr>
          <w:color w:val="auto"/>
          <w:highlight w:val="none"/>
        </w:rPr>
        <w:fldChar w:fldCharType="separate"/>
      </w:r>
      <w:r>
        <w:rPr>
          <w:color w:val="auto"/>
          <w:highlight w:val="none"/>
        </w:rPr>
        <w:t>1</w:t>
      </w:r>
      <w:r>
        <w:rPr>
          <w:rFonts w:hint="eastAsia"/>
          <w:color w:val="auto"/>
          <w:highlight w:val="none"/>
          <w:lang w:val="en-US" w:eastAsia="zh-CN"/>
        </w:rPr>
        <w:t>1</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6"/>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_Toc31738 </w:instrText>
      </w:r>
      <w:r>
        <w:rPr>
          <w:rFonts w:hint="eastAsia" w:ascii="CESI黑体-GB2312" w:hAnsi="CESI黑体-GB2312" w:eastAsia="CESI黑体-GB2312" w:cs="CESI黑体-GB2312"/>
          <w:color w:val="auto"/>
          <w:szCs w:val="32"/>
          <w:highlight w:val="none"/>
        </w:rPr>
        <w:fldChar w:fldCharType="separate"/>
      </w:r>
      <w:r>
        <w:rPr>
          <w:rFonts w:hint="eastAsia" w:ascii="CESI黑体-GB2312" w:hAnsi="CESI黑体-GB2312" w:eastAsia="CESI黑体-GB2312" w:cs="CESI黑体-GB2312"/>
          <w:color w:val="auto"/>
          <w:szCs w:val="32"/>
          <w:highlight w:val="none"/>
          <w:lang w:val="en-US" w:eastAsia="zh-CN"/>
        </w:rPr>
        <w:t>4</w:t>
      </w:r>
      <w:r>
        <w:rPr>
          <w:rFonts w:hint="eastAsia" w:ascii="CESI黑体-GB2312" w:hAnsi="CESI黑体-GB2312" w:eastAsia="CESI黑体-GB2312" w:cs="CESI黑体-GB2312"/>
          <w:color w:val="auto"/>
          <w:szCs w:val="32"/>
          <w:highlight w:val="none"/>
        </w:rPr>
        <w:t xml:space="preserve"> </w:t>
      </w:r>
      <w:r>
        <w:rPr>
          <w:rFonts w:hint="eastAsia" w:ascii="CESI黑体-GB2312" w:hAnsi="CESI黑体-GB2312" w:eastAsia="CESI黑体-GB2312" w:cs="CESI黑体-GB2312"/>
          <w:color w:val="auto"/>
          <w:szCs w:val="32"/>
          <w:highlight w:val="none"/>
          <w:lang w:eastAsia="zh-CN"/>
        </w:rPr>
        <w:t>应急响应和终止</w:t>
      </w:r>
      <w:r>
        <w:rPr>
          <w:color w:val="auto"/>
          <w:highlight w:val="none"/>
        </w:rPr>
        <w:tab/>
      </w:r>
      <w:r>
        <w:rPr>
          <w:color w:val="auto"/>
          <w:highlight w:val="none"/>
        </w:rPr>
        <w:fldChar w:fldCharType="begin"/>
      </w:r>
      <w:r>
        <w:rPr>
          <w:color w:val="auto"/>
          <w:highlight w:val="none"/>
        </w:rPr>
        <w:instrText xml:space="preserve"> PAGEREF _Toc31738 \h </w:instrText>
      </w:r>
      <w:r>
        <w:rPr>
          <w:color w:val="auto"/>
          <w:highlight w:val="none"/>
        </w:rPr>
        <w:fldChar w:fldCharType="separate"/>
      </w:r>
      <w:r>
        <w:rPr>
          <w:color w:val="auto"/>
          <w:highlight w:val="none"/>
        </w:rPr>
        <w:t>13</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_Toc25052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eastAsia="zh-CN"/>
        </w:rPr>
        <w:t>4.1</w:t>
      </w:r>
      <w:r>
        <w:rPr>
          <w:rFonts w:hint="eastAsia" w:ascii="CESI楷体-GB2312" w:hAnsi="CESI楷体-GB2312" w:eastAsia="CESI楷体-GB2312" w:cs="CESI楷体-GB2312"/>
          <w:color w:val="auto"/>
          <w:szCs w:val="32"/>
          <w:highlight w:val="none"/>
          <w:lang w:val="en-US" w:eastAsia="zh-CN"/>
        </w:rPr>
        <w:t xml:space="preserve"> </w:t>
      </w:r>
      <w:r>
        <w:rPr>
          <w:rFonts w:hint="eastAsia" w:ascii="CESI楷体-GB2312" w:hAnsi="CESI楷体-GB2312" w:eastAsia="CESI楷体-GB2312" w:cs="CESI楷体-GB2312"/>
          <w:color w:val="auto"/>
          <w:szCs w:val="32"/>
          <w:highlight w:val="none"/>
          <w:lang w:eastAsia="zh-CN"/>
        </w:rPr>
        <w:t>事发地先期处置</w:t>
      </w:r>
      <w:r>
        <w:rPr>
          <w:color w:val="auto"/>
          <w:highlight w:val="none"/>
        </w:rPr>
        <w:tab/>
      </w:r>
      <w:r>
        <w:rPr>
          <w:color w:val="auto"/>
          <w:highlight w:val="none"/>
        </w:rPr>
        <w:fldChar w:fldCharType="begin"/>
      </w:r>
      <w:r>
        <w:rPr>
          <w:color w:val="auto"/>
          <w:highlight w:val="none"/>
        </w:rPr>
        <w:instrText xml:space="preserve"> PAGEREF _Toc25052 \h </w:instrText>
      </w:r>
      <w:r>
        <w:rPr>
          <w:color w:val="auto"/>
          <w:highlight w:val="none"/>
        </w:rPr>
        <w:fldChar w:fldCharType="separate"/>
      </w:r>
      <w:r>
        <w:rPr>
          <w:color w:val="auto"/>
          <w:highlight w:val="none"/>
        </w:rPr>
        <w:t>13</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_Toc12106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eastAsia="zh-CN"/>
        </w:rPr>
        <w:t>4.2</w:t>
      </w:r>
      <w:r>
        <w:rPr>
          <w:rFonts w:hint="eastAsia" w:ascii="CESI楷体-GB2312" w:hAnsi="CESI楷体-GB2312" w:eastAsia="CESI楷体-GB2312" w:cs="CESI楷体-GB2312"/>
          <w:color w:val="auto"/>
          <w:szCs w:val="32"/>
          <w:highlight w:val="none"/>
          <w:lang w:val="en-US" w:eastAsia="zh-CN"/>
        </w:rPr>
        <w:t xml:space="preserve"> </w:t>
      </w:r>
      <w:r>
        <w:rPr>
          <w:rFonts w:hint="eastAsia" w:ascii="CESI楷体-GB2312" w:hAnsi="CESI楷体-GB2312" w:eastAsia="CESI楷体-GB2312" w:cs="CESI楷体-GB2312"/>
          <w:color w:val="auto"/>
          <w:szCs w:val="32"/>
          <w:highlight w:val="none"/>
          <w:lang w:eastAsia="zh-CN"/>
        </w:rPr>
        <w:t>应急响应措施</w:t>
      </w:r>
      <w:r>
        <w:rPr>
          <w:color w:val="auto"/>
          <w:highlight w:val="none"/>
        </w:rPr>
        <w:tab/>
      </w:r>
      <w:r>
        <w:rPr>
          <w:color w:val="auto"/>
          <w:highlight w:val="none"/>
        </w:rPr>
        <w:fldChar w:fldCharType="begin"/>
      </w:r>
      <w:r>
        <w:rPr>
          <w:color w:val="auto"/>
          <w:highlight w:val="none"/>
        </w:rPr>
        <w:instrText xml:space="preserve"> PAGEREF _Toc12106 \h </w:instrText>
      </w:r>
      <w:r>
        <w:rPr>
          <w:color w:val="auto"/>
          <w:highlight w:val="none"/>
        </w:rPr>
        <w:fldChar w:fldCharType="separate"/>
      </w:r>
      <w:r>
        <w:rPr>
          <w:color w:val="auto"/>
          <w:highlight w:val="none"/>
        </w:rPr>
        <w:t>13</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_Toc15376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eastAsia="zh-CN"/>
        </w:rPr>
        <w:t>4.3应急响应的级别调整和终止</w:t>
      </w:r>
      <w:r>
        <w:rPr>
          <w:color w:val="auto"/>
          <w:highlight w:val="none"/>
        </w:rPr>
        <w:tab/>
      </w:r>
      <w:r>
        <w:rPr>
          <w:color w:val="auto"/>
          <w:highlight w:val="none"/>
        </w:rPr>
        <w:fldChar w:fldCharType="begin"/>
      </w:r>
      <w:r>
        <w:rPr>
          <w:color w:val="auto"/>
          <w:highlight w:val="none"/>
        </w:rPr>
        <w:instrText xml:space="preserve"> PAGEREF _Toc15376 \h </w:instrText>
      </w:r>
      <w:r>
        <w:rPr>
          <w:color w:val="auto"/>
          <w:highlight w:val="none"/>
        </w:rPr>
        <w:fldChar w:fldCharType="separate"/>
      </w:r>
      <w:r>
        <w:rPr>
          <w:color w:val="auto"/>
          <w:highlight w:val="none"/>
        </w:rPr>
        <w:t>16</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_Toc26082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val="en-US" w:eastAsia="zh-CN"/>
        </w:rPr>
        <w:t>4</w:t>
      </w:r>
      <w:r>
        <w:rPr>
          <w:rFonts w:hint="eastAsia" w:ascii="CESI楷体-GB2312" w:hAnsi="CESI楷体-GB2312" w:eastAsia="CESI楷体-GB2312" w:cs="CESI楷体-GB2312"/>
          <w:color w:val="auto"/>
          <w:szCs w:val="32"/>
          <w:highlight w:val="none"/>
          <w:lang w:eastAsia="zh-CN"/>
        </w:rPr>
        <w:t>.4  信息发布及风险沟通</w:t>
      </w:r>
      <w:r>
        <w:rPr>
          <w:color w:val="auto"/>
          <w:highlight w:val="none"/>
        </w:rPr>
        <w:tab/>
      </w:r>
      <w:r>
        <w:rPr>
          <w:color w:val="auto"/>
          <w:highlight w:val="none"/>
        </w:rPr>
        <w:fldChar w:fldCharType="begin"/>
      </w:r>
      <w:r>
        <w:rPr>
          <w:color w:val="auto"/>
          <w:highlight w:val="none"/>
        </w:rPr>
        <w:instrText xml:space="preserve"> PAGEREF _Toc26082 \h </w:instrText>
      </w:r>
      <w:r>
        <w:rPr>
          <w:color w:val="auto"/>
          <w:highlight w:val="none"/>
        </w:rPr>
        <w:fldChar w:fldCharType="separate"/>
      </w:r>
      <w:r>
        <w:rPr>
          <w:color w:val="auto"/>
          <w:highlight w:val="none"/>
        </w:rPr>
        <w:t>16</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6"/>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_Toc27404 </w:instrText>
      </w:r>
      <w:r>
        <w:rPr>
          <w:rFonts w:hint="eastAsia" w:ascii="CESI黑体-GB2312" w:hAnsi="CESI黑体-GB2312" w:eastAsia="CESI黑体-GB2312" w:cs="CESI黑体-GB2312"/>
          <w:color w:val="auto"/>
          <w:szCs w:val="32"/>
          <w:highlight w:val="none"/>
        </w:rPr>
        <w:fldChar w:fldCharType="separate"/>
      </w:r>
      <w:r>
        <w:rPr>
          <w:rFonts w:hint="eastAsia" w:ascii="CESI黑体-GB2312" w:hAnsi="CESI黑体-GB2312" w:eastAsia="CESI黑体-GB2312" w:cs="CESI黑体-GB2312"/>
          <w:color w:val="auto"/>
          <w:szCs w:val="32"/>
          <w:highlight w:val="none"/>
        </w:rPr>
        <w:t>5  后</w:t>
      </w:r>
      <w:r>
        <w:rPr>
          <w:rFonts w:hint="eastAsia" w:ascii="CESI黑体-GB2312" w:hAnsi="CESI黑体-GB2312" w:eastAsia="CESI黑体-GB2312" w:cs="CESI黑体-GB2312"/>
          <w:color w:val="auto"/>
          <w:szCs w:val="32"/>
          <w:highlight w:val="none"/>
          <w:lang w:eastAsia="zh-CN"/>
        </w:rPr>
        <w:t>期</w:t>
      </w:r>
      <w:r>
        <w:rPr>
          <w:rFonts w:hint="eastAsia" w:ascii="CESI黑体-GB2312" w:hAnsi="CESI黑体-GB2312" w:eastAsia="CESI黑体-GB2312" w:cs="CESI黑体-GB2312"/>
          <w:color w:val="auto"/>
          <w:szCs w:val="32"/>
          <w:highlight w:val="none"/>
        </w:rPr>
        <w:t>处置</w:t>
      </w:r>
      <w:r>
        <w:rPr>
          <w:color w:val="auto"/>
          <w:highlight w:val="none"/>
        </w:rPr>
        <w:tab/>
      </w:r>
      <w:r>
        <w:rPr>
          <w:color w:val="auto"/>
          <w:highlight w:val="none"/>
        </w:rPr>
        <w:fldChar w:fldCharType="begin"/>
      </w:r>
      <w:r>
        <w:rPr>
          <w:color w:val="auto"/>
          <w:highlight w:val="none"/>
        </w:rPr>
        <w:instrText xml:space="preserve"> PAGEREF _Toc27404 \h </w:instrText>
      </w:r>
      <w:r>
        <w:rPr>
          <w:color w:val="auto"/>
          <w:highlight w:val="none"/>
        </w:rPr>
        <w:fldChar w:fldCharType="separate"/>
      </w:r>
      <w:r>
        <w:rPr>
          <w:color w:val="auto"/>
          <w:highlight w:val="none"/>
        </w:rPr>
        <w:t>17</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_Toc3306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val="en-US" w:eastAsia="zh-CN"/>
        </w:rPr>
        <w:t>5.1  善后处置</w:t>
      </w:r>
      <w:r>
        <w:rPr>
          <w:color w:val="auto"/>
          <w:highlight w:val="none"/>
        </w:rPr>
        <w:tab/>
      </w:r>
      <w:r>
        <w:rPr>
          <w:color w:val="auto"/>
          <w:highlight w:val="none"/>
        </w:rPr>
        <w:fldChar w:fldCharType="begin"/>
      </w:r>
      <w:r>
        <w:rPr>
          <w:color w:val="auto"/>
          <w:highlight w:val="none"/>
        </w:rPr>
        <w:instrText xml:space="preserve"> PAGEREF _Toc3306 \h </w:instrText>
      </w:r>
      <w:r>
        <w:rPr>
          <w:color w:val="auto"/>
          <w:highlight w:val="none"/>
        </w:rPr>
        <w:fldChar w:fldCharType="separate"/>
      </w:r>
      <w:r>
        <w:rPr>
          <w:color w:val="auto"/>
          <w:highlight w:val="none"/>
        </w:rPr>
        <w:t>17</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_Toc10483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val="en-US" w:eastAsia="zh-CN"/>
        </w:rPr>
        <w:t>5.2  总结评估</w:t>
      </w:r>
      <w:r>
        <w:rPr>
          <w:color w:val="auto"/>
          <w:highlight w:val="none"/>
        </w:rPr>
        <w:tab/>
      </w:r>
      <w:r>
        <w:rPr>
          <w:color w:val="auto"/>
          <w:highlight w:val="none"/>
        </w:rPr>
        <w:fldChar w:fldCharType="begin"/>
      </w:r>
      <w:r>
        <w:rPr>
          <w:color w:val="auto"/>
          <w:highlight w:val="none"/>
        </w:rPr>
        <w:instrText xml:space="preserve"> PAGEREF _Toc10483 \h </w:instrText>
      </w:r>
      <w:r>
        <w:rPr>
          <w:color w:val="auto"/>
          <w:highlight w:val="none"/>
        </w:rPr>
        <w:fldChar w:fldCharType="separate"/>
      </w:r>
      <w:r>
        <w:rPr>
          <w:color w:val="auto"/>
          <w:highlight w:val="none"/>
        </w:rPr>
        <w:t>18</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_Toc3805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val="en-US" w:eastAsia="zh-CN"/>
        </w:rPr>
        <w:t>5.3  责任与奖惩</w:t>
      </w:r>
      <w:r>
        <w:rPr>
          <w:color w:val="auto"/>
          <w:highlight w:val="none"/>
        </w:rPr>
        <w:tab/>
      </w:r>
      <w:r>
        <w:rPr>
          <w:color w:val="auto"/>
          <w:highlight w:val="none"/>
        </w:rPr>
        <w:fldChar w:fldCharType="begin"/>
      </w:r>
      <w:r>
        <w:rPr>
          <w:color w:val="auto"/>
          <w:highlight w:val="none"/>
        </w:rPr>
        <w:instrText xml:space="preserve"> PAGEREF _Toc3805 \h </w:instrText>
      </w:r>
      <w:r>
        <w:rPr>
          <w:color w:val="auto"/>
          <w:highlight w:val="none"/>
        </w:rPr>
        <w:fldChar w:fldCharType="separate"/>
      </w:r>
      <w:r>
        <w:rPr>
          <w:color w:val="auto"/>
          <w:highlight w:val="none"/>
        </w:rPr>
        <w:t>18</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6"/>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_Toc12859 </w:instrText>
      </w:r>
      <w:r>
        <w:rPr>
          <w:rFonts w:hint="eastAsia" w:ascii="CESI黑体-GB2312" w:hAnsi="CESI黑体-GB2312" w:eastAsia="CESI黑体-GB2312" w:cs="CESI黑体-GB2312"/>
          <w:color w:val="auto"/>
          <w:szCs w:val="32"/>
          <w:highlight w:val="none"/>
        </w:rPr>
        <w:fldChar w:fldCharType="separate"/>
      </w:r>
      <w:r>
        <w:rPr>
          <w:rFonts w:hint="eastAsia" w:ascii="CESI黑体-GB2312" w:hAnsi="CESI黑体-GB2312" w:eastAsia="CESI黑体-GB2312" w:cs="CESI黑体-GB2312"/>
          <w:color w:val="auto"/>
          <w:szCs w:val="32"/>
          <w:highlight w:val="none"/>
          <w:lang w:val="en-US" w:eastAsia="zh-CN"/>
        </w:rPr>
        <w:t>6</w:t>
      </w:r>
      <w:r>
        <w:rPr>
          <w:rFonts w:hint="eastAsia" w:ascii="CESI黑体-GB2312" w:hAnsi="CESI黑体-GB2312" w:eastAsia="CESI黑体-GB2312" w:cs="CESI黑体-GB2312"/>
          <w:color w:val="auto"/>
          <w:szCs w:val="32"/>
          <w:highlight w:val="none"/>
        </w:rPr>
        <w:t xml:space="preserve">  应急保障</w:t>
      </w:r>
      <w:r>
        <w:rPr>
          <w:color w:val="auto"/>
          <w:highlight w:val="none"/>
        </w:rPr>
        <w:tab/>
      </w:r>
      <w:r>
        <w:rPr>
          <w:color w:val="auto"/>
          <w:highlight w:val="none"/>
        </w:rPr>
        <w:fldChar w:fldCharType="begin"/>
      </w:r>
      <w:r>
        <w:rPr>
          <w:color w:val="auto"/>
          <w:highlight w:val="none"/>
        </w:rPr>
        <w:instrText xml:space="preserve"> PAGEREF _Toc12859 \h </w:instrText>
      </w:r>
      <w:r>
        <w:rPr>
          <w:color w:val="auto"/>
          <w:highlight w:val="none"/>
        </w:rPr>
        <w:fldChar w:fldCharType="separate"/>
      </w:r>
      <w:r>
        <w:rPr>
          <w:color w:val="auto"/>
          <w:highlight w:val="none"/>
        </w:rPr>
        <w:t>18</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_Toc32575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val="en-US" w:eastAsia="zh-CN"/>
        </w:rPr>
        <w:t>6.1  队伍保障</w:t>
      </w:r>
      <w:r>
        <w:rPr>
          <w:color w:val="auto"/>
          <w:highlight w:val="none"/>
        </w:rPr>
        <w:tab/>
      </w:r>
      <w:r>
        <w:rPr>
          <w:color w:val="auto"/>
          <w:highlight w:val="none"/>
        </w:rPr>
        <w:fldChar w:fldCharType="begin"/>
      </w:r>
      <w:r>
        <w:rPr>
          <w:color w:val="auto"/>
          <w:highlight w:val="none"/>
        </w:rPr>
        <w:instrText xml:space="preserve"> PAGEREF _Toc32575 \h </w:instrText>
      </w:r>
      <w:r>
        <w:rPr>
          <w:color w:val="auto"/>
          <w:highlight w:val="none"/>
        </w:rPr>
        <w:fldChar w:fldCharType="separate"/>
      </w:r>
      <w:r>
        <w:rPr>
          <w:color w:val="auto"/>
          <w:highlight w:val="none"/>
        </w:rPr>
        <w:t>18</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_Toc3973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i w:val="0"/>
          <w:iCs w:val="0"/>
          <w:color w:val="auto"/>
          <w:szCs w:val="32"/>
          <w:highlight w:val="none"/>
          <w:lang w:val="en-US" w:eastAsia="zh-CN"/>
        </w:rPr>
        <w:t>6.2  医疗保障</w:t>
      </w:r>
      <w:r>
        <w:rPr>
          <w:color w:val="auto"/>
          <w:highlight w:val="none"/>
        </w:rPr>
        <w:tab/>
      </w:r>
      <w:r>
        <w:rPr>
          <w:color w:val="auto"/>
          <w:highlight w:val="none"/>
        </w:rPr>
        <w:fldChar w:fldCharType="begin"/>
      </w:r>
      <w:r>
        <w:rPr>
          <w:color w:val="auto"/>
          <w:highlight w:val="none"/>
        </w:rPr>
        <w:instrText xml:space="preserve"> PAGEREF _Toc3973 \h </w:instrText>
      </w:r>
      <w:r>
        <w:rPr>
          <w:color w:val="auto"/>
          <w:highlight w:val="none"/>
        </w:rPr>
        <w:fldChar w:fldCharType="separate"/>
      </w:r>
      <w:r>
        <w:rPr>
          <w:color w:val="auto"/>
          <w:highlight w:val="none"/>
        </w:rPr>
        <w:t>1</w:t>
      </w:r>
      <w:r>
        <w:rPr>
          <w:rFonts w:hint="eastAsia"/>
          <w:color w:val="auto"/>
          <w:highlight w:val="none"/>
          <w:lang w:val="en-US" w:eastAsia="zh-CN"/>
        </w:rPr>
        <w:t>8</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rFonts w:hint="eastAsia" w:ascii="CESI黑体-GB2312" w:hAnsi="CESI黑体-GB2312" w:eastAsia="CESI黑体-GB2312" w:cs="CESI黑体-GB2312"/>
          <w:color w:val="auto"/>
          <w:szCs w:val="32"/>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_Toc25261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i w:val="0"/>
          <w:iCs w:val="0"/>
          <w:color w:val="auto"/>
          <w:szCs w:val="32"/>
          <w:highlight w:val="none"/>
          <w:lang w:val="en-US" w:eastAsia="zh-CN"/>
        </w:rPr>
        <w:t>6.3  物资保障</w:t>
      </w:r>
      <w:r>
        <w:rPr>
          <w:color w:val="auto"/>
          <w:highlight w:val="none"/>
        </w:rPr>
        <w:tab/>
      </w:r>
      <w:r>
        <w:rPr>
          <w:color w:val="auto"/>
          <w:highlight w:val="none"/>
        </w:rPr>
        <w:fldChar w:fldCharType="begin"/>
      </w:r>
      <w:r>
        <w:rPr>
          <w:color w:val="auto"/>
          <w:highlight w:val="none"/>
        </w:rPr>
        <w:instrText xml:space="preserve"> PAGEREF _Toc25261 \h </w:instrText>
      </w:r>
      <w:r>
        <w:rPr>
          <w:color w:val="auto"/>
          <w:highlight w:val="none"/>
        </w:rPr>
        <w:fldChar w:fldCharType="separate"/>
      </w:r>
      <w:r>
        <w:rPr>
          <w:color w:val="auto"/>
          <w:highlight w:val="none"/>
        </w:rPr>
        <w:t>19</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_Toc25261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i w:val="0"/>
          <w:iCs w:val="0"/>
          <w:color w:val="auto"/>
          <w:szCs w:val="32"/>
          <w:highlight w:val="none"/>
          <w:lang w:val="en-US" w:eastAsia="zh-CN"/>
        </w:rPr>
        <w:t>6.4  资金保障</w:t>
      </w:r>
      <w:r>
        <w:rPr>
          <w:color w:val="auto"/>
          <w:highlight w:val="none"/>
        </w:rPr>
        <w:tab/>
      </w:r>
      <w:r>
        <w:rPr>
          <w:color w:val="auto"/>
          <w:highlight w:val="none"/>
        </w:rPr>
        <w:fldChar w:fldCharType="begin"/>
      </w:r>
      <w:r>
        <w:rPr>
          <w:color w:val="auto"/>
          <w:highlight w:val="none"/>
        </w:rPr>
        <w:instrText xml:space="preserve"> PAGEREF _Toc25261 \h </w:instrText>
      </w:r>
      <w:r>
        <w:rPr>
          <w:color w:val="auto"/>
          <w:highlight w:val="none"/>
        </w:rPr>
        <w:fldChar w:fldCharType="separate"/>
      </w:r>
      <w:r>
        <w:rPr>
          <w:color w:val="auto"/>
          <w:highlight w:val="none"/>
        </w:rPr>
        <w:t>19</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_Toc24437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i w:val="0"/>
          <w:iCs w:val="0"/>
          <w:color w:val="auto"/>
          <w:szCs w:val="32"/>
          <w:highlight w:val="none"/>
          <w:lang w:val="en-US" w:eastAsia="zh-CN"/>
        </w:rPr>
        <w:t>6.5  信息保障</w:t>
      </w:r>
      <w:r>
        <w:rPr>
          <w:color w:val="auto"/>
          <w:highlight w:val="none"/>
        </w:rPr>
        <w:tab/>
      </w:r>
      <w:r>
        <w:rPr>
          <w:color w:val="auto"/>
          <w:highlight w:val="none"/>
        </w:rPr>
        <w:fldChar w:fldCharType="begin"/>
      </w:r>
      <w:r>
        <w:rPr>
          <w:color w:val="auto"/>
          <w:highlight w:val="none"/>
        </w:rPr>
        <w:instrText xml:space="preserve"> PAGEREF _Toc24437 \h </w:instrText>
      </w:r>
      <w:r>
        <w:rPr>
          <w:color w:val="auto"/>
          <w:highlight w:val="none"/>
        </w:rPr>
        <w:fldChar w:fldCharType="separate"/>
      </w:r>
      <w:r>
        <w:rPr>
          <w:color w:val="auto"/>
          <w:highlight w:val="none"/>
        </w:rPr>
        <w:t>19</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_Toc16335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i w:val="0"/>
          <w:iCs w:val="0"/>
          <w:color w:val="auto"/>
          <w:szCs w:val="32"/>
          <w:highlight w:val="none"/>
          <w:lang w:val="en-US" w:eastAsia="zh-CN"/>
        </w:rPr>
        <w:t>6.6  科普宣教</w:t>
      </w:r>
      <w:r>
        <w:rPr>
          <w:color w:val="auto"/>
          <w:highlight w:val="none"/>
        </w:rPr>
        <w:tab/>
      </w:r>
      <w:r>
        <w:rPr>
          <w:color w:val="auto"/>
          <w:highlight w:val="none"/>
        </w:rPr>
        <w:fldChar w:fldCharType="begin"/>
      </w:r>
      <w:r>
        <w:rPr>
          <w:color w:val="auto"/>
          <w:highlight w:val="none"/>
        </w:rPr>
        <w:instrText xml:space="preserve"> PAGEREF _Toc16335 \h </w:instrText>
      </w:r>
      <w:r>
        <w:rPr>
          <w:color w:val="auto"/>
          <w:highlight w:val="none"/>
        </w:rPr>
        <w:fldChar w:fldCharType="separate"/>
      </w:r>
      <w:r>
        <w:rPr>
          <w:color w:val="auto"/>
          <w:highlight w:val="none"/>
        </w:rPr>
        <w:t>19</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_Toc11870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i w:val="0"/>
          <w:iCs w:val="0"/>
          <w:color w:val="auto"/>
          <w:szCs w:val="32"/>
          <w:highlight w:val="none"/>
          <w:lang w:val="en-US" w:eastAsia="zh-CN"/>
        </w:rPr>
        <w:t>6.7  应急演练</w:t>
      </w:r>
      <w:r>
        <w:rPr>
          <w:color w:val="auto"/>
          <w:highlight w:val="none"/>
        </w:rPr>
        <w:tab/>
      </w:r>
      <w:r>
        <w:rPr>
          <w:color w:val="auto"/>
          <w:highlight w:val="none"/>
        </w:rPr>
        <w:fldChar w:fldCharType="begin"/>
      </w:r>
      <w:r>
        <w:rPr>
          <w:color w:val="auto"/>
          <w:highlight w:val="none"/>
        </w:rPr>
        <w:instrText xml:space="preserve"> PAGEREF _Toc11870 \h </w:instrText>
      </w:r>
      <w:r>
        <w:rPr>
          <w:color w:val="auto"/>
          <w:highlight w:val="none"/>
        </w:rPr>
        <w:fldChar w:fldCharType="separate"/>
      </w:r>
      <w:r>
        <w:rPr>
          <w:color w:val="auto"/>
          <w:highlight w:val="none"/>
        </w:rPr>
        <w:t>20</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_Toc14540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val="en-US" w:eastAsia="zh-CN"/>
        </w:rPr>
        <w:t>6.8  与党委部门协作保障</w:t>
      </w:r>
      <w:r>
        <w:rPr>
          <w:color w:val="auto"/>
          <w:highlight w:val="none"/>
        </w:rPr>
        <w:tab/>
      </w:r>
      <w:r>
        <w:rPr>
          <w:color w:val="auto"/>
          <w:highlight w:val="none"/>
        </w:rPr>
        <w:fldChar w:fldCharType="begin"/>
      </w:r>
      <w:r>
        <w:rPr>
          <w:color w:val="auto"/>
          <w:highlight w:val="none"/>
        </w:rPr>
        <w:instrText xml:space="preserve"> PAGEREF _Toc14540 \h </w:instrText>
      </w:r>
      <w:r>
        <w:rPr>
          <w:color w:val="auto"/>
          <w:highlight w:val="none"/>
        </w:rPr>
        <w:fldChar w:fldCharType="separate"/>
      </w:r>
      <w:r>
        <w:rPr>
          <w:color w:val="auto"/>
          <w:highlight w:val="none"/>
        </w:rPr>
        <w:t>20</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6"/>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_Toc18530 </w:instrText>
      </w:r>
      <w:r>
        <w:rPr>
          <w:rFonts w:hint="eastAsia" w:ascii="CESI黑体-GB2312" w:hAnsi="CESI黑体-GB2312" w:eastAsia="CESI黑体-GB2312" w:cs="CESI黑体-GB2312"/>
          <w:color w:val="auto"/>
          <w:szCs w:val="32"/>
          <w:highlight w:val="none"/>
        </w:rPr>
        <w:fldChar w:fldCharType="separate"/>
      </w:r>
      <w:r>
        <w:rPr>
          <w:rFonts w:hint="eastAsia" w:ascii="CESI黑体-GB2312" w:hAnsi="CESI黑体-GB2312" w:eastAsia="CESI黑体-GB2312" w:cs="CESI黑体-GB2312"/>
          <w:color w:val="auto"/>
          <w:szCs w:val="32"/>
          <w:highlight w:val="none"/>
          <w:lang w:val="en-US" w:eastAsia="zh-CN"/>
        </w:rPr>
        <w:t>7</w:t>
      </w:r>
      <w:r>
        <w:rPr>
          <w:rFonts w:hint="eastAsia" w:ascii="CESI黑体-GB2312" w:hAnsi="CESI黑体-GB2312" w:eastAsia="CESI黑体-GB2312" w:cs="CESI黑体-GB2312"/>
          <w:color w:val="auto"/>
          <w:szCs w:val="32"/>
          <w:highlight w:val="none"/>
        </w:rPr>
        <w:t xml:space="preserve">  附则</w:t>
      </w:r>
      <w:r>
        <w:rPr>
          <w:color w:val="auto"/>
          <w:highlight w:val="none"/>
        </w:rPr>
        <w:tab/>
      </w:r>
      <w:r>
        <w:rPr>
          <w:color w:val="auto"/>
          <w:highlight w:val="none"/>
        </w:rPr>
        <w:fldChar w:fldCharType="begin"/>
      </w:r>
      <w:r>
        <w:rPr>
          <w:color w:val="auto"/>
          <w:highlight w:val="none"/>
        </w:rPr>
        <w:instrText xml:space="preserve"> PAGEREF _Toc18530 \h </w:instrText>
      </w:r>
      <w:r>
        <w:rPr>
          <w:color w:val="auto"/>
          <w:highlight w:val="none"/>
        </w:rPr>
        <w:fldChar w:fldCharType="separate"/>
      </w:r>
      <w:r>
        <w:rPr>
          <w:color w:val="auto"/>
          <w:highlight w:val="none"/>
        </w:rPr>
        <w:t>20</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_Toc14703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val="en-US" w:eastAsia="zh-CN"/>
        </w:rPr>
        <w:t>7.1  名词术语</w:t>
      </w:r>
      <w:r>
        <w:rPr>
          <w:color w:val="auto"/>
          <w:highlight w:val="none"/>
        </w:rPr>
        <w:tab/>
      </w:r>
      <w:r>
        <w:rPr>
          <w:color w:val="auto"/>
          <w:highlight w:val="none"/>
        </w:rPr>
        <w:fldChar w:fldCharType="begin"/>
      </w:r>
      <w:r>
        <w:rPr>
          <w:color w:val="auto"/>
          <w:highlight w:val="none"/>
        </w:rPr>
        <w:instrText xml:space="preserve"> PAGEREF _Toc14703 \h </w:instrText>
      </w:r>
      <w:r>
        <w:rPr>
          <w:color w:val="auto"/>
          <w:highlight w:val="none"/>
        </w:rPr>
        <w:fldChar w:fldCharType="separate"/>
      </w:r>
      <w:r>
        <w:rPr>
          <w:color w:val="auto"/>
          <w:highlight w:val="none"/>
        </w:rPr>
        <w:t>20</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rFonts w:hint="eastAsia" w:ascii="CESI黑体-GB2312" w:hAnsi="CESI黑体-GB2312" w:eastAsia="CESI黑体-GB2312" w:cs="CESI黑体-GB2312"/>
          <w:color w:val="auto"/>
          <w:szCs w:val="32"/>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_Toc16779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val="en-US" w:eastAsia="zh-CN"/>
        </w:rPr>
        <w:t>7.2  预案管理</w:t>
      </w:r>
      <w:r>
        <w:rPr>
          <w:color w:val="auto"/>
          <w:highlight w:val="none"/>
        </w:rPr>
        <w:tab/>
      </w:r>
      <w:r>
        <w:rPr>
          <w:color w:val="auto"/>
          <w:highlight w:val="none"/>
        </w:rPr>
        <w:fldChar w:fldCharType="begin"/>
      </w:r>
      <w:r>
        <w:rPr>
          <w:color w:val="auto"/>
          <w:highlight w:val="none"/>
        </w:rPr>
        <w:instrText xml:space="preserve"> PAGEREF _Toc16779 \h </w:instrText>
      </w:r>
      <w:r>
        <w:rPr>
          <w:color w:val="auto"/>
          <w:highlight w:val="none"/>
        </w:rPr>
        <w:fldChar w:fldCharType="separate"/>
      </w:r>
      <w:r>
        <w:rPr>
          <w:color w:val="auto"/>
          <w:highlight w:val="none"/>
        </w:rPr>
        <w:t>20</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rFonts w:hint="eastAsia" w:ascii="CESI黑体-GB2312" w:hAnsi="CESI黑体-GB2312" w:eastAsia="CESI黑体-GB2312" w:cs="CESI黑体-GB2312"/>
          <w:color w:val="auto"/>
          <w:szCs w:val="32"/>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_Toc16779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val="en-US" w:eastAsia="zh-CN"/>
        </w:rPr>
        <w:t>7.3  预案解释</w:t>
      </w:r>
      <w:r>
        <w:rPr>
          <w:color w:val="auto"/>
          <w:highlight w:val="none"/>
        </w:rPr>
        <w:tab/>
      </w:r>
      <w:r>
        <w:rPr>
          <w:color w:val="auto"/>
          <w:highlight w:val="none"/>
        </w:rPr>
        <w:fldChar w:fldCharType="begin"/>
      </w:r>
      <w:r>
        <w:rPr>
          <w:color w:val="auto"/>
          <w:highlight w:val="none"/>
        </w:rPr>
        <w:instrText xml:space="preserve"> PAGEREF _Toc16779 \h </w:instrText>
      </w:r>
      <w:r>
        <w:rPr>
          <w:color w:val="auto"/>
          <w:highlight w:val="none"/>
        </w:rPr>
        <w:fldChar w:fldCharType="separate"/>
      </w:r>
      <w:r>
        <w:rPr>
          <w:color w:val="auto"/>
          <w:highlight w:val="none"/>
        </w:rPr>
        <w:t>20</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7"/>
        <w:tabs>
          <w:tab w:val="right" w:leader="dot" w:pos="8845"/>
        </w:tabs>
        <w:rPr>
          <w:rFonts w:hint="eastAsia" w:ascii="CESI黑体-GB2312" w:hAnsi="CESI黑体-GB2312" w:eastAsia="CESI黑体-GB2312" w:cs="CESI黑体-GB2312"/>
          <w:color w:val="auto"/>
          <w:szCs w:val="32"/>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_Toc16779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szCs w:val="32"/>
          <w:highlight w:val="none"/>
          <w:lang w:val="en-US" w:eastAsia="zh-CN"/>
        </w:rPr>
        <w:t>7.4  预案实施</w:t>
      </w:r>
      <w:r>
        <w:rPr>
          <w:color w:val="auto"/>
          <w:highlight w:val="none"/>
        </w:rPr>
        <w:tab/>
      </w:r>
      <w:r>
        <w:rPr>
          <w:color w:val="auto"/>
          <w:highlight w:val="none"/>
        </w:rPr>
        <w:fldChar w:fldCharType="begin"/>
      </w:r>
      <w:r>
        <w:rPr>
          <w:color w:val="auto"/>
          <w:highlight w:val="none"/>
        </w:rPr>
        <w:instrText xml:space="preserve"> PAGEREF _Toc16779 \h </w:instrText>
      </w:r>
      <w:r>
        <w:rPr>
          <w:color w:val="auto"/>
          <w:highlight w:val="none"/>
        </w:rPr>
        <w:fldChar w:fldCharType="separate"/>
      </w:r>
      <w:r>
        <w:rPr>
          <w:color w:val="auto"/>
          <w:highlight w:val="none"/>
        </w:rPr>
        <w:t>20</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6"/>
        <w:tabs>
          <w:tab w:val="right" w:leader="dot" w:pos="8845"/>
        </w:tabs>
        <w:rPr>
          <w:color w:val="auto"/>
          <w:highlight w:val="none"/>
        </w:rPr>
      </w:pP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_Toc10078 </w:instrText>
      </w:r>
      <w:r>
        <w:rPr>
          <w:rFonts w:hint="eastAsia" w:ascii="CESI黑体-GB2312" w:hAnsi="CESI黑体-GB2312" w:eastAsia="CESI黑体-GB2312" w:cs="CESI黑体-GB2312"/>
          <w:color w:val="auto"/>
          <w:szCs w:val="32"/>
          <w:highlight w:val="none"/>
        </w:rPr>
        <w:fldChar w:fldCharType="separate"/>
      </w:r>
      <w:r>
        <w:rPr>
          <w:rFonts w:hint="eastAsia" w:ascii="CESI黑体-GB2312" w:hAnsi="CESI黑体-GB2312" w:eastAsia="CESI黑体-GB2312" w:cs="CESI黑体-GB2312"/>
          <w:color w:val="auto"/>
          <w:szCs w:val="32"/>
          <w:highlight w:val="none"/>
          <w:lang w:val="en-US" w:eastAsia="zh-CN"/>
        </w:rPr>
        <w:t>8</w:t>
      </w:r>
      <w:r>
        <w:rPr>
          <w:rFonts w:hint="eastAsia" w:ascii="CESI黑体-GB2312" w:hAnsi="CESI黑体-GB2312" w:eastAsia="CESI黑体-GB2312" w:cs="CESI黑体-GB2312"/>
          <w:color w:val="auto"/>
          <w:szCs w:val="32"/>
          <w:highlight w:val="none"/>
        </w:rPr>
        <w:t xml:space="preserve">  附件</w:t>
      </w:r>
      <w:r>
        <w:rPr>
          <w:color w:val="auto"/>
          <w:highlight w:val="none"/>
        </w:rPr>
        <w:tab/>
      </w:r>
      <w:r>
        <w:rPr>
          <w:color w:val="auto"/>
          <w:highlight w:val="none"/>
        </w:rPr>
        <w:fldChar w:fldCharType="begin"/>
      </w:r>
      <w:r>
        <w:rPr>
          <w:color w:val="auto"/>
          <w:highlight w:val="none"/>
        </w:rPr>
        <w:instrText xml:space="preserve"> PAGEREF _Toc10078 \h </w:instrText>
      </w:r>
      <w:r>
        <w:rPr>
          <w:color w:val="auto"/>
          <w:highlight w:val="none"/>
        </w:rPr>
        <w:fldChar w:fldCharType="separate"/>
      </w:r>
      <w:r>
        <w:rPr>
          <w:color w:val="auto"/>
          <w:highlight w:val="none"/>
        </w:rPr>
        <w:t>20</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6"/>
        <w:tabs>
          <w:tab w:val="right" w:leader="dot" w:pos="8845"/>
        </w:tabs>
        <w:ind w:firstLine="632" w:firstLineChars="200"/>
        <w:rPr>
          <w:rFonts w:hint="eastAsia" w:ascii="CESI黑体-GB2312" w:hAnsi="CESI黑体-GB2312" w:eastAsia="CESI黑体-GB2312" w:cs="CESI黑体-GB2312"/>
          <w:color w:val="auto"/>
          <w:szCs w:val="32"/>
          <w:highlight w:val="none"/>
        </w:rPr>
      </w:pPr>
      <w:r>
        <w:rPr>
          <w:rFonts w:hint="eastAsia" w:ascii="CESI楷体-GB2312" w:hAnsi="CESI楷体-GB2312" w:eastAsia="CESI楷体-GB2312" w:cs="CESI楷体-GB2312"/>
          <w:b w:val="0"/>
          <w:bCs w:val="0"/>
          <w:color w:val="auto"/>
          <w:kern w:val="2"/>
          <w:sz w:val="32"/>
          <w:szCs w:val="32"/>
          <w:highlight w:val="none"/>
          <w:lang w:val="en-US" w:eastAsia="zh-CN"/>
        </w:rPr>
        <w:t xml:space="preserve">附件1 </w:t>
      </w:r>
      <w:r>
        <w:rPr>
          <w:rFonts w:hint="eastAsia" w:ascii="CESI黑体-GB2312" w:hAnsi="CESI黑体-GB2312" w:eastAsia="CESI黑体-GB2312" w:cs="CESI黑体-GB2312"/>
          <w:b w:val="0"/>
          <w:bCs w:val="0"/>
          <w:color w:val="auto"/>
          <w:szCs w:val="32"/>
          <w:highlight w:val="none"/>
        </w:rPr>
        <w:fldChar w:fldCharType="begin"/>
      </w:r>
      <w:r>
        <w:rPr>
          <w:rFonts w:hint="eastAsia" w:ascii="CESI黑体-GB2312" w:hAnsi="CESI黑体-GB2312" w:eastAsia="CESI黑体-GB2312" w:cs="CESI黑体-GB2312"/>
          <w:b w:val="0"/>
          <w:bCs w:val="0"/>
          <w:color w:val="auto"/>
          <w:szCs w:val="32"/>
          <w:highlight w:val="none"/>
        </w:rPr>
        <w:instrText xml:space="preserve"> HYPERLINK \l _Toc2979 </w:instrText>
      </w:r>
      <w:r>
        <w:rPr>
          <w:rFonts w:hint="eastAsia" w:ascii="CESI黑体-GB2312" w:hAnsi="CESI黑体-GB2312" w:eastAsia="CESI黑体-GB2312" w:cs="CESI黑体-GB2312"/>
          <w:b w:val="0"/>
          <w:bCs w:val="0"/>
          <w:color w:val="auto"/>
          <w:szCs w:val="32"/>
          <w:highlight w:val="none"/>
        </w:rPr>
        <w:fldChar w:fldCharType="separate"/>
      </w:r>
      <w:r>
        <w:rPr>
          <w:rFonts w:hint="eastAsia" w:ascii="CESI楷体-GB2312" w:hAnsi="CESI楷体-GB2312" w:eastAsia="CESI楷体-GB2312" w:cs="CESI楷体-GB2312"/>
          <w:b w:val="0"/>
          <w:bCs w:val="0"/>
          <w:color w:val="auto"/>
          <w:kern w:val="2"/>
          <w:sz w:val="32"/>
          <w:szCs w:val="32"/>
          <w:highlight w:val="none"/>
          <w:lang w:val="en-US" w:eastAsia="zh-CN"/>
        </w:rPr>
        <w:t>药品安全突发事件分级标准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_Toc2979 \h </w:instrText>
      </w:r>
      <w:r>
        <w:rPr>
          <w:b w:val="0"/>
          <w:bCs w:val="0"/>
          <w:color w:val="auto"/>
          <w:highlight w:val="none"/>
        </w:rPr>
        <w:fldChar w:fldCharType="separate"/>
      </w:r>
      <w:r>
        <w:rPr>
          <w:b w:val="0"/>
          <w:bCs w:val="0"/>
          <w:color w:val="auto"/>
          <w:highlight w:val="none"/>
        </w:rPr>
        <w:t>2</w:t>
      </w:r>
      <w:r>
        <w:rPr>
          <w:rFonts w:hint="eastAsia"/>
          <w:b w:val="0"/>
          <w:bCs w:val="0"/>
          <w:color w:val="auto"/>
          <w:highlight w:val="none"/>
          <w:lang w:val="en-US" w:eastAsia="zh-CN"/>
        </w:rPr>
        <w:t>2</w:t>
      </w:r>
      <w:r>
        <w:rPr>
          <w:b w:val="0"/>
          <w:bCs w:val="0"/>
          <w:color w:val="auto"/>
          <w:highlight w:val="none"/>
        </w:rPr>
        <w:fldChar w:fldCharType="end"/>
      </w:r>
      <w:r>
        <w:rPr>
          <w:rFonts w:hint="eastAsia" w:ascii="CESI黑体-GB2312" w:hAnsi="CESI黑体-GB2312" w:eastAsia="CESI黑体-GB2312" w:cs="CESI黑体-GB2312"/>
          <w:b w:val="0"/>
          <w:bCs w:val="0"/>
          <w:color w:val="auto"/>
          <w:szCs w:val="32"/>
          <w:highlight w:val="none"/>
        </w:rPr>
        <w:fldChar w:fldCharType="end"/>
      </w:r>
    </w:p>
    <w:p>
      <w:pPr>
        <w:pStyle w:val="6"/>
        <w:tabs>
          <w:tab w:val="right" w:leader="dot" w:pos="8845"/>
        </w:tabs>
        <w:ind w:firstLine="632" w:firstLineChars="200"/>
        <w:rPr>
          <w:rFonts w:hint="eastAsia" w:ascii="CESI黑体-GB2312" w:hAnsi="CESI黑体-GB2312" w:eastAsia="CESI黑体-GB2312" w:cs="CESI黑体-GB2312"/>
          <w:color w:val="auto"/>
          <w:szCs w:val="32"/>
          <w:highlight w:val="none"/>
        </w:rPr>
      </w:pPr>
      <w:r>
        <w:rPr>
          <w:rFonts w:hint="eastAsia" w:ascii="CESI楷体-GB2312" w:hAnsi="CESI楷体-GB2312" w:eastAsia="CESI楷体-GB2312" w:cs="CESI楷体-GB2312"/>
          <w:b w:val="0"/>
          <w:bCs w:val="0"/>
          <w:color w:val="auto"/>
          <w:kern w:val="2"/>
          <w:sz w:val="32"/>
          <w:szCs w:val="32"/>
          <w:highlight w:val="none"/>
          <w:lang w:val="en-US" w:eastAsia="zh-CN"/>
        </w:rPr>
        <w:t xml:space="preserve">附件2 </w:t>
      </w: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_Toc28629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kern w:val="2"/>
          <w:sz w:val="32"/>
          <w:szCs w:val="32"/>
          <w:highlight w:val="none"/>
          <w:lang w:val="en-US" w:eastAsia="zh-CN"/>
        </w:rPr>
        <w:t>医疗器械安全突发事件分级标准</w:t>
      </w:r>
      <w:r>
        <w:rPr>
          <w:color w:val="auto"/>
          <w:highlight w:val="none"/>
        </w:rPr>
        <w:tab/>
      </w:r>
      <w:r>
        <w:rPr>
          <w:color w:val="auto"/>
          <w:highlight w:val="none"/>
        </w:rPr>
        <w:fldChar w:fldCharType="begin"/>
      </w:r>
      <w:r>
        <w:rPr>
          <w:color w:val="auto"/>
          <w:highlight w:val="none"/>
        </w:rPr>
        <w:instrText xml:space="preserve"> PAGEREF _Toc28629 \h </w:instrText>
      </w:r>
      <w:r>
        <w:rPr>
          <w:color w:val="auto"/>
          <w:highlight w:val="none"/>
        </w:rPr>
        <w:fldChar w:fldCharType="separate"/>
      </w:r>
      <w:r>
        <w:rPr>
          <w:color w:val="auto"/>
          <w:highlight w:val="none"/>
        </w:rPr>
        <w:t>2</w:t>
      </w:r>
      <w:r>
        <w:rPr>
          <w:rFonts w:hint="eastAsia"/>
          <w:color w:val="auto"/>
          <w:highlight w:val="none"/>
          <w:lang w:val="en-US" w:eastAsia="zh-CN"/>
        </w:rPr>
        <w:t>3</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6"/>
        <w:tabs>
          <w:tab w:val="right" w:leader="dot" w:pos="8845"/>
        </w:tabs>
        <w:ind w:firstLine="632" w:firstLineChars="200"/>
        <w:rPr>
          <w:rFonts w:hint="eastAsia" w:ascii="CESI黑体-GB2312" w:hAnsi="CESI黑体-GB2312" w:eastAsia="CESI黑体-GB2312" w:cs="CESI黑体-GB2312"/>
          <w:color w:val="auto"/>
          <w:szCs w:val="32"/>
          <w:highlight w:val="none"/>
        </w:rPr>
      </w:pPr>
      <w:r>
        <w:rPr>
          <w:rFonts w:hint="eastAsia" w:ascii="CESI楷体-GB2312" w:hAnsi="CESI楷体-GB2312" w:eastAsia="CESI楷体-GB2312" w:cs="CESI楷体-GB2312"/>
          <w:color w:val="auto"/>
          <w:kern w:val="2"/>
          <w:sz w:val="32"/>
          <w:szCs w:val="32"/>
          <w:highlight w:val="none"/>
          <w:lang w:val="en-US" w:eastAsia="zh-CN"/>
        </w:rPr>
        <w:t xml:space="preserve">附件3 </w:t>
      </w: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_Toc2979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kern w:val="2"/>
          <w:sz w:val="32"/>
          <w:szCs w:val="32"/>
          <w:highlight w:val="none"/>
          <w:lang w:val="en-US" w:eastAsia="zh-CN"/>
        </w:rPr>
        <w:t>化妆品安全突发事件分级标准</w:t>
      </w:r>
      <w:r>
        <w:rPr>
          <w:color w:val="auto"/>
          <w:highlight w:val="none"/>
        </w:rPr>
        <w:tab/>
      </w:r>
      <w:r>
        <w:rPr>
          <w:color w:val="auto"/>
          <w:highlight w:val="none"/>
        </w:rPr>
        <w:fldChar w:fldCharType="begin"/>
      </w:r>
      <w:r>
        <w:rPr>
          <w:color w:val="auto"/>
          <w:highlight w:val="none"/>
        </w:rPr>
        <w:instrText xml:space="preserve"> PAGEREF _Toc2979 \h </w:instrText>
      </w:r>
      <w:r>
        <w:rPr>
          <w:color w:val="auto"/>
          <w:highlight w:val="none"/>
        </w:rPr>
        <w:fldChar w:fldCharType="separate"/>
      </w:r>
      <w:r>
        <w:rPr>
          <w:color w:val="auto"/>
          <w:highlight w:val="none"/>
        </w:rPr>
        <w:t>2</w:t>
      </w:r>
      <w:r>
        <w:rPr>
          <w:rFonts w:hint="eastAsia"/>
          <w:color w:val="auto"/>
          <w:highlight w:val="none"/>
          <w:lang w:val="en-US" w:eastAsia="zh-CN"/>
        </w:rPr>
        <w:t>4</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6"/>
        <w:tabs>
          <w:tab w:val="right" w:leader="dot" w:pos="8845"/>
        </w:tabs>
        <w:ind w:firstLine="632" w:firstLineChars="200"/>
        <w:rPr>
          <w:rFonts w:hint="eastAsia" w:ascii="CESI黑体-GB2312" w:hAnsi="CESI黑体-GB2312" w:eastAsia="CESI黑体-GB2312" w:cs="CESI黑体-GB2312"/>
          <w:color w:val="auto"/>
          <w:szCs w:val="32"/>
          <w:highlight w:val="none"/>
        </w:rPr>
      </w:pPr>
      <w:r>
        <w:rPr>
          <w:rFonts w:hint="eastAsia" w:ascii="CESI楷体-GB2312" w:hAnsi="CESI楷体-GB2312" w:eastAsia="CESI楷体-GB2312" w:cs="CESI楷体-GB2312"/>
          <w:color w:val="auto"/>
          <w:kern w:val="2"/>
          <w:sz w:val="32"/>
          <w:szCs w:val="32"/>
          <w:highlight w:val="none"/>
          <w:lang w:val="en-US" w:eastAsia="zh-CN"/>
        </w:rPr>
        <w:t>附件4</w:t>
      </w:r>
      <w:r>
        <w:rPr>
          <w:rFonts w:hint="eastAsia" w:ascii="CESI黑体-GB2312" w:hAnsi="CESI黑体-GB2312" w:eastAsia="CESI黑体-GB2312" w:cs="CESI黑体-GB2312"/>
          <w:color w:val="auto"/>
          <w:szCs w:val="32"/>
          <w:highlight w:val="none"/>
          <w:lang w:val="en-US" w:eastAsia="zh-CN"/>
        </w:rPr>
        <w:t xml:space="preserve"> </w:t>
      </w:r>
      <w:r>
        <w:rPr>
          <w:rFonts w:hint="eastAsia" w:ascii="CESI黑体-GB2312" w:hAnsi="CESI黑体-GB2312" w:eastAsia="CESI黑体-GB2312" w:cs="CESI黑体-GB2312"/>
          <w:color w:val="auto"/>
          <w:szCs w:val="32"/>
          <w:highlight w:val="none"/>
        </w:rPr>
        <w:fldChar w:fldCharType="begin"/>
      </w:r>
      <w:r>
        <w:rPr>
          <w:rFonts w:hint="eastAsia" w:ascii="CESI黑体-GB2312" w:hAnsi="CESI黑体-GB2312" w:eastAsia="CESI黑体-GB2312" w:cs="CESI黑体-GB2312"/>
          <w:color w:val="auto"/>
          <w:szCs w:val="32"/>
          <w:highlight w:val="none"/>
        </w:rPr>
        <w:instrText xml:space="preserve"> HYPERLINK \l _Toc28629 </w:instrText>
      </w:r>
      <w:r>
        <w:rPr>
          <w:rFonts w:hint="eastAsia" w:ascii="CESI黑体-GB2312" w:hAnsi="CESI黑体-GB2312" w:eastAsia="CESI黑体-GB2312" w:cs="CESI黑体-GB2312"/>
          <w:color w:val="auto"/>
          <w:szCs w:val="32"/>
          <w:highlight w:val="none"/>
        </w:rPr>
        <w:fldChar w:fldCharType="separate"/>
      </w:r>
      <w:r>
        <w:rPr>
          <w:rFonts w:hint="eastAsia" w:ascii="CESI楷体-GB2312" w:hAnsi="CESI楷体-GB2312" w:eastAsia="CESI楷体-GB2312" w:cs="CESI楷体-GB2312"/>
          <w:color w:val="auto"/>
          <w:kern w:val="2"/>
          <w:sz w:val="32"/>
          <w:szCs w:val="32"/>
          <w:highlight w:val="none"/>
          <w:lang w:val="en-US" w:eastAsia="zh-CN"/>
        </w:rPr>
        <w:t>药品安全突发事件应对处置流程图</w:t>
      </w:r>
      <w:r>
        <w:rPr>
          <w:color w:val="auto"/>
          <w:highlight w:val="none"/>
        </w:rPr>
        <w:tab/>
      </w:r>
      <w:r>
        <w:rPr>
          <w:color w:val="auto"/>
          <w:highlight w:val="none"/>
        </w:rPr>
        <w:fldChar w:fldCharType="begin"/>
      </w:r>
      <w:r>
        <w:rPr>
          <w:color w:val="auto"/>
          <w:highlight w:val="none"/>
        </w:rPr>
        <w:instrText xml:space="preserve"> PAGEREF _Toc28629 \h </w:instrText>
      </w:r>
      <w:r>
        <w:rPr>
          <w:color w:val="auto"/>
          <w:highlight w:val="none"/>
        </w:rPr>
        <w:fldChar w:fldCharType="separate"/>
      </w:r>
      <w:r>
        <w:rPr>
          <w:color w:val="auto"/>
          <w:highlight w:val="none"/>
        </w:rPr>
        <w:t>2</w:t>
      </w:r>
      <w:r>
        <w:rPr>
          <w:rFonts w:hint="eastAsia"/>
          <w:color w:val="auto"/>
          <w:highlight w:val="none"/>
          <w:lang w:val="en-US" w:eastAsia="zh-CN"/>
        </w:rPr>
        <w:t>5</w:t>
      </w:r>
      <w:r>
        <w:rPr>
          <w:color w:val="auto"/>
          <w:highlight w:val="none"/>
        </w:rPr>
        <w:fldChar w:fldCharType="end"/>
      </w:r>
      <w:r>
        <w:rPr>
          <w:rFonts w:hint="eastAsia" w:ascii="CESI黑体-GB2312" w:hAnsi="CESI黑体-GB2312" w:eastAsia="CESI黑体-GB2312" w:cs="CESI黑体-GB2312"/>
          <w:color w:val="auto"/>
          <w:szCs w:val="32"/>
          <w:highlight w:val="none"/>
        </w:rPr>
        <w:fldChar w:fldCharType="end"/>
      </w:r>
    </w:p>
    <w:p>
      <w:pPr>
        <w:pStyle w:val="6"/>
        <w:tabs>
          <w:tab w:val="right" w:leader="dot" w:pos="8845"/>
        </w:tabs>
        <w:ind w:firstLine="632" w:firstLineChars="200"/>
        <w:rPr>
          <w:rFonts w:hint="eastAsia"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Cs w:val="32"/>
          <w:highlight w:val="none"/>
        </w:rPr>
        <w:fldChar w:fldCharType="end"/>
      </w:r>
      <w:r>
        <w:rPr>
          <w:rFonts w:hint="eastAsia" w:ascii="CESI黑体-GB2312" w:hAnsi="CESI黑体-GB2312" w:eastAsia="CESI黑体-GB2312" w:cs="CESI黑体-GB2312"/>
          <w:color w:val="auto"/>
          <w:szCs w:val="32"/>
          <w:highlight w:val="none"/>
        </w:rPr>
        <w:br w:type="page"/>
      </w:r>
      <w:bookmarkStart w:id="0" w:name="_Toc1513727100"/>
      <w:bookmarkStart w:id="1" w:name="_Toc92959369"/>
      <w:bookmarkStart w:id="2" w:name="_Toc710291153"/>
      <w:bookmarkStart w:id="3" w:name="_Toc1621011965"/>
      <w:bookmarkStart w:id="4" w:name="_Toc1532562343"/>
      <w:bookmarkStart w:id="5" w:name="_Toc2008450970"/>
      <w:bookmarkStart w:id="6" w:name="_Toc1993755565"/>
      <w:r>
        <w:rPr>
          <w:rFonts w:hint="eastAsia" w:ascii="仿宋_GB2312" w:hAnsi="仿宋_GB2312" w:eastAsia="仿宋_GB2312" w:cs="仿宋_GB2312"/>
          <w:color w:val="auto"/>
          <w:sz w:val="32"/>
          <w:szCs w:val="32"/>
          <w:highlight w:val="none"/>
        </w:rPr>
        <w:t>1  总则</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7" w:name="_Toc1158715956"/>
      <w:bookmarkStart w:id="8" w:name="_Toc177992027"/>
      <w:bookmarkStart w:id="9" w:name="_Toc1671414570"/>
      <w:bookmarkStart w:id="10" w:name="_Toc22785"/>
      <w:bookmarkStart w:id="11" w:name="_Toc965246474"/>
      <w:bookmarkStart w:id="12" w:name="_Toc756170734"/>
      <w:bookmarkStart w:id="13" w:name="_Toc1287198463"/>
      <w:bookmarkStart w:id="14" w:name="_Toc1276683996"/>
      <w:r>
        <w:rPr>
          <w:rFonts w:hint="eastAsia" w:ascii="仿宋_GB2312" w:hAnsi="仿宋_GB2312" w:eastAsia="仿宋_GB2312" w:cs="仿宋_GB2312"/>
          <w:color w:val="auto"/>
          <w:sz w:val="32"/>
          <w:szCs w:val="32"/>
          <w:highlight w:val="none"/>
        </w:rPr>
        <w:t>1.1  编制目的</w:t>
      </w:r>
      <w:bookmarkEnd w:id="7"/>
      <w:bookmarkEnd w:id="8"/>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rPr>
      </w:pPr>
      <w:r>
        <w:rPr>
          <w:rFonts w:hint="eastAsia" w:ascii="仿宋_GB2312" w:hAnsi="仿宋_GB2312" w:eastAsia="仿宋_GB2312" w:cs="方正仿宋_GBK"/>
          <w:color w:val="auto"/>
          <w:sz w:val="32"/>
          <w:szCs w:val="32"/>
          <w:highlight w:val="none"/>
          <w:lang w:eastAsia="zh-CN"/>
        </w:rPr>
        <w:t>建立健全药品(包含药品、医疗器械、化妆品，不含疫苗，下同)安全突发事件应急处置机制，有效预防、积极应对、及时控制药品安全突发事件，高效组织应急处置工作，最大限度降低药品安全突发事件危害，保障人民群众生命安全和身体健康，维护正常社会经济秩序</w:t>
      </w:r>
      <w:r>
        <w:rPr>
          <w:rFonts w:hint="eastAsia" w:ascii="仿宋_GB2312" w:hAnsi="仿宋_GB2312" w:eastAsia="仿宋_GB2312"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1"/>
        <w:rPr>
          <w:rFonts w:hint="eastAsia" w:ascii="仿宋_GB2312" w:hAnsi="仿宋_GB2312" w:eastAsia="仿宋_GB2312" w:cs="仿宋_GB2312"/>
          <w:color w:val="auto"/>
          <w:sz w:val="32"/>
          <w:szCs w:val="32"/>
          <w:highlight w:val="none"/>
          <w:lang w:eastAsia="zh-CN"/>
        </w:rPr>
      </w:pPr>
      <w:bookmarkStart w:id="15" w:name="_Toc2122038510"/>
      <w:bookmarkStart w:id="16" w:name="_Toc1243569972"/>
      <w:bookmarkStart w:id="17" w:name="_Toc1535604935"/>
      <w:bookmarkStart w:id="18" w:name="_Toc1955662653"/>
      <w:bookmarkStart w:id="19" w:name="_Toc310969075"/>
      <w:bookmarkStart w:id="20" w:name="_Toc1164101352"/>
      <w:bookmarkStart w:id="21" w:name="_Toc30479"/>
      <w:bookmarkStart w:id="22" w:name="_Toc1473320197"/>
      <w:r>
        <w:rPr>
          <w:rFonts w:hint="eastAsia" w:ascii="仿宋_GB2312" w:hAnsi="仿宋_GB2312" w:eastAsia="仿宋_GB2312" w:cs="仿宋_GB2312"/>
          <w:color w:val="auto"/>
          <w:sz w:val="32"/>
          <w:szCs w:val="32"/>
          <w:highlight w:val="none"/>
          <w:lang w:eastAsia="zh-CN"/>
        </w:rPr>
        <w:t>1.2  编制依据</w:t>
      </w:r>
      <w:bookmarkEnd w:id="15"/>
      <w:bookmarkEnd w:id="16"/>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bookmarkStart w:id="23" w:name="_Toc705332532"/>
      <w:bookmarkStart w:id="24" w:name="_Toc2145547477"/>
      <w:bookmarkStart w:id="25" w:name="_Toc440642130"/>
      <w:r>
        <w:rPr>
          <w:rFonts w:hint="eastAsia" w:ascii="仿宋_GB2312" w:hAnsi="仿宋_GB2312" w:eastAsia="仿宋_GB2312" w:cs="方正仿宋_GBK"/>
          <w:color w:val="auto"/>
          <w:sz w:val="32"/>
          <w:szCs w:val="32"/>
          <w:highlight w:val="none"/>
          <w:lang w:val="en-US" w:eastAsia="zh-CN"/>
        </w:rPr>
        <w:t>《中华人民共和国突发事件应对法》《中华人民共和国药品管理法》《中华人民共和国药品管理法实施条例》《医疗器械监督管理条例》《化妆品监督管理条例》《国家突发公共事件总体应急预案》《药品安全突发事件应急预案》《医疗器械安全突发事件应急预案》《化妆品安全突发事件应急预案》《海南省突发公共事件总体应急预案》《海南省药品安全突发事件应急预案》等法律法规和规范性文件。</w:t>
      </w:r>
      <w:bookmarkEnd w:id="23"/>
      <w:bookmarkEnd w:id="24"/>
      <w:bookmarkEnd w:id="25"/>
      <w:bookmarkStart w:id="26" w:name="_Toc1275074234"/>
      <w:bookmarkStart w:id="27" w:name="_Toc1007160"/>
      <w:bookmarkStart w:id="28" w:name="_Toc1046206219"/>
      <w:bookmarkStart w:id="29" w:name="_Toc479751304"/>
      <w:bookmarkStart w:id="30" w:name="_Toc965104365"/>
      <w:bookmarkStart w:id="31" w:name="_Toc1702588278"/>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1"/>
        <w:rPr>
          <w:rFonts w:hint="eastAsia" w:ascii="仿宋_GB2312" w:hAnsi="仿宋_GB2312" w:eastAsia="仿宋_GB2312" w:cs="仿宋_GB2312"/>
          <w:color w:val="auto"/>
          <w:sz w:val="32"/>
          <w:szCs w:val="32"/>
          <w:highlight w:val="none"/>
        </w:rPr>
      </w:pPr>
      <w:bookmarkStart w:id="32" w:name="_Toc22210"/>
      <w:bookmarkStart w:id="33" w:name="_Toc772282834"/>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 xml:space="preserve">  事件分级</w:t>
      </w:r>
      <w:bookmarkEnd w:id="26"/>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本预案所称药品安全突发事件，是指对社会公众生命健康造成或可能造成严重损害，需要采取应急处置措施予以应对的药品群体不良事件、药品质量事件以及其他严重影响公众生命健康的药品安全突发事件。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根据事件造成的损失、危害程度和影响范围等因素，药品安全突发事件由高到低划分为特别重大（Ⅰ级）、重大（Ⅱ级）、较大（</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eastAsia="zh-CN"/>
        </w:rPr>
        <w:t>级）和一般（Ⅳ级）四个级别</w:t>
      </w:r>
      <w:r>
        <w:rPr>
          <w:rFonts w:hint="eastAsia" w:ascii="仿宋_GB2312" w:hAnsi="仿宋_GB2312" w:eastAsia="仿宋_GB2312" w:cs="方正仿宋_GBK"/>
          <w:color w:val="auto"/>
          <w:sz w:val="32"/>
          <w:szCs w:val="32"/>
          <w:highlight w:val="none"/>
          <w:u w:val="none" w:color="auto"/>
          <w:lang w:val="en-US" w:eastAsia="zh-CN"/>
        </w:rPr>
        <w:t>。 (药品安全突发事件分级标准见附件8.1 )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u w:val="none" w:color="auto"/>
          <w:lang w:val="en-US" w:eastAsia="zh-CN"/>
        </w:rPr>
        <w:t xml:space="preserve">国家药品安全突发事件分级标准有调整的，随其调整，确保上下衔接联动。   </w:t>
      </w:r>
      <w:r>
        <w:rPr>
          <w:rFonts w:hint="eastAsia" w:ascii="仿宋_GB2312" w:hAnsi="仿宋_GB2312" w:eastAsia="仿宋_GB2312" w:cs="方正仿宋_GBK"/>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1"/>
        <w:rPr>
          <w:rFonts w:hint="eastAsia" w:ascii="仿宋_GB2312" w:hAnsi="仿宋_GB2312" w:eastAsia="仿宋_GB2312" w:cs="仿宋_GB2312"/>
          <w:color w:val="auto"/>
          <w:sz w:val="32"/>
          <w:szCs w:val="32"/>
          <w:highlight w:val="none"/>
        </w:rPr>
      </w:pPr>
      <w:bookmarkStart w:id="34" w:name="_Toc1244277076"/>
      <w:bookmarkStart w:id="35" w:name="_Toc51913978"/>
      <w:bookmarkStart w:id="36" w:name="_Toc641950085"/>
      <w:bookmarkStart w:id="37" w:name="_Toc869760037"/>
      <w:bookmarkStart w:id="38" w:name="_Toc1603085302"/>
      <w:bookmarkStart w:id="39" w:name="_Toc26566"/>
      <w:bookmarkStart w:id="40" w:name="_Toc499435421"/>
      <w:bookmarkStart w:id="41" w:name="_Toc1183967177"/>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  适用范围</w:t>
      </w:r>
      <w:bookmarkEnd w:id="34"/>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本预案适用于发生在我县的</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eastAsia="zh-CN"/>
        </w:rPr>
        <w:t>级、Ⅳ级药品安全突发事件，或需要由我县配合处置的Ⅰ级、Ⅱ级药品安全突发事件。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1"/>
        <w:rPr>
          <w:rFonts w:hint="eastAsia" w:ascii="仿宋_GB2312" w:hAnsi="仿宋_GB2312" w:eastAsia="仿宋_GB2312" w:cs="仿宋_GB2312"/>
          <w:color w:val="auto"/>
          <w:sz w:val="32"/>
          <w:szCs w:val="32"/>
          <w:highlight w:val="none"/>
          <w:lang w:eastAsia="zh-CN"/>
        </w:rPr>
      </w:pPr>
      <w:bookmarkStart w:id="42" w:name="_Toc1878425487"/>
      <w:bookmarkStart w:id="43" w:name="_Toc1445554925"/>
      <w:bookmarkStart w:id="44" w:name="_Toc1911902954"/>
      <w:bookmarkStart w:id="45" w:name="_Toc2066592126"/>
      <w:bookmarkStart w:id="46" w:name="_Toc19283"/>
      <w:bookmarkStart w:id="47" w:name="_Toc1753085757"/>
      <w:bookmarkStart w:id="48" w:name="_Toc1603123228"/>
      <w:bookmarkStart w:id="49" w:name="_Toc608914267"/>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处置原则</w:t>
      </w:r>
      <w:bookmarkEnd w:id="42"/>
      <w:bookmarkEnd w:id="43"/>
      <w:bookmarkEnd w:id="44"/>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人民至上、生命至上。坚持以人民为中心的思想，把人民群众生命安全和身体健康放在第一位，最大程度地减少药品安全突发事件的危害和影响。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统一领导、</w:t>
      </w:r>
      <w:r>
        <w:rPr>
          <w:rFonts w:hint="eastAsia" w:ascii="仿宋_GB2312" w:hAnsi="仿宋_GB2312" w:eastAsia="仿宋_GB2312" w:cs="方正仿宋_GBK"/>
          <w:strike w:val="0"/>
          <w:dstrike w:val="0"/>
          <w:color w:val="auto"/>
          <w:sz w:val="32"/>
          <w:szCs w:val="32"/>
          <w:highlight w:val="none"/>
          <w:lang w:eastAsia="zh-CN"/>
        </w:rPr>
        <w:t>属地管理</w:t>
      </w:r>
      <w:r>
        <w:rPr>
          <w:rFonts w:hint="eastAsia" w:ascii="仿宋_GB2312" w:hAnsi="仿宋_GB2312" w:eastAsia="仿宋_GB2312" w:cs="方正仿宋_GBK"/>
          <w:color w:val="auto"/>
          <w:sz w:val="32"/>
          <w:szCs w:val="32"/>
          <w:highlight w:val="none"/>
          <w:lang w:eastAsia="zh-CN"/>
        </w:rPr>
        <w:t>。在县政府的统一领导下，实施属地管理、专业处置，各镇人民政府对本行政区域内发生的药品安全突发事件负有属地管理责任，各有关部门依法履行监督管理职责。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仿宋_GB2312" w:hAnsi="仿宋_GB2312" w:eastAsia="仿宋_GB2312" w:cs="方正仿宋_GBK"/>
          <w:color w:val="auto"/>
          <w:sz w:val="32"/>
          <w:szCs w:val="32"/>
          <w:highlight w:val="none"/>
          <w:lang w:val="en" w:eastAsia="zh-CN"/>
        </w:rPr>
      </w:pPr>
      <w:r>
        <w:rPr>
          <w:rFonts w:hint="eastAsia" w:ascii="仿宋_GB2312" w:hAnsi="仿宋_GB2312" w:eastAsia="仿宋_GB2312" w:cs="方正仿宋_GBK"/>
          <w:color w:val="auto"/>
          <w:sz w:val="32"/>
          <w:szCs w:val="32"/>
          <w:highlight w:val="none"/>
          <w:lang w:eastAsia="zh-CN"/>
        </w:rPr>
        <w:t>预防为主</w:t>
      </w:r>
      <w:r>
        <w:rPr>
          <w:rFonts w:hint="eastAsia" w:ascii="仿宋_GB2312" w:hAnsi="仿宋_GB2312" w:eastAsia="仿宋_GB2312" w:cs="方正仿宋_GBK"/>
          <w:color w:val="auto"/>
          <w:sz w:val="32"/>
          <w:szCs w:val="32"/>
          <w:highlight w:val="none"/>
          <w:lang w:val="en" w:eastAsia="zh-CN"/>
        </w:rPr>
        <w:t>，高效应对。</w:t>
      </w:r>
      <w:r>
        <w:rPr>
          <w:rFonts w:hint="eastAsia" w:ascii="仿宋_GB2312" w:hAnsi="仿宋_GB2312" w:eastAsia="仿宋_GB2312" w:cs="方正仿宋_GBK"/>
          <w:color w:val="auto"/>
          <w:sz w:val="32"/>
          <w:szCs w:val="32"/>
          <w:highlight w:val="none"/>
          <w:lang w:eastAsia="zh-CN"/>
        </w:rPr>
        <w:t>坚持预防为主，预防与应急相结合，强化药品安全风险管理。提升监测预警和应急技术能力，规范、科学、高效应对药品安全突发事件。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CESI黑体-GB2312" w:hAnsi="CESI黑体-GB2312" w:eastAsia="CESI黑体-GB2312" w:cs="CESI黑体-GB2312"/>
          <w:color w:val="auto"/>
          <w:sz w:val="32"/>
          <w:szCs w:val="32"/>
          <w:highlight w:val="none"/>
        </w:rPr>
      </w:pPr>
      <w:r>
        <w:rPr>
          <w:rFonts w:hint="eastAsia" w:ascii="仿宋_GB2312" w:hAnsi="仿宋_GB2312" w:eastAsia="仿宋_GB2312" w:cs="方正仿宋_GBK"/>
          <w:color w:val="auto"/>
          <w:sz w:val="32"/>
          <w:szCs w:val="32"/>
          <w:highlight w:val="none"/>
          <w:lang w:val="en" w:eastAsia="zh-CN"/>
        </w:rPr>
        <w:t>强化合作</w:t>
      </w:r>
      <w:r>
        <w:rPr>
          <w:rFonts w:hint="eastAsia" w:ascii="仿宋_GB2312" w:hAnsi="仿宋_GB2312" w:eastAsia="仿宋_GB2312" w:cs="方正仿宋_GBK"/>
          <w:color w:val="auto"/>
          <w:sz w:val="32"/>
          <w:szCs w:val="32"/>
          <w:highlight w:val="none"/>
          <w:lang w:eastAsia="zh-CN"/>
        </w:rPr>
        <w:t>，依法处置。</w:t>
      </w:r>
      <w:r>
        <w:rPr>
          <w:rFonts w:hint="eastAsia" w:ascii="仿宋_GB2312" w:hAnsi="仿宋_GB2312" w:eastAsia="仿宋_GB2312" w:cs="方正仿宋_GBK"/>
          <w:color w:val="auto"/>
          <w:sz w:val="32"/>
          <w:szCs w:val="32"/>
          <w:highlight w:val="none"/>
          <w:lang w:val="en" w:eastAsia="zh-CN"/>
        </w:rPr>
        <w:t>各镇、各有关部门按照职责分工，各司其职，各负其责，加强配合，密切合作，建立健全跨区域、跨部门联动机制。</w:t>
      </w:r>
      <w:r>
        <w:rPr>
          <w:rFonts w:hint="eastAsia" w:ascii="仿宋_GB2312" w:hAnsi="仿宋_GB2312" w:eastAsia="仿宋_GB2312" w:cs="方正仿宋_GBK"/>
          <w:color w:val="auto"/>
          <w:sz w:val="32"/>
          <w:szCs w:val="32"/>
          <w:highlight w:val="none"/>
          <w:lang w:eastAsia="zh-CN"/>
        </w:rPr>
        <w:t>依照有关法律法规和制度，加强对药品的监督管理，严厉打击各类违法行为，</w:t>
      </w:r>
      <w:r>
        <w:rPr>
          <w:rFonts w:hint="eastAsia" w:ascii="仿宋_GB2312" w:hAnsi="仿宋_GB2312" w:eastAsia="仿宋_GB2312" w:cs="方正仿宋_GBK"/>
          <w:color w:val="auto"/>
          <w:sz w:val="32"/>
          <w:szCs w:val="32"/>
          <w:highlight w:val="none"/>
          <w:lang w:val="en" w:eastAsia="zh-CN"/>
        </w:rPr>
        <w:t>共同</w:t>
      </w:r>
      <w:r>
        <w:rPr>
          <w:rFonts w:hint="eastAsia" w:ascii="仿宋_GB2312" w:hAnsi="仿宋_GB2312" w:eastAsia="仿宋_GB2312" w:cs="方正仿宋_GBK"/>
          <w:color w:val="auto"/>
          <w:sz w:val="32"/>
          <w:szCs w:val="32"/>
          <w:highlight w:val="none"/>
          <w:lang w:eastAsia="zh-CN"/>
        </w:rPr>
        <w:t>做好药品安全突发事件防范应对工作。</w:t>
      </w:r>
      <w:bookmarkStart w:id="50" w:name="_Toc899442768"/>
      <w:bookmarkStart w:id="51" w:name="_Toc1635502710"/>
      <w:bookmarkStart w:id="52" w:name="_Toc1055185171"/>
      <w:bookmarkStart w:id="53" w:name="_Toc2133825902"/>
      <w:bookmarkStart w:id="54" w:name="_Toc184685932"/>
      <w:bookmarkStart w:id="55" w:name="_Toc10256"/>
      <w:bookmarkStart w:id="56" w:name="_Toc842023805"/>
      <w:bookmarkStart w:id="57" w:name="_Toc543629902"/>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组织机构及职责</w:t>
      </w:r>
      <w:bookmarkEnd w:id="50"/>
      <w:bookmarkEnd w:id="51"/>
      <w:bookmarkEnd w:id="52"/>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1"/>
        <w:rPr>
          <w:rFonts w:hint="eastAsia" w:ascii="仿宋_GB2312" w:hAnsi="仿宋_GB2312" w:eastAsia="仿宋_GB2312" w:cs="仿宋_GB2312"/>
          <w:color w:val="auto"/>
          <w:sz w:val="32"/>
          <w:szCs w:val="32"/>
          <w:highlight w:val="none"/>
          <w:lang w:eastAsia="zh-CN"/>
        </w:rPr>
      </w:pPr>
      <w:bookmarkStart w:id="58" w:name="_Toc23068"/>
      <w:bookmarkStart w:id="59" w:name="_Toc1489888815"/>
      <w:bookmarkStart w:id="60" w:name="_Toc1136021451"/>
      <w:bookmarkStart w:id="61" w:name="_Toc927129244"/>
      <w:bookmarkStart w:id="62" w:name="_Toc1782837760"/>
      <w:bookmarkStart w:id="63" w:name="_Toc1335714263"/>
      <w:bookmarkStart w:id="64" w:name="_Toc1402912790"/>
      <w:bookmarkStart w:id="65" w:name="_Toc2062178152"/>
      <w:bookmarkStart w:id="66" w:name="_Toc844753422"/>
      <w:bookmarkStart w:id="67" w:name="_Toc575067771"/>
      <w:bookmarkStart w:id="68" w:name="_Toc17719140"/>
      <w:bookmarkStart w:id="69" w:name="_Toc1055680488"/>
      <w:bookmarkStart w:id="70" w:name="_Toc161144087"/>
      <w:bookmarkStart w:id="71" w:name="_Toc469724887"/>
      <w:bookmarkStart w:id="72" w:name="_Toc808261179"/>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应急机制启动</w:t>
      </w:r>
      <w:bookmarkEnd w:id="58"/>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药品安全突发事件发生后，县市场监督管理局会同县卫生健康委员会对事件进行分析研判，核定事件级别。达到</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eastAsia="zh-CN"/>
        </w:rPr>
        <w:t>级或Ⅳ级药品安全突发事件标准的，由县市场监督管理局向县人民政府提出启动应急响应的建议，</w:t>
      </w:r>
      <w:r>
        <w:rPr>
          <w:rFonts w:hint="eastAsia" w:ascii="仿宋_GB2312" w:hAnsi="仿宋_GB2312" w:eastAsia="仿宋_GB2312" w:cs="方正仿宋_GBK"/>
          <w:strike w:val="0"/>
          <w:dstrike w:val="0"/>
          <w:color w:val="auto"/>
          <w:sz w:val="32"/>
          <w:szCs w:val="32"/>
          <w:highlight w:val="none"/>
          <w:lang w:eastAsia="zh-CN"/>
        </w:rPr>
        <w:t>经县人民政府批准后</w:t>
      </w:r>
      <w:r>
        <w:rPr>
          <w:rFonts w:hint="eastAsia" w:ascii="仿宋_GB2312" w:hAnsi="仿宋_GB2312" w:eastAsia="仿宋_GB2312" w:cs="方正仿宋_GBK"/>
          <w:color w:val="auto"/>
          <w:sz w:val="32"/>
          <w:szCs w:val="32"/>
          <w:highlight w:val="none"/>
          <w:lang w:eastAsia="zh-CN"/>
        </w:rPr>
        <w:t>，由县药品安全突发事件应急指挥部统一组织、协调和指挥事件应急处置工作。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Ⅰ级药品安全突发事件，在国家药监局统一领导和指挥下开展应急处置工作。</w:t>
      </w:r>
    </w:p>
    <w:p>
      <w:pPr>
        <w:pStyle w:val="12"/>
        <w:ind w:firstLine="632" w:firstLineChars="200"/>
        <w:rPr>
          <w:rFonts w:hint="eastAsia" w:ascii="仿宋_GB2312" w:hAnsi="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Ⅱ级药品安全突发事件</w:t>
      </w:r>
      <w:r>
        <w:rPr>
          <w:rFonts w:hint="eastAsia" w:ascii="仿宋_GB2312" w:hAnsi="仿宋_GB2312" w:cs="方正仿宋_GBK"/>
          <w:color w:val="auto"/>
          <w:sz w:val="32"/>
          <w:szCs w:val="32"/>
          <w:highlight w:val="none"/>
          <w:lang w:eastAsia="zh-CN"/>
        </w:rPr>
        <w:t>，在省人民政府、省药品安全突发事件应急指挥部的领导和指挥下开展应急处置工作。</w:t>
      </w:r>
    </w:p>
    <w:p>
      <w:pPr>
        <w:pStyle w:val="12"/>
        <w:ind w:firstLine="632" w:firstLineChars="200"/>
        <w:rPr>
          <w:rFonts w:hint="eastAsia" w:ascii="仿宋_GB2312" w:hAnsi="仿宋_GB2312" w:eastAsia="仿宋_GB2312" w:cs="方正仿宋_GBK"/>
          <w:color w:val="auto"/>
          <w:sz w:val="32"/>
          <w:szCs w:val="32"/>
          <w:highlight w:val="none"/>
          <w:lang w:eastAsia="zh-CN"/>
        </w:rPr>
      </w:pPr>
      <w:r>
        <w:rPr>
          <w:rFonts w:hint="eastAsia" w:ascii="仿宋_GB2312" w:hAnsi="仿宋_GB2312" w:cs="方正仿宋_GBK"/>
          <w:color w:val="auto"/>
          <w:sz w:val="32"/>
          <w:szCs w:val="32"/>
          <w:highlight w:val="none"/>
          <w:u w:val="none"/>
          <w:lang w:eastAsia="zh-CN"/>
        </w:rPr>
        <w:t>执行过程中,应急处置指挥机构可以根据社会影响、舆情等因素，相应启动或提升药品安全突发事件的级别，积极妥善处置突发事件。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1"/>
        <w:rPr>
          <w:rFonts w:hint="eastAsia" w:ascii="仿宋_GB2312" w:hAnsi="仿宋_GB2312" w:eastAsia="仿宋_GB2312" w:cs="仿宋_GB2312"/>
          <w:color w:val="auto"/>
          <w:sz w:val="32"/>
          <w:szCs w:val="32"/>
          <w:highlight w:val="none"/>
        </w:rPr>
      </w:pPr>
      <w:bookmarkStart w:id="73" w:name="_Toc4067"/>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rPr>
        <w:t>指挥机构</w:t>
      </w:r>
      <w:bookmarkEnd w:id="59"/>
      <w:bookmarkEnd w:id="60"/>
      <w:bookmarkEnd w:id="61"/>
      <w:bookmarkEnd w:id="62"/>
      <w:bookmarkEnd w:id="63"/>
      <w:bookmarkEnd w:id="64"/>
      <w:bookmarkEnd w:id="65"/>
      <w:bookmarkEnd w:id="7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2"/>
        <w:rPr>
          <w:rFonts w:hint="eastAsia" w:ascii="仿宋_GB2312" w:hAnsi="仿宋_GB2312" w:eastAsia="仿宋_GB2312" w:cs="方正仿宋_GBK"/>
          <w:color w:val="auto"/>
          <w:sz w:val="32"/>
          <w:szCs w:val="32"/>
          <w:highlight w:val="none"/>
          <w:lang w:eastAsia="zh-CN"/>
        </w:rPr>
      </w:pPr>
      <w:bookmarkStart w:id="74" w:name="_Toc570539757"/>
      <w:bookmarkStart w:id="75" w:name="_Toc23738"/>
      <w:bookmarkStart w:id="76" w:name="_Toc1490347509"/>
      <w:bookmarkStart w:id="77" w:name="_Toc2110465167"/>
      <w:bookmarkStart w:id="78" w:name="_Toc674288319"/>
      <w:bookmarkStart w:id="79" w:name="_Toc2072344701"/>
      <w:bookmarkStart w:id="80" w:name="_Toc1565247349"/>
      <w:bookmarkStart w:id="81" w:name="_Toc1409925323"/>
      <w:r>
        <w:rPr>
          <w:rFonts w:hint="eastAsia" w:ascii="仿宋_GB2312" w:hAnsi="仿宋_GB2312" w:eastAsia="仿宋_GB2312" w:cs="方正仿宋_GBK"/>
          <w:color w:val="auto"/>
          <w:sz w:val="32"/>
          <w:szCs w:val="32"/>
          <w:highlight w:val="none"/>
          <w:lang w:eastAsia="zh-CN"/>
        </w:rPr>
        <w:t>2.</w:t>
      </w:r>
      <w:r>
        <w:rPr>
          <w:rFonts w:hint="eastAsia" w:ascii="仿宋_GB2312" w:hAnsi="仿宋_GB2312" w:eastAsia="仿宋_GB2312" w:cs="方正仿宋_GBK"/>
          <w:color w:val="auto"/>
          <w:sz w:val="32"/>
          <w:szCs w:val="32"/>
          <w:highlight w:val="none"/>
          <w:lang w:val="en-US" w:eastAsia="zh-CN"/>
        </w:rPr>
        <w:t>2</w:t>
      </w:r>
      <w:r>
        <w:rPr>
          <w:rFonts w:hint="eastAsia" w:ascii="仿宋_GB2312" w:hAnsi="仿宋_GB2312" w:eastAsia="仿宋_GB2312" w:cs="方正仿宋_GBK"/>
          <w:color w:val="auto"/>
          <w:sz w:val="32"/>
          <w:szCs w:val="32"/>
          <w:highlight w:val="none"/>
          <w:lang w:eastAsia="zh-CN"/>
        </w:rPr>
        <w:t>.1  县应急指挥部设置</w:t>
      </w:r>
      <w:bookmarkEnd w:id="74"/>
      <w:bookmarkEnd w:id="75"/>
      <w:bookmarkEnd w:id="76"/>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县人民政府设立药品安全突发事件应急指挥部 (以下简称县应急指挥部)，总指挥长由县人民政府分管副县长担任，副总指挥长由县政府</w:t>
      </w:r>
      <w:r>
        <w:rPr>
          <w:rFonts w:hint="eastAsia" w:ascii="仿宋_GB2312" w:hAnsi="仿宋_GB2312" w:eastAsia="仿宋_GB2312" w:cs="方正仿宋_GBK"/>
          <w:strike w:val="0"/>
          <w:dstrike w:val="0"/>
          <w:color w:val="auto"/>
          <w:sz w:val="32"/>
          <w:szCs w:val="32"/>
          <w:highlight w:val="none"/>
          <w:lang w:eastAsia="zh-CN"/>
        </w:rPr>
        <w:t>办副主任</w:t>
      </w:r>
      <w:r>
        <w:rPr>
          <w:rFonts w:hint="eastAsia" w:ascii="仿宋_GB2312" w:hAnsi="仿宋_GB2312" w:eastAsia="仿宋_GB2312" w:cs="方正仿宋_GBK"/>
          <w:color w:val="auto"/>
          <w:sz w:val="32"/>
          <w:szCs w:val="32"/>
          <w:highlight w:val="none"/>
          <w:lang w:eastAsia="zh-CN"/>
        </w:rPr>
        <w:t>、县市场监督管理局主要负责人担任。县应急指挥部成员单位主要包括:县市场监督管理局、县卫生健康委员会、县应急管理局、县综合行政执法局、县委宣传部、县委网信办、县公安局、县发展和改革委员会、县财政局、县司法局、县医疗保障局、县疾病预防控制中心等。根据事件处置工作需要，可增加相关部门和事发地属地政府为成员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县应急指挥部办公室设在县市场监督管理局，县市场监督管理局主要负责人担任办公室主任。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2"/>
        <w:rPr>
          <w:rFonts w:hint="eastAsia" w:ascii="仿宋_GB2312" w:hAnsi="仿宋_GB2312" w:eastAsia="仿宋_GB2312" w:cs="方正仿宋_GBK"/>
          <w:color w:val="auto"/>
          <w:sz w:val="32"/>
          <w:szCs w:val="32"/>
          <w:highlight w:val="none"/>
          <w:lang w:eastAsia="zh-CN"/>
        </w:rPr>
      </w:pPr>
      <w:bookmarkStart w:id="82" w:name="_Toc889164965"/>
      <w:bookmarkStart w:id="83" w:name="_Toc915377559"/>
      <w:bookmarkStart w:id="84" w:name="_Toc901948661"/>
      <w:bookmarkStart w:id="85" w:name="_Toc1904729894"/>
      <w:bookmarkStart w:id="86" w:name="_Toc30174"/>
      <w:bookmarkStart w:id="87" w:name="_Toc971638398"/>
      <w:bookmarkStart w:id="88" w:name="_Toc165901783"/>
      <w:bookmarkStart w:id="89" w:name="_Toc1795383921"/>
      <w:r>
        <w:rPr>
          <w:rFonts w:hint="eastAsia" w:ascii="仿宋_GB2312" w:hAnsi="仿宋_GB2312" w:eastAsia="仿宋_GB2312" w:cs="方正仿宋_GBK"/>
          <w:color w:val="auto"/>
          <w:sz w:val="32"/>
          <w:szCs w:val="32"/>
          <w:highlight w:val="none"/>
          <w:lang w:eastAsia="zh-CN"/>
        </w:rPr>
        <w:t>2.</w:t>
      </w:r>
      <w:r>
        <w:rPr>
          <w:rFonts w:hint="eastAsia" w:ascii="仿宋_GB2312" w:hAnsi="仿宋_GB2312" w:eastAsia="仿宋_GB2312" w:cs="方正仿宋_GBK"/>
          <w:color w:val="auto"/>
          <w:sz w:val="32"/>
          <w:szCs w:val="32"/>
          <w:highlight w:val="none"/>
          <w:lang w:val="en-US" w:eastAsia="zh-CN"/>
        </w:rPr>
        <w:t>2</w:t>
      </w: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2</w:t>
      </w:r>
      <w:r>
        <w:rPr>
          <w:rFonts w:hint="eastAsia" w:ascii="仿宋_GB2312" w:hAnsi="仿宋_GB2312" w:eastAsia="仿宋_GB2312" w:cs="方正仿宋_GBK"/>
          <w:color w:val="auto"/>
          <w:sz w:val="32"/>
          <w:szCs w:val="32"/>
          <w:highlight w:val="none"/>
          <w:lang w:eastAsia="zh-CN"/>
        </w:rPr>
        <w:t xml:space="preserve">  县应急指挥部职责</w:t>
      </w:r>
      <w:bookmarkEnd w:id="82"/>
      <w:bookmarkEnd w:id="83"/>
      <w:bookmarkEnd w:id="84"/>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县应急指挥部负责统一组织、协调和指挥突发事件应急处置工作，研究重大应急决策和部署，</w:t>
      </w:r>
      <w:r>
        <w:rPr>
          <w:rFonts w:hint="eastAsia" w:ascii="仿宋_GB2312" w:hAnsi="仿宋_GB2312" w:eastAsia="仿宋_GB2312" w:cs="方正仿宋_GBK"/>
          <w:color w:val="auto"/>
          <w:sz w:val="32"/>
          <w:szCs w:val="32"/>
          <w:highlight w:val="none"/>
          <w:u w:val="none"/>
          <w:lang w:eastAsia="zh-CN"/>
        </w:rPr>
        <w:t>组织相关部门核定突发事件级别</w:t>
      </w:r>
      <w:r>
        <w:rPr>
          <w:rFonts w:hint="eastAsia" w:ascii="仿宋_GB2312" w:hAnsi="仿宋_GB2312" w:eastAsia="仿宋_GB2312" w:cs="方正仿宋_GBK"/>
          <w:color w:val="auto"/>
          <w:sz w:val="32"/>
          <w:szCs w:val="32"/>
          <w:highlight w:val="none"/>
          <w:lang w:eastAsia="zh-CN"/>
        </w:rPr>
        <w:t>，决定启动应急预案，发布事件处置重要信息，审议批准县应急指挥部办公室提交的应急处置工作报告等。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2"/>
        <w:rPr>
          <w:rFonts w:hint="eastAsia" w:ascii="仿宋_GB2312" w:hAnsi="仿宋_GB2312" w:eastAsia="仿宋_GB2312" w:cs="方正仿宋_GBK"/>
          <w:color w:val="auto"/>
          <w:sz w:val="32"/>
          <w:szCs w:val="32"/>
          <w:highlight w:val="none"/>
          <w:lang w:eastAsia="zh-CN"/>
        </w:rPr>
      </w:pPr>
      <w:bookmarkStart w:id="90" w:name="_Toc429351937"/>
      <w:bookmarkStart w:id="91" w:name="_Toc2008540776"/>
      <w:bookmarkStart w:id="92" w:name="_Toc1678770972"/>
      <w:bookmarkStart w:id="93" w:name="_Toc249084070"/>
      <w:bookmarkStart w:id="94" w:name="_Toc380042423"/>
      <w:bookmarkStart w:id="95" w:name="_Toc1771518286"/>
      <w:bookmarkStart w:id="96" w:name="_Toc3302"/>
      <w:bookmarkStart w:id="97" w:name="_Toc923063019"/>
      <w:r>
        <w:rPr>
          <w:rFonts w:hint="eastAsia" w:ascii="仿宋_GB2312" w:hAnsi="仿宋_GB2312" w:eastAsia="仿宋_GB2312" w:cs="方正仿宋_GBK"/>
          <w:color w:val="auto"/>
          <w:sz w:val="32"/>
          <w:szCs w:val="32"/>
          <w:highlight w:val="none"/>
          <w:lang w:eastAsia="zh-CN"/>
        </w:rPr>
        <w:t>2.</w:t>
      </w:r>
      <w:r>
        <w:rPr>
          <w:rFonts w:hint="eastAsia" w:ascii="仿宋_GB2312" w:hAnsi="仿宋_GB2312" w:eastAsia="仿宋_GB2312" w:cs="方正仿宋_GBK"/>
          <w:color w:val="auto"/>
          <w:sz w:val="32"/>
          <w:szCs w:val="32"/>
          <w:highlight w:val="none"/>
          <w:lang w:val="en-US" w:eastAsia="zh-CN"/>
        </w:rPr>
        <w:t>2</w:t>
      </w: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3</w:t>
      </w:r>
      <w:r>
        <w:rPr>
          <w:rFonts w:hint="eastAsia" w:ascii="仿宋_GB2312" w:hAnsi="仿宋_GB2312" w:eastAsia="仿宋_GB2312" w:cs="方正仿宋_GBK"/>
          <w:color w:val="auto"/>
          <w:sz w:val="32"/>
          <w:szCs w:val="32"/>
          <w:highlight w:val="none"/>
          <w:lang w:eastAsia="zh-CN"/>
        </w:rPr>
        <w:t xml:space="preserve">  县应急指挥部办公室职责</w:t>
      </w:r>
      <w:bookmarkEnd w:id="90"/>
      <w:bookmarkEnd w:id="91"/>
      <w:bookmarkEnd w:id="92"/>
      <w:bookmarkEnd w:id="93"/>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县应急指挥部办公室承担县应急指挥部的日常工作，主要负责贯彻落实县应急指挥部的各项部署，承担常态应急管理和非常态突发事件应对处置综合协调、指导等工作；及时收集、上报、通报有关药品安全突发事件信息；会同其他成员单位研究制定处置方案，督促落实处置措施，并对处置全过程进行分析总结；制（修）订药品安全突发事件应急预案和组织预案演练；组织开展药品安全突发事件应急知识和应急管理宣传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2"/>
        <w:rPr>
          <w:rFonts w:hint="eastAsia" w:ascii="仿宋_GB2312" w:hAnsi="仿宋_GB2312" w:eastAsia="仿宋_GB2312" w:cs="方正仿宋_GBK"/>
          <w:color w:val="auto"/>
          <w:sz w:val="32"/>
          <w:szCs w:val="32"/>
          <w:highlight w:val="none"/>
          <w:lang w:eastAsia="zh-CN"/>
        </w:rPr>
      </w:pPr>
      <w:bookmarkStart w:id="98" w:name="_Toc1673439340"/>
      <w:bookmarkStart w:id="99" w:name="_Toc1574129944"/>
      <w:bookmarkStart w:id="100" w:name="_Toc1965690770"/>
      <w:bookmarkStart w:id="101" w:name="_Toc97100746"/>
      <w:bookmarkStart w:id="102" w:name="_Toc15397"/>
      <w:bookmarkStart w:id="103" w:name="_Toc535071786"/>
      <w:bookmarkStart w:id="104" w:name="_Toc1450280499"/>
      <w:bookmarkStart w:id="105" w:name="_Toc467976276"/>
      <w:r>
        <w:rPr>
          <w:rFonts w:hint="eastAsia" w:ascii="仿宋_GB2312" w:hAnsi="仿宋_GB2312" w:eastAsia="仿宋_GB2312" w:cs="方正仿宋_GBK"/>
          <w:color w:val="auto"/>
          <w:sz w:val="32"/>
          <w:szCs w:val="32"/>
          <w:highlight w:val="none"/>
          <w:lang w:eastAsia="zh-CN"/>
        </w:rPr>
        <w:t>2.</w:t>
      </w:r>
      <w:r>
        <w:rPr>
          <w:rFonts w:hint="eastAsia" w:ascii="仿宋_GB2312" w:hAnsi="仿宋_GB2312" w:eastAsia="仿宋_GB2312" w:cs="方正仿宋_GBK"/>
          <w:color w:val="auto"/>
          <w:sz w:val="32"/>
          <w:szCs w:val="32"/>
          <w:highlight w:val="none"/>
          <w:lang w:val="en-US" w:eastAsia="zh-CN"/>
        </w:rPr>
        <w:t>2</w:t>
      </w: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4</w:t>
      </w:r>
      <w:r>
        <w:rPr>
          <w:rFonts w:hint="eastAsia" w:ascii="仿宋_GB2312" w:hAnsi="仿宋_GB2312" w:eastAsia="仿宋_GB2312" w:cs="方正仿宋_GBK"/>
          <w:color w:val="auto"/>
          <w:sz w:val="32"/>
          <w:szCs w:val="32"/>
          <w:highlight w:val="none"/>
          <w:lang w:eastAsia="zh-CN"/>
        </w:rPr>
        <w:t xml:space="preserve">  县应急指挥部成员单位职责</w:t>
      </w:r>
      <w:bookmarkEnd w:id="98"/>
      <w:bookmarkEnd w:id="99"/>
      <w:bookmarkEnd w:id="100"/>
      <w:bookmarkEnd w:id="101"/>
      <w:bookmarkEnd w:id="102"/>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县应急指挥部各成员单位在县应急指挥部统一领导下开展工作，根据工作职责，加强对事发地属地政府有关工作的督促指导，积极参与应急处置救援工作。具体职责如下：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1</w:t>
      </w:r>
      <w:r>
        <w:rPr>
          <w:rFonts w:hint="eastAsia" w:ascii="仿宋_GB2312" w:hAnsi="仿宋_GB2312" w:eastAsia="仿宋_GB2312" w:cs="方正仿宋_GBK"/>
          <w:color w:val="auto"/>
          <w:sz w:val="32"/>
          <w:szCs w:val="32"/>
          <w:highlight w:val="none"/>
          <w:lang w:eastAsia="zh-CN"/>
        </w:rPr>
        <w:t>）县市场监督管理局：组织开展较大和一般药品安全突发事件应急处置工作，配合开展特别重大和重大药品安全突发事件应急处置工作；负责</w:t>
      </w:r>
      <w:r>
        <w:rPr>
          <w:rFonts w:hint="eastAsia" w:ascii="仿宋_GB2312" w:hAnsi="仿宋_GB2312" w:eastAsia="仿宋_GB2312" w:cs="方正仿宋_GBK"/>
          <w:color w:val="auto"/>
          <w:sz w:val="32"/>
          <w:szCs w:val="32"/>
          <w:highlight w:val="none"/>
          <w:lang w:val="en-US" w:eastAsia="zh-CN"/>
        </w:rPr>
        <w:t>药品安全突发事件的应急值守、信息报告、综合协调等工作，组织实施药品安全突发事件调查</w:t>
      </w:r>
      <w:r>
        <w:rPr>
          <w:rFonts w:hint="eastAsia" w:ascii="仿宋_GB2312" w:hAnsi="仿宋_GB2312" w:eastAsia="仿宋_GB2312" w:cs="方正仿宋_GBK"/>
          <w:color w:val="auto"/>
          <w:sz w:val="32"/>
          <w:szCs w:val="32"/>
          <w:highlight w:val="none"/>
          <w:lang w:eastAsia="zh-CN"/>
        </w:rPr>
        <w:t>，对出现药品安全突发事件的相关药品采取紧急控制措施。组织检查和督导药品安全突发事件应急预案的落实。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2</w:t>
      </w:r>
      <w:r>
        <w:rPr>
          <w:rFonts w:hint="eastAsia" w:ascii="仿宋_GB2312" w:hAnsi="仿宋_GB2312" w:eastAsia="仿宋_GB2312" w:cs="方正仿宋_GBK"/>
          <w:color w:val="auto"/>
          <w:sz w:val="32"/>
          <w:szCs w:val="32"/>
          <w:highlight w:val="none"/>
          <w:lang w:eastAsia="zh-CN"/>
        </w:rPr>
        <w:t>）县卫生健康委员会：组织药品安全突发事件的医疗救治工作。会同县市场监督管理局、县综合行政执法局对药品安全突发事件进行调查，对事件的疑似病例进行确认，对医疗机构中相关物品和资料采取控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3</w:t>
      </w:r>
      <w:r>
        <w:rPr>
          <w:rFonts w:hint="eastAsia" w:ascii="仿宋_GB2312" w:hAnsi="仿宋_GB2312" w:eastAsia="仿宋_GB2312" w:cs="方正仿宋_GBK"/>
          <w:color w:val="auto"/>
          <w:sz w:val="32"/>
          <w:szCs w:val="32"/>
          <w:highlight w:val="none"/>
          <w:lang w:eastAsia="zh-CN"/>
        </w:rPr>
        <w:t>）县应急管理局：指导协调药品安全突发事件应急处置工作；指导药品安全突发事件的应急演练及应急预案修订工作。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4</w:t>
      </w:r>
      <w:r>
        <w:rPr>
          <w:rFonts w:hint="eastAsia" w:ascii="仿宋_GB2312" w:hAnsi="仿宋_GB2312" w:eastAsia="仿宋_GB2312" w:cs="方正仿宋_GBK"/>
          <w:color w:val="auto"/>
          <w:sz w:val="32"/>
          <w:szCs w:val="32"/>
          <w:highlight w:val="none"/>
          <w:lang w:eastAsia="zh-CN"/>
        </w:rPr>
        <w:t>）县综合行政执法局：配合开展药品安全突发事件调查处置工作，</w:t>
      </w:r>
      <w:r>
        <w:rPr>
          <w:rFonts w:hint="eastAsia" w:ascii="仿宋_GB2312" w:hAnsi="仿宋_GB2312" w:eastAsia="仿宋_GB2312" w:cs="方正仿宋_GBK"/>
          <w:color w:val="auto"/>
          <w:sz w:val="32"/>
          <w:szCs w:val="32"/>
          <w:highlight w:val="none"/>
          <w:lang w:val="en-US" w:eastAsia="zh-CN"/>
        </w:rPr>
        <w:t>对出现药品安全突发事件的相关产品采取紧急控制措施，对相关案件实施行政处罚</w:t>
      </w:r>
      <w:r>
        <w:rPr>
          <w:rFonts w:hint="eastAsia" w:ascii="仿宋_GB2312" w:hAnsi="仿宋_GB2312" w:eastAsia="仿宋_GB2312"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（5）县委宣传部：指导协调药品安全突发事件信息发布、舆论引导等工作。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（6）县委网信办：指导协调药品安全突发事件网络舆情管控、网络舆论引导等工作。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7</w:t>
      </w:r>
      <w:r>
        <w:rPr>
          <w:rFonts w:hint="eastAsia" w:ascii="仿宋_GB2312" w:hAnsi="仿宋_GB2312" w:eastAsia="仿宋_GB2312" w:cs="方正仿宋_GBK"/>
          <w:color w:val="auto"/>
          <w:sz w:val="32"/>
          <w:szCs w:val="32"/>
          <w:highlight w:val="none"/>
          <w:lang w:eastAsia="zh-CN"/>
        </w:rPr>
        <w:t>）县公安局：组织侦办涉嫌假劣等药品刑事犯罪案件，做好药品安全突发事件发生地的治安保障、交通管制等社会稳控工作。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8</w:t>
      </w:r>
      <w:r>
        <w:rPr>
          <w:rFonts w:hint="eastAsia" w:ascii="仿宋_GB2312" w:hAnsi="仿宋_GB2312" w:eastAsia="仿宋_GB2312" w:cs="方正仿宋_GBK"/>
          <w:color w:val="auto"/>
          <w:sz w:val="32"/>
          <w:szCs w:val="32"/>
          <w:highlight w:val="none"/>
          <w:lang w:eastAsia="zh-CN"/>
        </w:rPr>
        <w:t>）县发展和改革委员会：协助县卫生健康委员会做好应急药品储备、保障应急药品供应等工作。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9</w:t>
      </w:r>
      <w:r>
        <w:rPr>
          <w:rFonts w:hint="eastAsia" w:ascii="仿宋_GB2312" w:hAnsi="仿宋_GB2312" w:eastAsia="仿宋_GB2312" w:cs="方正仿宋_GBK"/>
          <w:color w:val="auto"/>
          <w:sz w:val="32"/>
          <w:szCs w:val="32"/>
          <w:highlight w:val="none"/>
          <w:lang w:eastAsia="zh-CN"/>
        </w:rPr>
        <w:t>）县财政局：结合财力，按事权与支出责任划分有关原则，统筹保障药品安全突发事件应急处置经费。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10</w:t>
      </w:r>
      <w:r>
        <w:rPr>
          <w:rFonts w:hint="eastAsia" w:ascii="仿宋_GB2312" w:hAnsi="仿宋_GB2312" w:eastAsia="仿宋_GB2312" w:cs="方正仿宋_GBK"/>
          <w:color w:val="auto"/>
          <w:sz w:val="32"/>
          <w:szCs w:val="32"/>
          <w:highlight w:val="none"/>
          <w:lang w:eastAsia="zh-CN"/>
        </w:rPr>
        <w:t>）县司法局：负责县人民政府关于药品安全突发事件行政决策的法核工作。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color w:val="auto"/>
          <w:highlight w:val="none"/>
          <w:lang w:eastAsia="zh-CN"/>
        </w:rPr>
      </w:pPr>
      <w:r>
        <w:rPr>
          <w:rFonts w:hint="eastAsia" w:ascii="仿宋_GB2312" w:hAnsi="仿宋_GB2312" w:eastAsia="仿宋_GB2312" w:cs="方正仿宋_GBK"/>
          <w:i w:val="0"/>
          <w:iCs w:val="0"/>
          <w:color w:val="auto"/>
          <w:sz w:val="32"/>
          <w:szCs w:val="32"/>
          <w:highlight w:val="none"/>
          <w:lang w:eastAsia="zh-CN"/>
        </w:rPr>
        <w:t>（</w:t>
      </w:r>
      <w:r>
        <w:rPr>
          <w:rFonts w:hint="eastAsia" w:ascii="仿宋_GB2312" w:hAnsi="仿宋_GB2312" w:eastAsia="仿宋_GB2312" w:cs="方正仿宋_GBK"/>
          <w:i w:val="0"/>
          <w:iCs w:val="0"/>
          <w:color w:val="auto"/>
          <w:sz w:val="32"/>
          <w:szCs w:val="32"/>
          <w:highlight w:val="none"/>
          <w:lang w:val="en-US" w:eastAsia="zh-CN"/>
        </w:rPr>
        <w:t>11</w:t>
      </w:r>
      <w:r>
        <w:rPr>
          <w:rFonts w:hint="eastAsia" w:ascii="仿宋_GB2312" w:hAnsi="仿宋_GB2312" w:eastAsia="仿宋_GB2312" w:cs="方正仿宋_GBK"/>
          <w:i w:val="0"/>
          <w:iCs w:val="0"/>
          <w:color w:val="auto"/>
          <w:sz w:val="32"/>
          <w:szCs w:val="32"/>
          <w:highlight w:val="none"/>
          <w:lang w:eastAsia="zh-CN"/>
        </w:rPr>
        <w:t>）县医疗保障局：协助县卫生健康委员会做好储备药品调用、采购等相关工作。协调救治药品医保资金支付事宜。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本预案未列出的其他部门和单位，根据县应急指挥部指令，按照本部门职责和事件处置需要，全力做好药品安全突发事件应急处置的相关工作。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2"/>
        <w:rPr>
          <w:rFonts w:hint="eastAsia" w:ascii="仿宋_GB2312" w:hAnsi="仿宋_GB2312" w:eastAsia="仿宋_GB2312" w:cs="方正仿宋_GBK"/>
          <w:color w:val="auto"/>
          <w:sz w:val="32"/>
          <w:szCs w:val="32"/>
          <w:highlight w:val="none"/>
          <w:lang w:eastAsia="zh-CN"/>
        </w:rPr>
      </w:pPr>
      <w:bookmarkStart w:id="106" w:name="_Toc1037832328"/>
      <w:bookmarkStart w:id="107" w:name="_Toc1058980097"/>
      <w:bookmarkStart w:id="108" w:name="_Toc1090862892"/>
      <w:bookmarkStart w:id="109" w:name="_Toc2112493498"/>
      <w:bookmarkStart w:id="110" w:name="_Toc1952710583"/>
      <w:bookmarkStart w:id="111" w:name="_Toc479158673"/>
      <w:bookmarkStart w:id="112" w:name="_Toc1928939730"/>
      <w:bookmarkStart w:id="113" w:name="_Toc15956"/>
      <w:r>
        <w:rPr>
          <w:rFonts w:hint="eastAsia" w:ascii="仿宋_GB2312" w:hAnsi="仿宋_GB2312" w:eastAsia="仿宋_GB2312" w:cs="方正仿宋_GBK"/>
          <w:color w:val="auto"/>
          <w:sz w:val="32"/>
          <w:szCs w:val="32"/>
          <w:highlight w:val="none"/>
          <w:lang w:eastAsia="zh-CN"/>
        </w:rPr>
        <w:t>2.</w:t>
      </w:r>
      <w:r>
        <w:rPr>
          <w:rFonts w:hint="eastAsia" w:ascii="仿宋_GB2312" w:hAnsi="仿宋_GB2312" w:eastAsia="仿宋_GB2312" w:cs="方正仿宋_GBK"/>
          <w:color w:val="auto"/>
          <w:sz w:val="32"/>
          <w:szCs w:val="32"/>
          <w:highlight w:val="none"/>
          <w:lang w:val="en-US" w:eastAsia="zh-CN"/>
        </w:rPr>
        <w:t>2</w:t>
      </w: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5</w:t>
      </w:r>
      <w:r>
        <w:rPr>
          <w:rFonts w:hint="eastAsia" w:ascii="仿宋_GB2312" w:hAnsi="仿宋_GB2312" w:eastAsia="仿宋_GB2312" w:cs="方正仿宋_GBK"/>
          <w:color w:val="auto"/>
          <w:sz w:val="32"/>
          <w:szCs w:val="32"/>
          <w:highlight w:val="none"/>
          <w:lang w:eastAsia="zh-CN"/>
        </w:rPr>
        <w:t xml:space="preserve">  县应急指挥部各工作组设置及职责</w:t>
      </w:r>
      <w:bookmarkEnd w:id="106"/>
      <w:bookmarkEnd w:id="107"/>
      <w:bookmarkEnd w:id="108"/>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根据应急处置工作需要，县应急指挥部成立综合协调、医疗救治、事件调查、产品控制、新闻宣传、社会稳定等工作组，在县应急指挥部统一领导和指挥下开展应急处置工作，及时向县应急指挥部办公室报告工作开展情况。根据需要，县应急指挥部可增设其他工作组或增加工作组成员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1</w:t>
      </w:r>
      <w:r>
        <w:rPr>
          <w:rFonts w:hint="eastAsia" w:ascii="仿宋_GB2312" w:hAnsi="仿宋_GB2312" w:eastAsia="仿宋_GB2312" w:cs="方正仿宋_GBK"/>
          <w:color w:val="auto"/>
          <w:sz w:val="32"/>
          <w:szCs w:val="32"/>
          <w:highlight w:val="none"/>
          <w:lang w:eastAsia="zh-CN"/>
        </w:rPr>
        <w:t>）综合协调组，由县市场监督管理局牵头，县应急指挥部相关成员单位组成，负责组织协调各单位开展事件调查、产品控制、新闻宣传等应急处置工作；负责应急值守、综合协调及信息收集、整理和报送；负责应急指挥部会议的组织和重要工作的督办；编写应急指挥部工作动态和日志；承担县应急指挥部交办的其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2</w:t>
      </w:r>
      <w:r>
        <w:rPr>
          <w:rFonts w:hint="eastAsia" w:ascii="仿宋_GB2312" w:hAnsi="仿宋_GB2312" w:eastAsia="仿宋_GB2312" w:cs="方正仿宋_GBK"/>
          <w:color w:val="auto"/>
          <w:sz w:val="32"/>
          <w:szCs w:val="32"/>
          <w:highlight w:val="none"/>
          <w:lang w:eastAsia="zh-CN"/>
        </w:rPr>
        <w:t>）医疗救治组，由县卫生健康委员会牵头，县市场监督管理局等相关部门组成，负责组织指导相关医疗卫生机构开展患者救治和心理疏导工作，排查和确认疑似病例。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3</w:t>
      </w:r>
      <w:r>
        <w:rPr>
          <w:rFonts w:hint="eastAsia" w:ascii="仿宋_GB2312" w:hAnsi="仿宋_GB2312" w:eastAsia="仿宋_GB2312" w:cs="方正仿宋_GBK"/>
          <w:color w:val="auto"/>
          <w:sz w:val="32"/>
          <w:szCs w:val="32"/>
          <w:highlight w:val="none"/>
          <w:lang w:eastAsia="zh-CN"/>
        </w:rPr>
        <w:t>）事件调查组，由县市场监督管理局牵头，县卫生健康委员会、县公安局、县综合行政执法局等相关部门组成，负责对引发药品安全突发事件的医疗行为、事件发生原因和药品质量进行全面调查，提出调查结论和处理意见；组织对相关药品进行监督抽样和应急检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4</w:t>
      </w:r>
      <w:r>
        <w:rPr>
          <w:rFonts w:hint="eastAsia" w:ascii="仿宋_GB2312" w:hAnsi="仿宋_GB2312" w:eastAsia="仿宋_GB2312" w:cs="方正仿宋_GBK"/>
          <w:color w:val="auto"/>
          <w:sz w:val="32"/>
          <w:szCs w:val="32"/>
          <w:highlight w:val="none"/>
          <w:lang w:eastAsia="zh-CN"/>
        </w:rPr>
        <w:t>）产品控制组，由县综合行政执法局牵头，县公安局、县卫生健康委员会、县市场监督管理局等相关部门组成，负责组织对引发事件的药品采取停止使用、查封扣押、召回和销毁等紧急控制措施；查处事件中涉及的药品案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5</w:t>
      </w:r>
      <w:r>
        <w:rPr>
          <w:rFonts w:hint="eastAsia" w:ascii="仿宋_GB2312" w:hAnsi="仿宋_GB2312" w:eastAsia="仿宋_GB2312" w:cs="方正仿宋_GBK"/>
          <w:color w:val="auto"/>
          <w:sz w:val="32"/>
          <w:szCs w:val="32"/>
          <w:highlight w:val="none"/>
          <w:lang w:eastAsia="zh-CN"/>
        </w:rPr>
        <w:t>）新闻宣传组，由县委宣传部牵头，县委网信办、县市场监督管理局、县卫生健康委员会等相关部门组成，负责事件处置的信息发布、宣传报道、舆情管控和舆论引导工作。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6</w:t>
      </w:r>
      <w:r>
        <w:rPr>
          <w:rFonts w:hint="eastAsia" w:ascii="仿宋_GB2312" w:hAnsi="仿宋_GB2312" w:eastAsia="仿宋_GB2312" w:cs="方正仿宋_GBK"/>
          <w:color w:val="auto"/>
          <w:sz w:val="32"/>
          <w:szCs w:val="32"/>
          <w:highlight w:val="none"/>
          <w:lang w:eastAsia="zh-CN"/>
        </w:rPr>
        <w:t>）社会稳定组，由县公安局牵头，负责加强事发地治安管理，关注事件动态和社会动态，依法处置由药品安全突发事件引发的社会安全事件。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2"/>
        <w:rPr>
          <w:rFonts w:hint="eastAsia" w:ascii="仿宋_GB2312" w:hAnsi="仿宋_GB2312" w:eastAsia="仿宋_GB2312" w:cs="方正仿宋_GBK"/>
          <w:color w:val="auto"/>
          <w:sz w:val="32"/>
          <w:szCs w:val="32"/>
          <w:highlight w:val="none"/>
          <w:lang w:eastAsia="zh-CN"/>
        </w:rPr>
      </w:pPr>
      <w:bookmarkStart w:id="114" w:name="_Toc1827122603"/>
      <w:bookmarkStart w:id="115" w:name="_Toc25610650"/>
      <w:bookmarkStart w:id="116" w:name="_Toc759956713"/>
      <w:bookmarkStart w:id="117" w:name="_Toc305"/>
      <w:bookmarkStart w:id="118" w:name="_Toc1559590263"/>
      <w:bookmarkStart w:id="119" w:name="_Toc1917773789"/>
      <w:bookmarkStart w:id="120" w:name="_Toc235116454"/>
      <w:bookmarkStart w:id="121" w:name="_Toc993639903"/>
      <w:r>
        <w:rPr>
          <w:rFonts w:hint="eastAsia" w:ascii="仿宋_GB2312" w:hAnsi="仿宋_GB2312" w:eastAsia="仿宋_GB2312" w:cs="方正仿宋_GBK"/>
          <w:color w:val="auto"/>
          <w:sz w:val="32"/>
          <w:szCs w:val="32"/>
          <w:highlight w:val="none"/>
          <w:lang w:eastAsia="zh-CN"/>
        </w:rPr>
        <w:t>2.</w:t>
      </w:r>
      <w:r>
        <w:rPr>
          <w:rFonts w:hint="eastAsia" w:ascii="仿宋_GB2312" w:hAnsi="仿宋_GB2312" w:eastAsia="仿宋_GB2312" w:cs="方正仿宋_GBK"/>
          <w:color w:val="auto"/>
          <w:sz w:val="32"/>
          <w:szCs w:val="32"/>
          <w:highlight w:val="none"/>
          <w:lang w:val="en-US" w:eastAsia="zh-CN"/>
        </w:rPr>
        <w:t>2</w:t>
      </w: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6</w:t>
      </w:r>
      <w:r>
        <w:rPr>
          <w:rFonts w:hint="eastAsia" w:ascii="仿宋_GB2312" w:hAnsi="仿宋_GB2312" w:eastAsia="仿宋_GB2312" w:cs="方正仿宋_GBK"/>
          <w:color w:val="auto"/>
          <w:sz w:val="32"/>
          <w:szCs w:val="32"/>
          <w:highlight w:val="none"/>
          <w:lang w:eastAsia="zh-CN"/>
        </w:rPr>
        <w:t xml:space="preserve">  专家咨询组</w:t>
      </w:r>
      <w:bookmarkEnd w:id="114"/>
      <w:bookmarkEnd w:id="115"/>
      <w:bookmarkEnd w:id="116"/>
      <w:bookmarkEnd w:id="117"/>
      <w:bookmarkEnd w:id="118"/>
      <w:bookmarkEnd w:id="119"/>
      <w:bookmarkEnd w:id="120"/>
      <w:bookmarkEnd w:id="121"/>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1"/>
        <w:rPr>
          <w:rFonts w:hint="eastAsia" w:ascii="CESI楷体-GB2312" w:hAnsi="CESI楷体-GB2312" w:eastAsia="CESI楷体-GB2312" w:cs="CESI楷体-GB2312"/>
          <w:color w:val="auto"/>
          <w:sz w:val="32"/>
          <w:szCs w:val="32"/>
          <w:highlight w:val="none"/>
        </w:rPr>
      </w:pPr>
      <w:bookmarkStart w:id="122" w:name="_Toc12492"/>
      <w:bookmarkStart w:id="123" w:name="_Toc1394685038"/>
      <w:r>
        <w:rPr>
          <w:rFonts w:hint="eastAsia" w:ascii="仿宋_GB2312" w:hAnsi="仿宋_GB2312" w:eastAsia="仿宋_GB2312" w:cs="方正仿宋_GBK"/>
          <w:color w:val="auto"/>
          <w:sz w:val="32"/>
          <w:szCs w:val="32"/>
          <w:highlight w:val="none"/>
          <w:lang w:eastAsia="zh-CN"/>
        </w:rPr>
        <w:t>县市场监督管理局会同县卫生健康委员会、县疾病预防控制机构等部门设立县药品安全突发事件应急处置专家库，由相关方面专家组成。药品安全突发事件发生后，根据需要，从上述专家库中遴选相关专家组成专家咨询组，负责应急处置工作的咨询和指导，参与事件调查，向县应急指挥部提出处置工作意见和建议。</w:t>
      </w:r>
      <w:bookmarkEnd w:id="122"/>
      <w:bookmarkEnd w:id="123"/>
    </w:p>
    <w:bookmarkEnd w:id="66"/>
    <w:bookmarkEnd w:id="67"/>
    <w:bookmarkEnd w:id="68"/>
    <w:bookmarkEnd w:id="69"/>
    <w:bookmarkEnd w:id="70"/>
    <w:bookmarkEnd w:id="71"/>
    <w:bookmarkEnd w:id="72"/>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lang w:eastAsia="zh-CN"/>
        </w:rPr>
      </w:pPr>
      <w:bookmarkStart w:id="124" w:name="_Toc31768"/>
      <w:bookmarkStart w:id="125" w:name="_Toc2081166934"/>
      <w:bookmarkStart w:id="126" w:name="_Toc944774785"/>
      <w:bookmarkStart w:id="127" w:name="_Toc828158501"/>
      <w:bookmarkStart w:id="128" w:name="_Toc1079221862"/>
      <w:bookmarkStart w:id="129" w:name="_Toc1758824171"/>
      <w:bookmarkStart w:id="130" w:name="_Toc1233453733"/>
      <w:bookmarkStart w:id="131" w:name="_Toc614922414"/>
      <w:r>
        <w:rPr>
          <w:rFonts w:hint="eastAsia" w:ascii="仿宋_GB2312" w:hAnsi="仿宋_GB2312" w:eastAsia="仿宋_GB2312" w:cs="仿宋_GB2312"/>
          <w:color w:val="auto"/>
          <w:sz w:val="32"/>
          <w:szCs w:val="32"/>
          <w:highlight w:val="none"/>
        </w:rPr>
        <w:t>3  监测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预警</w:t>
      </w:r>
      <w:r>
        <w:rPr>
          <w:rFonts w:hint="eastAsia" w:ascii="仿宋_GB2312" w:hAnsi="仿宋_GB2312" w:eastAsia="仿宋_GB2312" w:cs="仿宋_GB2312"/>
          <w:color w:val="auto"/>
          <w:sz w:val="32"/>
          <w:szCs w:val="32"/>
          <w:highlight w:val="none"/>
          <w:lang w:eastAsia="zh-CN"/>
        </w:rPr>
        <w:t>、报告</w:t>
      </w:r>
      <w:bookmarkEnd w:id="124"/>
      <w:bookmarkEnd w:id="125"/>
      <w:bookmarkEnd w:id="126"/>
      <w:bookmarkEnd w:id="127"/>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rPr>
      </w:pPr>
      <w:bookmarkStart w:id="132" w:name="_Toc780413284"/>
      <w:bookmarkStart w:id="133" w:name="_Toc98096947"/>
      <w:bookmarkStart w:id="134" w:name="_Toc443263515"/>
      <w:bookmarkStart w:id="135" w:name="_Toc972"/>
      <w:bookmarkStart w:id="136" w:name="_Toc647191996"/>
      <w:bookmarkStart w:id="137" w:name="_Toc1459281476"/>
      <w:bookmarkStart w:id="138" w:name="_Toc1824308149"/>
      <w:bookmarkStart w:id="139" w:name="_Toc1995882967"/>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  监测</w:t>
      </w:r>
      <w:bookmarkEnd w:id="132"/>
      <w:bookmarkEnd w:id="133"/>
      <w:bookmarkEnd w:id="134"/>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县市场监督管理局、县卫生健康委员会按照相关法律法规规章要求，分别做好日常药品不良反应</w:t>
      </w:r>
      <w:r>
        <w:rPr>
          <w:rFonts w:hint="eastAsia" w:ascii="仿宋_GB2312" w:hAnsi="仿宋_GB2312" w:eastAsia="仿宋_GB2312" w:cs="方正仿宋_GBK"/>
          <w:color w:val="auto"/>
          <w:sz w:val="32"/>
          <w:szCs w:val="32"/>
          <w:highlight w:val="none"/>
          <w:lang w:val="en-US" w:eastAsia="zh-CN"/>
        </w:rPr>
        <w:t>/事件</w:t>
      </w:r>
      <w:r>
        <w:rPr>
          <w:rFonts w:hint="eastAsia" w:ascii="仿宋_GB2312" w:hAnsi="仿宋_GB2312" w:eastAsia="仿宋_GB2312" w:cs="方正仿宋_GBK"/>
          <w:color w:val="auto"/>
          <w:sz w:val="32"/>
          <w:szCs w:val="32"/>
          <w:highlight w:val="none"/>
          <w:lang w:eastAsia="zh-CN"/>
        </w:rPr>
        <w:t>监测工作，切实做到早发现、早报告、早评价、早控制。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rPr>
      </w:pPr>
      <w:bookmarkStart w:id="140" w:name="_Toc350243602"/>
      <w:bookmarkStart w:id="141" w:name="_Toc27442587"/>
      <w:bookmarkStart w:id="142" w:name="_Toc1558648580"/>
      <w:bookmarkStart w:id="143" w:name="_Toc2071"/>
      <w:bookmarkStart w:id="144" w:name="_Toc407395833"/>
      <w:bookmarkStart w:id="145" w:name="_Toc1317879402"/>
      <w:bookmarkStart w:id="146" w:name="_Toc262784622"/>
      <w:bookmarkStart w:id="147" w:name="_Toc1585370457"/>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  预警</w:t>
      </w:r>
      <w:bookmarkEnd w:id="140"/>
      <w:bookmarkEnd w:id="141"/>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县市场监督管理局、县卫生健康委员会根据监测信息对行政区域内药品安全突发事件相关危险因素进行分析，对可能危害公众健康的风险因素、风险级别、影响范围、紧急程度和可能存在的危害提出分析评估意见，及时采取预警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根据可能发生的事件的特点和造成的危害，采取以下相应措施：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1.做好启动应急响应的准备；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2.组织加强对事件发展情况的动态监测，及时组织相关部门对相关信息进行分析评估；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3.组织开展突发事件应急处置工作；</w:t>
      </w:r>
    </w:p>
    <w:p>
      <w:pPr>
        <w:autoSpaceDE/>
        <w:autoSpaceDN/>
        <w:adjustRightInd/>
        <w:ind w:firstLine="632" w:firstLineChars="200"/>
        <w:rPr>
          <w:rFonts w:hint="eastAsia"/>
          <w:color w:val="auto"/>
          <w:highlight w:val="none"/>
          <w:lang w:val="en-US" w:eastAsia="zh-CN"/>
        </w:rPr>
      </w:pPr>
      <w:r>
        <w:rPr>
          <w:rFonts w:hint="eastAsia" w:ascii="仿宋_GB2312" w:hAnsi="仿宋_GB2312" w:eastAsia="仿宋_GB2312" w:cs="方正仿宋_GBK"/>
          <w:color w:val="auto"/>
          <w:sz w:val="32"/>
          <w:szCs w:val="32"/>
          <w:highlight w:val="none"/>
          <w:lang w:val="en-US" w:eastAsia="zh-CN"/>
        </w:rPr>
        <w:t>4.向社会发布所涉及药品警示信息，开展相关科普宣传，公布咨询电话；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5.向有关部门进行预警提示；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6.其他。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lang w:eastAsia="zh-CN"/>
        </w:rPr>
      </w:pPr>
      <w:bookmarkStart w:id="148" w:name="_Toc929475426"/>
      <w:bookmarkStart w:id="149" w:name="_Toc507312664"/>
      <w:bookmarkStart w:id="150" w:name="_Toc1928885958"/>
      <w:bookmarkStart w:id="151" w:name="_Toc24689"/>
      <w:bookmarkStart w:id="152" w:name="_Toc294066345"/>
      <w:bookmarkStart w:id="153" w:name="_Toc566867744"/>
      <w:bookmarkStart w:id="154" w:name="_Toc379090821"/>
      <w:bookmarkStart w:id="155" w:name="_Toc1146062394"/>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报告</w:t>
      </w:r>
      <w:bookmarkEnd w:id="148"/>
      <w:bookmarkEnd w:id="149"/>
      <w:bookmarkEnd w:id="150"/>
      <w:bookmarkEnd w:id="151"/>
      <w:bookmarkEnd w:id="152"/>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任何单位和个人均有权向各级人民政府及药品监管部门报告药品安全突发事件及其隐患。任何单位和个人对药品安全突发事件不得瞒报、缓报、谎报或授意指使他人瞒报、缓报、谎报。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lang w:eastAsia="zh-CN"/>
        </w:rPr>
      </w:pPr>
      <w:bookmarkStart w:id="156" w:name="_Toc541004700"/>
      <w:bookmarkStart w:id="157" w:name="_Toc727951396"/>
      <w:bookmarkStart w:id="158" w:name="_Toc1836894740"/>
      <w:bookmarkStart w:id="159" w:name="_Toc1727831590"/>
      <w:bookmarkStart w:id="160" w:name="_Toc289069672"/>
      <w:bookmarkStart w:id="161" w:name="_Toc931971660"/>
      <w:bookmarkStart w:id="162" w:name="_Toc16739"/>
      <w:bookmarkStart w:id="163" w:name="_Toc91540071"/>
      <w:r>
        <w:rPr>
          <w:rFonts w:hint="eastAsia" w:ascii="仿宋_GB2312" w:hAnsi="仿宋_GB2312" w:eastAsia="仿宋_GB2312" w:cs="仿宋_GB2312"/>
          <w:color w:val="auto"/>
          <w:sz w:val="32"/>
          <w:szCs w:val="32"/>
          <w:highlight w:val="none"/>
          <w:lang w:eastAsia="zh-CN"/>
        </w:rPr>
        <w:t>3.3.1报告责任主体</w:t>
      </w:r>
      <w:bookmarkEnd w:id="156"/>
      <w:bookmarkEnd w:id="157"/>
      <w:bookmarkEnd w:id="158"/>
      <w:bookmarkEnd w:id="159"/>
      <w:bookmarkEnd w:id="160"/>
      <w:bookmarkEnd w:id="161"/>
      <w:bookmarkEnd w:id="162"/>
      <w:bookmarkEnd w:id="16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（1）发生药品安全突发事件的医疗卫生机构，药品上市许可持有人、注册人、备案人，药品生产经营企业、使用单位；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（2）药品不良反应监测机构；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（3）药品监管</w:t>
      </w:r>
      <w:r>
        <w:rPr>
          <w:rFonts w:hint="eastAsia" w:ascii="仿宋_GB2312" w:hAnsi="仿宋_GB2312" w:eastAsia="仿宋_GB2312" w:cs="方正仿宋_GBK"/>
          <w:strike w:val="0"/>
          <w:dstrike w:val="0"/>
          <w:color w:val="auto"/>
          <w:sz w:val="32"/>
          <w:szCs w:val="32"/>
          <w:highlight w:val="none"/>
          <w:lang w:eastAsia="zh-CN"/>
        </w:rPr>
        <w:t>部门</w:t>
      </w:r>
      <w:r>
        <w:rPr>
          <w:rFonts w:hint="eastAsia" w:ascii="仿宋_GB2312" w:hAnsi="仿宋_GB2312" w:eastAsia="仿宋_GB2312"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（4）卫生健康部门；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5</w:t>
      </w:r>
      <w:r>
        <w:rPr>
          <w:rFonts w:hint="eastAsia" w:ascii="仿宋_GB2312" w:hAnsi="仿宋_GB2312" w:eastAsia="仿宋_GB2312" w:cs="方正仿宋_GBK"/>
          <w:color w:val="auto"/>
          <w:sz w:val="32"/>
          <w:szCs w:val="32"/>
          <w:highlight w:val="none"/>
          <w:lang w:eastAsia="zh-CN"/>
        </w:rPr>
        <w:t>）药品检验检测机构；</w:t>
      </w:r>
    </w:p>
    <w:p>
      <w:pPr>
        <w:pStyle w:val="12"/>
        <w:ind w:firstLine="632" w:firstLineChars="200"/>
        <w:rPr>
          <w:rFonts w:hint="eastAsia"/>
          <w:color w:val="auto"/>
          <w:highlight w:val="none"/>
          <w:lang w:eastAsia="zh-CN"/>
        </w:rPr>
      </w:pPr>
      <w:r>
        <w:rPr>
          <w:rFonts w:hint="eastAsia" w:ascii="仿宋_GB2312" w:hAnsi="仿宋_GB2312" w:cs="方正仿宋_GBK"/>
          <w:color w:val="auto"/>
          <w:sz w:val="32"/>
          <w:szCs w:val="32"/>
          <w:highlight w:val="none"/>
          <w:lang w:eastAsia="zh-CN"/>
        </w:rPr>
        <w:t>（</w:t>
      </w:r>
      <w:r>
        <w:rPr>
          <w:rFonts w:hint="eastAsia" w:ascii="仿宋_GB2312" w:hAnsi="仿宋_GB2312" w:cs="方正仿宋_GBK"/>
          <w:color w:val="auto"/>
          <w:sz w:val="32"/>
          <w:szCs w:val="32"/>
          <w:highlight w:val="none"/>
          <w:lang w:val="en-US" w:eastAsia="zh-CN"/>
        </w:rPr>
        <w:t>6</w:t>
      </w:r>
      <w:r>
        <w:rPr>
          <w:rFonts w:hint="eastAsia" w:ascii="仿宋_GB2312" w:hAnsi="仿宋_GB2312" w:cs="方正仿宋_GBK"/>
          <w:color w:val="auto"/>
          <w:sz w:val="32"/>
          <w:szCs w:val="32"/>
          <w:highlight w:val="none"/>
          <w:lang w:eastAsia="zh-CN"/>
        </w:rPr>
        <w:t>）事发地人民政府；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7</w:t>
      </w:r>
      <w:r>
        <w:rPr>
          <w:rFonts w:hint="eastAsia" w:ascii="仿宋_GB2312" w:hAnsi="仿宋_GB2312" w:eastAsia="仿宋_GB2312" w:cs="方正仿宋_GBK"/>
          <w:color w:val="auto"/>
          <w:sz w:val="32"/>
          <w:szCs w:val="32"/>
          <w:highlight w:val="none"/>
          <w:lang w:eastAsia="zh-CN"/>
        </w:rPr>
        <w:t>）鼓励其他单位和个人向各级人民政府或各级药品监管部门报告药品安全突发事件的发生情况。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lang w:eastAsia="zh-CN"/>
        </w:rPr>
      </w:pPr>
      <w:bookmarkStart w:id="164" w:name="_Toc873193604"/>
      <w:bookmarkStart w:id="165" w:name="_Toc103020156"/>
      <w:bookmarkStart w:id="166" w:name="_Toc916177805"/>
      <w:bookmarkStart w:id="167" w:name="_Toc21374"/>
      <w:bookmarkStart w:id="168" w:name="_Toc411313141"/>
      <w:bookmarkStart w:id="169" w:name="_Toc381695778"/>
      <w:bookmarkStart w:id="170" w:name="_Toc1286357507"/>
      <w:bookmarkStart w:id="171" w:name="_Toc1188678624"/>
      <w:r>
        <w:rPr>
          <w:rFonts w:hint="eastAsia" w:ascii="仿宋_GB2312" w:hAnsi="仿宋_GB2312" w:eastAsia="仿宋_GB2312" w:cs="仿宋_GB2312"/>
          <w:color w:val="auto"/>
          <w:sz w:val="32"/>
          <w:szCs w:val="32"/>
          <w:highlight w:val="none"/>
          <w:lang w:eastAsia="zh-CN"/>
        </w:rPr>
        <w:t>3.3.2报告程序和时限</w:t>
      </w:r>
      <w:bookmarkEnd w:id="164"/>
      <w:bookmarkEnd w:id="165"/>
      <w:bookmarkEnd w:id="166"/>
      <w:bookmarkEnd w:id="167"/>
      <w:bookmarkEnd w:id="168"/>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按照由下至上逐级报告的原则，各责任主体应及时报告药品安全突发事件，紧急情况可同时越级报告。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1</w:t>
      </w:r>
      <w:r>
        <w:rPr>
          <w:rFonts w:hint="eastAsia" w:ascii="仿宋_GB2312" w:hAnsi="仿宋_GB2312" w:eastAsia="仿宋_GB2312" w:cs="方正仿宋_GBK"/>
          <w:color w:val="auto"/>
          <w:sz w:val="32"/>
          <w:szCs w:val="32"/>
          <w:highlight w:val="none"/>
          <w:lang w:eastAsia="zh-CN"/>
        </w:rPr>
        <w:t>）药品生产经营企业、医疗卫生机构等责任报告单位及其责任报告人发现或获知药品安全突发事件，应当立即如实向县市场监督管理局报告。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2</w:t>
      </w:r>
      <w:r>
        <w:rPr>
          <w:rFonts w:hint="eastAsia" w:ascii="仿宋_GB2312" w:hAnsi="仿宋_GB2312" w:eastAsia="仿宋_GB2312" w:cs="方正仿宋_GBK"/>
          <w:color w:val="auto"/>
          <w:sz w:val="32"/>
          <w:szCs w:val="32"/>
          <w:highlight w:val="none"/>
          <w:lang w:eastAsia="zh-CN"/>
        </w:rPr>
        <w:t>）县市场监督管理局在接到报告后应当立即组织有监管职责的相关部门与有关单位人员赴现场调查核实事件情况，研判事件发展趋势，对研判为</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eastAsia="zh-CN"/>
        </w:rPr>
        <w:t>级或Ⅳ级药品安全突发事件的，应在30分钟内电话报告、1小时内书面上报省药监局和县人民政府</w:t>
      </w:r>
      <w:r>
        <w:rPr>
          <w:rFonts w:hint="eastAsia" w:ascii="仿宋_GB2312" w:hAnsi="仿宋_GB2312" w:eastAsia="仿宋_GB2312" w:cs="方正仿宋_GBK"/>
          <w:color w:val="auto"/>
          <w:sz w:val="32"/>
          <w:szCs w:val="32"/>
          <w:highlight w:val="none"/>
          <w:lang w:val="en-US" w:eastAsia="zh-CN"/>
        </w:rPr>
        <w:t>；</w:t>
      </w:r>
      <w:r>
        <w:rPr>
          <w:rFonts w:hint="eastAsia" w:ascii="仿宋_GB2312" w:hAnsi="仿宋_GB2312" w:eastAsia="仿宋_GB2312" w:cs="方正仿宋_GBK"/>
          <w:color w:val="auto"/>
          <w:sz w:val="32"/>
          <w:szCs w:val="32"/>
          <w:highlight w:val="none"/>
          <w:lang w:eastAsia="zh-CN"/>
        </w:rPr>
        <w:t>对研判为Ⅱ级或Ⅰ级药品安全突发事件的，应在30分钟内电话报告、1小时内书面上报省药监局和县人民政府，接到报告的县人民政府应当立即如实向省人民政府报告，最迟不得超过1小时</w:t>
      </w:r>
      <w:r>
        <w:rPr>
          <w:rFonts w:hint="eastAsia" w:ascii="仿宋_GB2312" w:hAnsi="仿宋_GB2312" w:eastAsia="仿宋_GB2312" w:cs="方正仿宋_GBK"/>
          <w:color w:val="auto"/>
          <w:sz w:val="32"/>
          <w:szCs w:val="32"/>
          <w:highlight w:val="none"/>
          <w:lang w:val="en-US" w:eastAsia="zh-CN"/>
        </w:rPr>
        <w:t>。</w:t>
      </w:r>
    </w:p>
    <w:p>
      <w:pPr>
        <w:pStyle w:val="12"/>
        <w:rPr>
          <w:rFonts w:hint="default"/>
          <w:color w:val="auto"/>
          <w:highlight w:val="none"/>
          <w:lang w:val="en-US" w:eastAsia="zh-CN"/>
        </w:rPr>
      </w:pPr>
      <w:r>
        <w:rPr>
          <w:rFonts w:hint="eastAsia" w:ascii="仿宋_GB2312" w:hAnsi="仿宋_GB2312" w:cs="方正仿宋_GBK"/>
          <w:color w:val="auto"/>
          <w:sz w:val="32"/>
          <w:szCs w:val="32"/>
          <w:highlight w:val="none"/>
          <w:lang w:val="en-US" w:eastAsia="zh-CN"/>
        </w:rPr>
        <w:t xml:space="preserve">    （3）因情况特殊，难以在1小时内报书面报告的，必须在30分钟内向县人民政府总值班室口头报告并说明原因，书面报告时间最迟不得超过2小时。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4</w:t>
      </w:r>
      <w:r>
        <w:rPr>
          <w:rFonts w:hint="eastAsia" w:ascii="仿宋_GB2312" w:hAnsi="仿宋_GB2312" w:eastAsia="仿宋_GB2312" w:cs="方正仿宋_GBK"/>
          <w:color w:val="auto"/>
          <w:sz w:val="32"/>
          <w:szCs w:val="32"/>
          <w:highlight w:val="none"/>
          <w:lang w:eastAsia="zh-CN"/>
        </w:rPr>
        <w:t>）涉及特殊药品滥用的事件，县市场监督管理局和县公安局应分别向上级主管部门报告。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u w:val="none" w:color="auto"/>
          <w:lang w:eastAsia="zh-CN"/>
        </w:rPr>
      </w:pPr>
      <w:r>
        <w:rPr>
          <w:rFonts w:hint="eastAsia" w:ascii="仿宋_GB2312" w:hAnsi="仿宋_GB2312" w:eastAsia="仿宋_GB2312" w:cs="方正仿宋_GBK"/>
          <w:color w:val="auto"/>
          <w:sz w:val="32"/>
          <w:szCs w:val="32"/>
          <w:highlight w:val="none"/>
          <w:u w:val="none" w:color="auto"/>
          <w:lang w:val="en-US" w:eastAsia="zh-CN"/>
        </w:rPr>
        <w:t>（5）对重要敏感时段，涉及敏感人群，或事件本身比较敏感的，或社会舆论广泛关注的热点、焦点事件信息，不受事件分级标准限制，一律第一时间报告。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lang w:eastAsia="zh-CN"/>
        </w:rPr>
      </w:pPr>
      <w:bookmarkStart w:id="172" w:name="_Toc789834771"/>
      <w:bookmarkStart w:id="173" w:name="_Toc886917565"/>
      <w:bookmarkStart w:id="174" w:name="_Toc25995"/>
      <w:bookmarkStart w:id="175" w:name="_Toc1844485278"/>
      <w:bookmarkStart w:id="176" w:name="_Toc979999225"/>
      <w:bookmarkStart w:id="177" w:name="_Toc24321287"/>
      <w:bookmarkStart w:id="178" w:name="_Toc141182648"/>
      <w:bookmarkStart w:id="179" w:name="_Toc1553682981"/>
      <w:r>
        <w:rPr>
          <w:rFonts w:hint="eastAsia" w:ascii="仿宋_GB2312" w:hAnsi="仿宋_GB2312" w:eastAsia="仿宋_GB2312" w:cs="仿宋_GB2312"/>
          <w:color w:val="auto"/>
          <w:sz w:val="32"/>
          <w:szCs w:val="32"/>
          <w:highlight w:val="none"/>
          <w:lang w:eastAsia="zh-CN"/>
        </w:rPr>
        <w:t>3.3.3报告内容</w:t>
      </w:r>
      <w:bookmarkEnd w:id="172"/>
      <w:bookmarkEnd w:id="173"/>
      <w:bookmarkEnd w:id="174"/>
      <w:bookmarkEnd w:id="175"/>
      <w:bookmarkEnd w:id="176"/>
      <w:bookmarkEnd w:id="177"/>
      <w:bookmarkEnd w:id="178"/>
      <w:bookmarkEnd w:id="179"/>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信息报告分为初报、续报、终报和核报。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初报内容主要包括：信息来源、事件发生时间地点、当前状况（建议明确死亡人数、重症人数、疑似人数；可能涉事产品、企业信息等）、危害程度、先期处置、发展趋势研判、报告单位、联络员和通讯方式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续报内容主要包括：事件进展、发展趋势、后续应对措施、调查详情、原因分析等信息。Ⅰ级、Ⅱ级、</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eastAsia="zh-CN"/>
        </w:rPr>
        <w:t>级药品安全突发事件每天至少上报</w:t>
      </w:r>
      <w:r>
        <w:rPr>
          <w:rFonts w:hint="eastAsia" w:ascii="仿宋_GB2312" w:hAnsi="仿宋_GB2312" w:eastAsia="仿宋_GB2312" w:cs="方正仿宋_GBK"/>
          <w:color w:val="auto"/>
          <w:sz w:val="32"/>
          <w:szCs w:val="32"/>
          <w:highlight w:val="none"/>
          <w:lang w:val="en-US" w:eastAsia="zh-CN"/>
        </w:rPr>
        <w:t>1次信息。在处置过程中取得重大进展或可确定关键性信息的，应在24小时内</w:t>
      </w:r>
      <w:r>
        <w:rPr>
          <w:rFonts w:hint="eastAsia" w:ascii="仿宋_GB2312" w:hAnsi="仿宋_GB2312" w:eastAsia="仿宋_GB2312" w:cs="方正仿宋_GBK"/>
          <w:color w:val="auto"/>
          <w:sz w:val="32"/>
          <w:szCs w:val="32"/>
          <w:highlight w:val="none"/>
          <w:lang w:eastAsia="zh-CN"/>
        </w:rPr>
        <w:t>上报进展情况。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终报内容主要包括：事件概况、调查处理过程、事件性质、影响因素、责任认定、追溯或处置结果、整改措施、监管措施完善建议等，应在药品安全突发事件处置结束后</w:t>
      </w:r>
      <w:r>
        <w:rPr>
          <w:rFonts w:hint="eastAsia" w:ascii="仿宋_GB2312" w:hAnsi="仿宋_GB2312" w:eastAsia="仿宋_GB2312" w:cs="方正仿宋_GBK"/>
          <w:color w:val="auto"/>
          <w:sz w:val="32"/>
          <w:szCs w:val="32"/>
          <w:highlight w:val="none"/>
          <w:lang w:val="en-US" w:eastAsia="zh-CN"/>
        </w:rPr>
        <w:t>7个工作日内上报</w:t>
      </w:r>
      <w:r>
        <w:rPr>
          <w:rFonts w:hint="eastAsia" w:ascii="仿宋_GB2312" w:hAnsi="仿宋_GB2312" w:eastAsia="仿宋_GB2312"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核报内容主要包括：上级单位要求核实的信息，原则上对要求核报的信息要及时反馈。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2"/>
        <w:rPr>
          <w:rFonts w:hint="eastAsia" w:ascii="仿宋_GB2312" w:hAnsi="仿宋_GB2312" w:eastAsia="仿宋_GB2312" w:cs="方正仿宋_GBK"/>
          <w:color w:val="auto"/>
          <w:sz w:val="32"/>
          <w:szCs w:val="32"/>
          <w:highlight w:val="none"/>
          <w:lang w:eastAsia="zh-CN"/>
        </w:rPr>
      </w:pPr>
      <w:bookmarkStart w:id="180" w:name="_Toc1199563069"/>
      <w:bookmarkStart w:id="181" w:name="_Toc24756"/>
      <w:bookmarkStart w:id="182" w:name="_Toc382684638"/>
      <w:bookmarkStart w:id="183" w:name="_Toc505366041"/>
      <w:bookmarkStart w:id="184" w:name="_Toc484897427"/>
      <w:bookmarkStart w:id="185" w:name="_Toc1296895867"/>
      <w:bookmarkStart w:id="186" w:name="_Toc1047363"/>
      <w:bookmarkStart w:id="187" w:name="_Toc2120874645"/>
      <w:r>
        <w:rPr>
          <w:rFonts w:hint="eastAsia" w:ascii="仿宋_GB2312" w:hAnsi="仿宋_GB2312" w:eastAsia="仿宋_GB2312" w:cs="方正仿宋_GBK"/>
          <w:color w:val="auto"/>
          <w:sz w:val="32"/>
          <w:szCs w:val="32"/>
          <w:highlight w:val="none"/>
          <w:lang w:eastAsia="zh-CN"/>
        </w:rPr>
        <w:t>3.3.4报告形式</w:t>
      </w:r>
      <w:bookmarkEnd w:id="180"/>
      <w:bookmarkEnd w:id="181"/>
      <w:bookmarkEnd w:id="182"/>
      <w:bookmarkEnd w:id="183"/>
      <w:bookmarkEnd w:id="184"/>
      <w:bookmarkEnd w:id="185"/>
      <w:bookmarkEnd w:id="186"/>
      <w:bookmarkEnd w:id="187"/>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事件信息报告一般采取书面形式报送，紧急情况下可通过电话、网络形式报告，后续及时报送相关书面材料。报告时应确保信息核实无误，涉密信息的报告按保密有关规定处理。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lang w:eastAsia="zh-CN"/>
        </w:rPr>
      </w:pPr>
      <w:bookmarkStart w:id="188" w:name="_Toc1860647603"/>
      <w:bookmarkStart w:id="189" w:name="_Toc31738"/>
      <w:bookmarkStart w:id="190" w:name="_Toc436391526"/>
      <w:bookmarkStart w:id="191" w:name="_Toc1085088496"/>
      <w:bookmarkStart w:id="192" w:name="_Toc801363296"/>
      <w:bookmarkStart w:id="193" w:name="_Toc1564107471"/>
      <w:bookmarkStart w:id="194" w:name="_Toc1363539668"/>
      <w:bookmarkStart w:id="195" w:name="_Toc1623287186"/>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应急响应和终止</w:t>
      </w:r>
      <w:bookmarkEnd w:id="188"/>
      <w:bookmarkEnd w:id="189"/>
      <w:bookmarkEnd w:id="190"/>
      <w:bookmarkEnd w:id="191"/>
      <w:bookmarkEnd w:id="192"/>
      <w:bookmarkEnd w:id="193"/>
      <w:bookmarkEnd w:id="194"/>
      <w:bookmarkEnd w:id="195"/>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lang w:eastAsia="zh-CN"/>
        </w:rPr>
      </w:pPr>
      <w:bookmarkStart w:id="196" w:name="_Toc1281424654"/>
      <w:bookmarkStart w:id="197" w:name="_Toc188521906"/>
      <w:bookmarkStart w:id="198" w:name="_Toc1893157919"/>
      <w:bookmarkStart w:id="199" w:name="_Toc1385567930"/>
      <w:bookmarkStart w:id="200" w:name="_Toc770012125"/>
      <w:bookmarkStart w:id="201" w:name="_Toc1986789137"/>
      <w:bookmarkStart w:id="202" w:name="_Toc25052"/>
      <w:bookmarkStart w:id="203" w:name="_Toc1806213782"/>
      <w:r>
        <w:rPr>
          <w:rFonts w:hint="eastAsia" w:ascii="仿宋_GB2312" w:hAnsi="仿宋_GB2312" w:eastAsia="仿宋_GB2312" w:cs="仿宋_GB2312"/>
          <w:color w:val="auto"/>
          <w:sz w:val="32"/>
          <w:szCs w:val="32"/>
          <w:highlight w:val="none"/>
          <w:lang w:eastAsia="zh-CN"/>
        </w:rPr>
        <w:t>4.1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事发地先期处置</w:t>
      </w:r>
      <w:bookmarkEnd w:id="196"/>
      <w:bookmarkEnd w:id="197"/>
      <w:bookmarkEnd w:id="198"/>
      <w:bookmarkEnd w:id="199"/>
      <w:bookmarkEnd w:id="200"/>
      <w:bookmarkEnd w:id="201"/>
      <w:bookmarkEnd w:id="202"/>
      <w:bookmarkEnd w:id="20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药品安全突发事件发生后，在事件性质尚不明确的情况下，各镇、各部门在报告突发事件信息的同时，开展患者救治、舆情应对、药品不良反应监测、产品控制、事件原因调查、封存相关患者病历资料等工作；根据情况可对相关药品采取暂停销售、使用等紧急控制措施，对相关产品进行抽验，对相关产品经营企业、使用单位进行现场调查，涉及省药监局监管事权的应立即报告省药监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lang w:eastAsia="zh-CN"/>
        </w:rPr>
      </w:pPr>
      <w:bookmarkStart w:id="204" w:name="_Toc1783013155"/>
      <w:bookmarkStart w:id="205" w:name="_Toc105770221"/>
      <w:bookmarkStart w:id="206" w:name="_Toc1272015165"/>
      <w:bookmarkStart w:id="207" w:name="_Toc12106"/>
      <w:bookmarkStart w:id="208" w:name="_Toc1006222987"/>
      <w:bookmarkStart w:id="209" w:name="_Toc1914066943"/>
      <w:bookmarkStart w:id="210" w:name="_Toc853136222"/>
      <w:bookmarkStart w:id="211" w:name="_Toc1844290535"/>
      <w:r>
        <w:rPr>
          <w:rFonts w:hint="eastAsia" w:ascii="仿宋_GB2312" w:hAnsi="仿宋_GB2312" w:eastAsia="仿宋_GB2312" w:cs="仿宋_GB2312"/>
          <w:color w:val="auto"/>
          <w:sz w:val="32"/>
          <w:szCs w:val="32"/>
          <w:highlight w:val="none"/>
          <w:lang w:eastAsia="zh-CN"/>
        </w:rPr>
        <w:t>4.2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应急响应措施</w:t>
      </w:r>
      <w:bookmarkEnd w:id="204"/>
      <w:bookmarkEnd w:id="205"/>
      <w:bookmarkEnd w:id="206"/>
      <w:bookmarkEnd w:id="207"/>
      <w:bookmarkEnd w:id="208"/>
      <w:bookmarkEnd w:id="209"/>
      <w:bookmarkEnd w:id="210"/>
      <w:bookmarkEnd w:id="211"/>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药品安全突发事件的应急响应分为特别重大（Ⅰ级）、重大（Ⅱ级）、较大（</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eastAsia="zh-CN"/>
        </w:rPr>
        <w:t>级）、一般（Ⅳ级）四个等级。按照统一领导、属地管理、分级负责的原则，药品安全突发事件发生后，Ⅰ级、Ⅱ级应急响应分别由国家</w:t>
      </w:r>
      <w:r>
        <w:rPr>
          <w:rFonts w:hint="eastAsia" w:ascii="仿宋_GB2312" w:hAnsi="仿宋_GB2312" w:eastAsia="仿宋_GB2312" w:cs="方正仿宋_GBK"/>
          <w:strike w:val="0"/>
          <w:dstrike w:val="0"/>
          <w:color w:val="auto"/>
          <w:sz w:val="32"/>
          <w:szCs w:val="32"/>
          <w:highlight w:val="none"/>
          <w:lang w:eastAsia="zh-CN"/>
        </w:rPr>
        <w:t>药监局</w:t>
      </w:r>
      <w:r>
        <w:rPr>
          <w:rFonts w:hint="eastAsia" w:ascii="仿宋_GB2312" w:hAnsi="仿宋_GB2312" w:eastAsia="仿宋_GB2312" w:cs="方正仿宋_GBK"/>
          <w:color w:val="auto"/>
          <w:sz w:val="32"/>
          <w:szCs w:val="32"/>
          <w:highlight w:val="none"/>
          <w:lang w:eastAsia="zh-CN"/>
        </w:rPr>
        <w:t>、省人民政府启动并组织实施，</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eastAsia="zh-CN"/>
        </w:rPr>
        <w:t>级、Ⅳ级应急响应由县人民政府根据实际确定启动，县应急指挥部组织实施。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lang w:eastAsia="zh-CN"/>
        </w:rPr>
      </w:pPr>
      <w:bookmarkStart w:id="212" w:name="_Toc663244083"/>
      <w:bookmarkStart w:id="213" w:name="_Toc1528510942"/>
      <w:bookmarkStart w:id="214" w:name="_Toc5938"/>
      <w:bookmarkStart w:id="215" w:name="_Toc1580025670"/>
      <w:bookmarkStart w:id="216" w:name="_Toc1244282990"/>
      <w:bookmarkStart w:id="217" w:name="_Toc1630717777"/>
      <w:bookmarkStart w:id="218" w:name="_Toc572440745"/>
      <w:bookmarkStart w:id="219" w:name="_Toc1712096032"/>
      <w:r>
        <w:rPr>
          <w:rFonts w:hint="eastAsia" w:ascii="仿宋_GB2312" w:hAnsi="仿宋_GB2312" w:eastAsia="仿宋_GB2312" w:cs="仿宋_GB2312"/>
          <w:color w:val="auto"/>
          <w:sz w:val="32"/>
          <w:szCs w:val="32"/>
          <w:highlight w:val="none"/>
          <w:lang w:eastAsia="zh-CN"/>
        </w:rPr>
        <w:t>4.2.1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Ⅰ级、Ⅱ级药品安全事件应急响应</w:t>
      </w:r>
      <w:bookmarkEnd w:id="212"/>
      <w:bookmarkEnd w:id="213"/>
      <w:bookmarkEnd w:id="214"/>
      <w:bookmarkEnd w:id="215"/>
      <w:bookmarkEnd w:id="216"/>
      <w:bookmarkEnd w:id="217"/>
      <w:bookmarkEnd w:id="218"/>
      <w:bookmarkEnd w:id="219"/>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当药品安全突发事件达到Ⅰ级、Ⅱ级标准或</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eastAsia="zh-CN"/>
        </w:rPr>
        <w:t>级事件有进一步升级为Ⅱ级趋势时，在</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eastAsia="zh-CN"/>
        </w:rPr>
        <w:t>级药品安全突发事件应急响应的基础上，县应急指挥部还应采取以下应对措施：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（1）建立日报告制度。各工作组牵头部门每天将工作进展情况报县应急指挥部，县应急指挥部汇总后报告县人民政府和省药监局。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（2）派出由县应急指挥部负责人带队的工作组赶赴现场，指挥、协调患者救治，开展事件调查，维护社会稳定，做好善后处置等工作。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（3）进一步加强对社会舆情的监测，加强舆论引导，并采取措施，防止大规模群体性事件或极端事件的发生。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lang w:eastAsia="zh-CN"/>
        </w:rPr>
      </w:pPr>
      <w:bookmarkStart w:id="220" w:name="_Toc1080673921"/>
      <w:bookmarkStart w:id="221" w:name="_Toc18068"/>
      <w:bookmarkStart w:id="222" w:name="_Toc294299582"/>
      <w:bookmarkStart w:id="223" w:name="_Toc482161159"/>
      <w:bookmarkStart w:id="224" w:name="_Toc1225700709"/>
      <w:bookmarkStart w:id="225" w:name="_Toc1755623051"/>
      <w:bookmarkStart w:id="226" w:name="_Toc427796443"/>
      <w:bookmarkStart w:id="227" w:name="_Toc2116933777"/>
      <w:r>
        <w:rPr>
          <w:rFonts w:hint="eastAsia" w:ascii="仿宋_GB2312" w:hAnsi="仿宋_GB2312" w:eastAsia="仿宋_GB2312" w:cs="仿宋_GB2312"/>
          <w:color w:val="auto"/>
          <w:sz w:val="32"/>
          <w:szCs w:val="32"/>
          <w:highlight w:val="none"/>
          <w:lang w:eastAsia="zh-CN"/>
        </w:rPr>
        <w:t>4.2.2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仿宋_GB2312"/>
          <w:color w:val="auto"/>
          <w:sz w:val="32"/>
          <w:szCs w:val="32"/>
          <w:highlight w:val="none"/>
          <w:lang w:eastAsia="zh-CN"/>
        </w:rPr>
        <w:t>级、Ⅳ级药品安全事件应急响应</w:t>
      </w:r>
      <w:bookmarkEnd w:id="220"/>
      <w:bookmarkEnd w:id="221"/>
      <w:bookmarkEnd w:id="222"/>
      <w:bookmarkEnd w:id="223"/>
      <w:bookmarkEnd w:id="224"/>
      <w:bookmarkEnd w:id="225"/>
      <w:bookmarkEnd w:id="226"/>
      <w:bookmarkEnd w:id="227"/>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当事件达到Ⅲ级或Ⅳ级药品安全事件标准，启动</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eastAsia="zh-CN"/>
        </w:rPr>
        <w:t>级或Ⅳ级应急响应后，县应急指挥部根据事件的性质、类别、危害程度、范围和可控情况，作出如下处置：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（1）召开县应急指挥部会议，成立各应急处置工作组，迅速开展工作，收集、分析、汇总相关情况，紧急部署处置工作。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（2）建立每日会商制度，由综合协调</w:t>
      </w:r>
      <w:r>
        <w:rPr>
          <w:rFonts w:hint="eastAsia" w:ascii="仿宋_GB2312" w:hAnsi="仿宋_GB2312" w:eastAsia="仿宋_GB2312" w:cs="方正仿宋_GBK"/>
          <w:color w:val="auto"/>
          <w:sz w:val="32"/>
          <w:szCs w:val="32"/>
          <w:highlight w:val="none"/>
          <w:lang w:val="en-US" w:eastAsia="zh-CN"/>
        </w:rPr>
        <w:t>组汇总其他工作组每日处置情况，</w:t>
      </w:r>
      <w:r>
        <w:rPr>
          <w:rFonts w:hint="eastAsia" w:ascii="仿宋_GB2312" w:hAnsi="仿宋_GB2312" w:eastAsia="仿宋_GB2312" w:cs="方正仿宋_GBK"/>
          <w:color w:val="auto"/>
          <w:sz w:val="32"/>
          <w:szCs w:val="32"/>
          <w:highlight w:val="none"/>
          <w:lang w:eastAsia="zh-CN"/>
        </w:rPr>
        <w:t>及时向县人民政府和省药监局报告，按照县人民政府和省药监局的指示，全力开展各项处置工作。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（3）根据事件情况，派出工作组到事发地指导处置；县应急指挥部负责人视情况赶赴事发地现场指挥。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（4）组织医疗救治专家赶赴事发地，组织、指导医疗救治工作。必要时，报请省卫生健康委派出医疗专家，赶赴我县指导医疗救治工作。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（5）对事发地和事件所涉药品生产企业均在我县的，及时上报省</w:t>
      </w:r>
      <w:r>
        <w:rPr>
          <w:rFonts w:hint="eastAsia" w:ascii="仿宋_GB2312" w:hAnsi="仿宋_GB2312" w:eastAsia="仿宋_GB2312" w:cs="方正仿宋_GBK"/>
          <w:strike w:val="0"/>
          <w:dstrike w:val="0"/>
          <w:color w:val="auto"/>
          <w:sz w:val="32"/>
          <w:szCs w:val="32"/>
          <w:highlight w:val="none"/>
          <w:lang w:eastAsia="zh-CN"/>
        </w:rPr>
        <w:t>药监局</w:t>
      </w:r>
      <w:r>
        <w:rPr>
          <w:rFonts w:hint="eastAsia" w:ascii="仿宋_GB2312" w:hAnsi="仿宋_GB2312" w:eastAsia="仿宋_GB2312" w:cs="方正仿宋_GBK"/>
          <w:color w:val="auto"/>
          <w:sz w:val="32"/>
          <w:szCs w:val="32"/>
          <w:highlight w:val="none"/>
          <w:lang w:eastAsia="zh-CN"/>
        </w:rPr>
        <w:t>，并通报波及或可能波及的我省其他</w:t>
      </w:r>
      <w:r>
        <w:rPr>
          <w:rFonts w:hint="eastAsia" w:ascii="仿宋_GB2312" w:hAnsi="仿宋_GB2312" w:eastAsia="仿宋_GB2312" w:cs="方正仿宋_GBK"/>
          <w:strike w:val="0"/>
          <w:dstrike w:val="0"/>
          <w:color w:val="auto"/>
          <w:sz w:val="32"/>
          <w:szCs w:val="32"/>
          <w:highlight w:val="none"/>
          <w:lang w:eastAsia="zh-CN"/>
        </w:rPr>
        <w:t>市县</w:t>
      </w:r>
      <w:r>
        <w:rPr>
          <w:rFonts w:hint="eastAsia" w:ascii="仿宋_GB2312" w:hAnsi="仿宋_GB2312" w:eastAsia="仿宋_GB2312" w:cs="方正仿宋_GBK"/>
          <w:color w:val="auto"/>
          <w:sz w:val="32"/>
          <w:szCs w:val="32"/>
          <w:highlight w:val="none"/>
          <w:lang w:eastAsia="zh-CN"/>
        </w:rPr>
        <w:t>市场监督管理局；对事发地在我县，事件所涉药品生产企业在我省其他市县的，及时上报省</w:t>
      </w:r>
      <w:r>
        <w:rPr>
          <w:rFonts w:hint="eastAsia" w:ascii="仿宋_GB2312" w:hAnsi="仿宋_GB2312" w:eastAsia="仿宋_GB2312" w:cs="方正仿宋_GBK"/>
          <w:strike w:val="0"/>
          <w:dstrike w:val="0"/>
          <w:color w:val="auto"/>
          <w:sz w:val="32"/>
          <w:szCs w:val="32"/>
          <w:highlight w:val="none"/>
          <w:lang w:eastAsia="zh-CN"/>
        </w:rPr>
        <w:t>药监局</w:t>
      </w:r>
      <w:r>
        <w:rPr>
          <w:rFonts w:hint="eastAsia" w:ascii="仿宋_GB2312" w:hAnsi="仿宋_GB2312" w:eastAsia="仿宋_GB2312" w:cs="方正仿宋_GBK"/>
          <w:color w:val="auto"/>
          <w:sz w:val="32"/>
          <w:szCs w:val="32"/>
          <w:highlight w:val="none"/>
          <w:lang w:eastAsia="zh-CN"/>
        </w:rPr>
        <w:t>，并通报相关药品生产企业所在地的</w:t>
      </w:r>
      <w:r>
        <w:rPr>
          <w:rFonts w:hint="eastAsia" w:ascii="仿宋_GB2312" w:hAnsi="仿宋_GB2312" w:eastAsia="仿宋_GB2312" w:cs="方正仿宋_GBK"/>
          <w:strike w:val="0"/>
          <w:dstrike w:val="0"/>
          <w:color w:val="auto"/>
          <w:sz w:val="32"/>
          <w:szCs w:val="32"/>
          <w:highlight w:val="none"/>
          <w:lang w:eastAsia="zh-CN"/>
        </w:rPr>
        <w:t>市</w:t>
      </w:r>
      <w:r>
        <w:rPr>
          <w:rFonts w:hint="eastAsia" w:ascii="仿宋_GB2312" w:hAnsi="仿宋_GB2312" w:eastAsia="仿宋_GB2312" w:cs="方正仿宋_GBK"/>
          <w:strike w:val="0"/>
          <w:color w:val="auto"/>
          <w:sz w:val="32"/>
          <w:szCs w:val="32"/>
          <w:highlight w:val="none"/>
          <w:lang w:eastAsia="zh-CN"/>
        </w:rPr>
        <w:t>县</w:t>
      </w:r>
      <w:r>
        <w:rPr>
          <w:rFonts w:hint="eastAsia" w:ascii="仿宋_GB2312" w:hAnsi="仿宋_GB2312" w:eastAsia="仿宋_GB2312" w:cs="方正仿宋_GBK"/>
          <w:color w:val="auto"/>
          <w:sz w:val="32"/>
          <w:szCs w:val="32"/>
          <w:highlight w:val="none"/>
          <w:lang w:eastAsia="zh-CN"/>
        </w:rPr>
        <w:t>市场监督管理局；对事发地在我县，事件所涉药品生产企业在外省（自治区、直辖县）的，及时上报省</w:t>
      </w:r>
      <w:r>
        <w:rPr>
          <w:rFonts w:hint="eastAsia" w:ascii="仿宋_GB2312" w:hAnsi="仿宋_GB2312" w:eastAsia="仿宋_GB2312" w:cs="方正仿宋_GBK"/>
          <w:strike w:val="0"/>
          <w:dstrike w:val="0"/>
          <w:color w:val="auto"/>
          <w:sz w:val="32"/>
          <w:szCs w:val="32"/>
          <w:highlight w:val="none"/>
          <w:lang w:eastAsia="zh-CN"/>
        </w:rPr>
        <w:t>药监局</w:t>
      </w:r>
      <w:r>
        <w:rPr>
          <w:rFonts w:hint="eastAsia" w:ascii="仿宋_GB2312" w:hAnsi="仿宋_GB2312" w:eastAsia="仿宋_GB2312"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（6）核实引发事件药品的品种及生产批号，指导相关部门、医疗机构、生产经营单位和使用单位依法采取封存、溯源、流向追踪、召回等紧急控制措施；组织对相关药品进行监督抽样和应急检验。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（7）赶赴事发地或相关药品生产、经营企业，组织开展事件调查工作。根据调查进展情况，适时组织专家对事件性质、原因进行研判，作出研判结论。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（8）及时向社会发布相关警示信息，设立并对外公布咨询电话；制定新闻报道方案，及时、客观、准确地发布事件信息；密切关注社会及网络舆情，做好舆论引导工作。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（9）密切关注社会动态，做好安抚、信访接访等工作，及时处置因事件引发的群体性事件等，确保社会稳定。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lang w:eastAsia="zh-CN"/>
        </w:rPr>
      </w:pPr>
      <w:bookmarkStart w:id="228" w:name="_Toc362272500"/>
      <w:bookmarkStart w:id="229" w:name="_Toc15376"/>
      <w:bookmarkStart w:id="230" w:name="_Toc1418753680"/>
      <w:bookmarkStart w:id="231" w:name="_Toc1952035830"/>
      <w:bookmarkStart w:id="232" w:name="_Toc1509777262"/>
      <w:bookmarkStart w:id="233" w:name="_Toc1592296563"/>
      <w:bookmarkStart w:id="234" w:name="_Toc1204315432"/>
      <w:bookmarkStart w:id="235" w:name="_Toc527219117"/>
      <w:r>
        <w:rPr>
          <w:rFonts w:hint="eastAsia" w:ascii="仿宋_GB2312" w:hAnsi="仿宋_GB2312" w:eastAsia="仿宋_GB2312" w:cs="仿宋_GB2312"/>
          <w:color w:val="auto"/>
          <w:sz w:val="32"/>
          <w:szCs w:val="32"/>
          <w:highlight w:val="none"/>
          <w:lang w:eastAsia="zh-CN"/>
        </w:rPr>
        <w:t>4.3应急响应的级别调整和终止</w:t>
      </w:r>
      <w:bookmarkEnd w:id="228"/>
      <w:bookmarkEnd w:id="229"/>
      <w:bookmarkEnd w:id="230"/>
      <w:bookmarkEnd w:id="231"/>
      <w:bookmarkEnd w:id="232"/>
      <w:bookmarkEnd w:id="233"/>
      <w:bookmarkEnd w:id="234"/>
      <w:bookmarkEnd w:id="235"/>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事件超出本级应急处置能力时，应及时报请省人民政府或省药监局提高响应级别。事件得到有效控制时，由</w:t>
      </w:r>
      <w:r>
        <w:rPr>
          <w:rFonts w:hint="eastAsia" w:ascii="仿宋_GB2312" w:hAnsi="仿宋_GB2312" w:eastAsia="仿宋_GB2312" w:cs="方正仿宋_GBK"/>
          <w:strike w:val="0"/>
          <w:dstrike w:val="0"/>
          <w:color w:val="auto"/>
          <w:sz w:val="32"/>
          <w:szCs w:val="32"/>
          <w:highlight w:val="none"/>
          <w:lang w:eastAsia="zh-CN"/>
        </w:rPr>
        <w:t>县</w:t>
      </w:r>
      <w:r>
        <w:rPr>
          <w:rFonts w:hint="eastAsia" w:ascii="仿宋_GB2312" w:hAnsi="仿宋_GB2312" w:eastAsia="仿宋_GB2312" w:cs="方正仿宋_GBK"/>
          <w:color w:val="auto"/>
          <w:sz w:val="32"/>
          <w:szCs w:val="32"/>
          <w:highlight w:val="none"/>
          <w:lang w:eastAsia="zh-CN"/>
        </w:rPr>
        <w:t>应急指挥部决定下调或终止应急响应。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lang w:eastAsia="zh-CN"/>
        </w:rPr>
      </w:pPr>
      <w:bookmarkStart w:id="236" w:name="_Toc2080601334"/>
      <w:bookmarkStart w:id="237" w:name="_Toc26082"/>
      <w:bookmarkStart w:id="238" w:name="_Toc542351343"/>
      <w:bookmarkStart w:id="239" w:name="_Toc1432865850"/>
      <w:bookmarkStart w:id="240" w:name="_Toc888236910"/>
      <w:bookmarkStart w:id="241" w:name="_Toc2081822051"/>
      <w:bookmarkStart w:id="242" w:name="_Toc899113746"/>
      <w:bookmarkStart w:id="243" w:name="_Toc1242631940"/>
      <w:r>
        <w:rPr>
          <w:rFonts w:hint="eastAsia" w:ascii="仿宋_GB2312" w:hAnsi="仿宋_GB2312" w:eastAsia="仿宋_GB2312" w:cs="方正仿宋_GBK"/>
          <w:color w:val="auto"/>
          <w:sz w:val="32"/>
          <w:szCs w:val="32"/>
          <w:highlight w:val="none"/>
          <w:lang w:val="en-US" w:eastAsia="zh-CN"/>
        </w:rPr>
        <w:t>4</w:t>
      </w:r>
      <w:r>
        <w:rPr>
          <w:rFonts w:hint="eastAsia" w:ascii="仿宋_GB2312" w:hAnsi="仿宋_GB2312" w:eastAsia="仿宋_GB2312" w:cs="方正仿宋_GBK"/>
          <w:color w:val="auto"/>
          <w:sz w:val="32"/>
          <w:szCs w:val="32"/>
          <w:highlight w:val="none"/>
          <w:lang w:eastAsia="zh-CN"/>
        </w:rPr>
        <w:t>.4  信息发布及风险沟通</w:t>
      </w:r>
      <w:bookmarkEnd w:id="236"/>
      <w:bookmarkEnd w:id="237"/>
      <w:bookmarkEnd w:id="238"/>
      <w:bookmarkEnd w:id="239"/>
      <w:bookmarkEnd w:id="240"/>
      <w:bookmarkEnd w:id="241"/>
      <w:bookmarkEnd w:id="242"/>
      <w:bookmarkEnd w:id="24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药品安全突发事件发生后，在第一时间向社会发布权威信息，并根据事件发展情况，做好后续信息发布工作。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lang w:val="en-US" w:eastAsia="zh-CN"/>
        </w:rPr>
      </w:pPr>
      <w:bookmarkStart w:id="244" w:name="_Toc255245129"/>
      <w:bookmarkStart w:id="245" w:name="_Toc575120528"/>
      <w:bookmarkStart w:id="246" w:name="_Toc430303100"/>
      <w:bookmarkStart w:id="247" w:name="_Toc2019196958"/>
      <w:bookmarkStart w:id="248" w:name="_Toc652105389"/>
      <w:bookmarkStart w:id="249" w:name="_Toc330708330"/>
      <w:bookmarkStart w:id="250" w:name="_Toc18955"/>
      <w:bookmarkStart w:id="251" w:name="_Toc1216912972"/>
      <w:r>
        <w:rPr>
          <w:rFonts w:hint="eastAsia" w:ascii="仿宋_GB2312" w:hAnsi="仿宋_GB2312" w:eastAsia="仿宋_GB2312" w:cs="方正仿宋_GBK"/>
          <w:color w:val="auto"/>
          <w:sz w:val="32"/>
          <w:szCs w:val="32"/>
          <w:highlight w:val="none"/>
          <w:lang w:val="en-US" w:eastAsia="zh-CN"/>
        </w:rPr>
        <w:t>4</w:t>
      </w: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4</w:t>
      </w: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1 信息发布</w:t>
      </w:r>
      <w:bookmarkEnd w:id="244"/>
      <w:bookmarkEnd w:id="245"/>
      <w:bookmarkEnd w:id="246"/>
      <w:bookmarkEnd w:id="247"/>
      <w:bookmarkEnd w:id="248"/>
      <w:bookmarkEnd w:id="249"/>
      <w:bookmarkEnd w:id="250"/>
      <w:bookmarkEnd w:id="251"/>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Ⅰ级药品安全突发事件，</w:t>
      </w:r>
      <w:r>
        <w:rPr>
          <w:rFonts w:hint="eastAsia" w:ascii="仿宋_GB2312" w:hAnsi="仿宋_GB2312" w:eastAsia="仿宋_GB2312" w:cs="方正仿宋_GBK"/>
          <w:strike w:val="0"/>
          <w:dstrike w:val="0"/>
          <w:color w:val="auto"/>
          <w:sz w:val="32"/>
          <w:szCs w:val="32"/>
          <w:highlight w:val="none"/>
          <w:lang w:eastAsia="zh-CN"/>
        </w:rPr>
        <w:t>根据国家药监局相关预案</w:t>
      </w:r>
      <w:r>
        <w:rPr>
          <w:rFonts w:hint="eastAsia" w:ascii="仿宋_GB2312" w:hAnsi="仿宋_GB2312" w:eastAsia="仿宋_GB2312" w:cs="方正仿宋_GBK"/>
          <w:color w:val="auto"/>
          <w:sz w:val="32"/>
          <w:szCs w:val="32"/>
          <w:highlight w:val="none"/>
          <w:lang w:eastAsia="zh-CN"/>
        </w:rPr>
        <w:t>由国家</w:t>
      </w:r>
      <w:r>
        <w:rPr>
          <w:rFonts w:hint="eastAsia" w:ascii="仿宋_GB2312" w:hAnsi="仿宋_GB2312" w:eastAsia="仿宋_GB2312" w:cs="方正仿宋_GBK"/>
          <w:strike w:val="0"/>
          <w:dstrike w:val="0"/>
          <w:color w:val="auto"/>
          <w:sz w:val="32"/>
          <w:szCs w:val="32"/>
          <w:highlight w:val="none"/>
          <w:lang w:eastAsia="zh-CN"/>
        </w:rPr>
        <w:t>药监局</w:t>
      </w:r>
      <w:r>
        <w:rPr>
          <w:rFonts w:hint="eastAsia" w:ascii="仿宋_GB2312" w:hAnsi="仿宋_GB2312" w:eastAsia="仿宋_GB2312" w:cs="方正仿宋_GBK"/>
          <w:color w:val="auto"/>
          <w:sz w:val="32"/>
          <w:szCs w:val="32"/>
          <w:highlight w:val="none"/>
          <w:lang w:eastAsia="zh-CN"/>
        </w:rPr>
        <w:t>统一发布信息；Ⅱ级</w:t>
      </w:r>
      <w:r>
        <w:rPr>
          <w:rFonts w:hint="eastAsia" w:ascii="仿宋_GB2312" w:hAnsi="仿宋_GB2312" w:eastAsia="仿宋_GB2312" w:cs="方正仿宋_GBK"/>
          <w:strike w:val="0"/>
          <w:dstrike w:val="0"/>
          <w:color w:val="auto"/>
          <w:sz w:val="32"/>
          <w:szCs w:val="32"/>
          <w:highlight w:val="none"/>
          <w:lang w:eastAsia="zh-CN"/>
        </w:rPr>
        <w:t>药品安全突发事件</w:t>
      </w:r>
      <w:r>
        <w:rPr>
          <w:rFonts w:hint="eastAsia" w:ascii="仿宋_GB2312" w:hAnsi="仿宋_GB2312" w:eastAsia="仿宋_GB2312" w:cs="方正仿宋_GBK"/>
          <w:color w:val="auto"/>
          <w:sz w:val="32"/>
          <w:szCs w:val="32"/>
          <w:highlight w:val="none"/>
          <w:lang w:eastAsia="zh-CN"/>
        </w:rPr>
        <w:t>由省人民政府或其授权的机构发布信息，并报国家</w:t>
      </w:r>
      <w:r>
        <w:rPr>
          <w:rFonts w:hint="eastAsia" w:ascii="仿宋_GB2312" w:hAnsi="仿宋_GB2312" w:eastAsia="仿宋_GB2312" w:cs="方正仿宋_GBK"/>
          <w:strike w:val="0"/>
          <w:dstrike w:val="0"/>
          <w:color w:val="auto"/>
          <w:sz w:val="32"/>
          <w:szCs w:val="32"/>
          <w:highlight w:val="none"/>
          <w:lang w:eastAsia="zh-CN"/>
        </w:rPr>
        <w:t>药监局</w:t>
      </w:r>
      <w:r>
        <w:rPr>
          <w:rFonts w:hint="eastAsia" w:ascii="仿宋_GB2312" w:hAnsi="仿宋_GB2312" w:eastAsia="仿宋_GB2312" w:cs="方正仿宋_GBK"/>
          <w:color w:val="auto"/>
          <w:sz w:val="32"/>
          <w:szCs w:val="32"/>
          <w:highlight w:val="none"/>
          <w:lang w:eastAsia="zh-CN"/>
        </w:rPr>
        <w:t>备案；</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eastAsia="zh-CN"/>
        </w:rPr>
        <w:t>级、Ⅳ级响应由县人民政府或其授权的机构发布信息，并报省药监局备案。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lang w:eastAsia="zh-CN"/>
        </w:rPr>
      </w:pPr>
      <w:bookmarkStart w:id="252" w:name="_Toc728246354"/>
      <w:bookmarkStart w:id="253" w:name="_Toc2129044834"/>
      <w:bookmarkStart w:id="254" w:name="_Toc1337114525"/>
      <w:bookmarkStart w:id="255" w:name="_Toc747434"/>
      <w:bookmarkStart w:id="256" w:name="_Toc1875999600"/>
      <w:bookmarkStart w:id="257" w:name="_Toc14176"/>
      <w:bookmarkStart w:id="258" w:name="_Toc1356049180"/>
      <w:bookmarkStart w:id="259" w:name="_Toc1453263885"/>
      <w:r>
        <w:rPr>
          <w:rFonts w:hint="eastAsia" w:ascii="仿宋_GB2312" w:hAnsi="仿宋_GB2312" w:eastAsia="仿宋_GB2312" w:cs="方正仿宋_GBK"/>
          <w:color w:val="auto"/>
          <w:sz w:val="32"/>
          <w:szCs w:val="32"/>
          <w:highlight w:val="none"/>
          <w:lang w:val="en-US" w:eastAsia="zh-CN"/>
        </w:rPr>
        <w:t>4</w:t>
      </w: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4</w:t>
      </w: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2 发布方式</w:t>
      </w:r>
      <w:bookmarkEnd w:id="252"/>
      <w:bookmarkEnd w:id="253"/>
      <w:bookmarkEnd w:id="254"/>
      <w:bookmarkEnd w:id="255"/>
      <w:bookmarkEnd w:id="256"/>
      <w:bookmarkEnd w:id="257"/>
      <w:bookmarkEnd w:id="258"/>
      <w:bookmarkEnd w:id="259"/>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信息发布包括授权发布、组织报道、接受记者采访、召开新闻发布会、重点新闻网站或政府网站报道等形式。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lang w:eastAsia="zh-CN"/>
        </w:rPr>
      </w:pPr>
      <w:bookmarkStart w:id="260" w:name="_Toc1220316149"/>
      <w:bookmarkStart w:id="261" w:name="_Toc1211022399"/>
      <w:bookmarkStart w:id="262" w:name="_Toc1701067300"/>
      <w:bookmarkStart w:id="263" w:name="_Toc1420623967"/>
      <w:bookmarkStart w:id="264" w:name="_Toc9699"/>
      <w:bookmarkStart w:id="265" w:name="_Toc528952174"/>
      <w:bookmarkStart w:id="266" w:name="_Toc1655284480"/>
      <w:bookmarkStart w:id="267" w:name="_Toc1853483385"/>
      <w:r>
        <w:rPr>
          <w:rFonts w:hint="eastAsia" w:ascii="仿宋_GB2312" w:hAnsi="仿宋_GB2312" w:eastAsia="仿宋_GB2312" w:cs="方正仿宋_GBK"/>
          <w:color w:val="auto"/>
          <w:sz w:val="32"/>
          <w:szCs w:val="32"/>
          <w:highlight w:val="none"/>
          <w:lang w:val="en-US" w:eastAsia="zh-CN"/>
        </w:rPr>
        <w:t>4</w:t>
      </w: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4</w:t>
      </w:r>
      <w:r>
        <w:rPr>
          <w:rFonts w:hint="eastAsia" w:ascii="仿宋_GB2312" w:hAnsi="仿宋_GB2312" w:eastAsia="仿宋_GB2312" w:cs="方正仿宋_GBK"/>
          <w:color w:val="auto"/>
          <w:sz w:val="32"/>
          <w:szCs w:val="32"/>
          <w:highlight w:val="none"/>
          <w:lang w:eastAsia="zh-CN"/>
        </w:rPr>
        <w:t>.</w:t>
      </w:r>
      <w:r>
        <w:rPr>
          <w:rFonts w:hint="eastAsia" w:ascii="仿宋_GB2312" w:hAnsi="仿宋_GB2312" w:eastAsia="仿宋_GB2312" w:cs="方正仿宋_GBK"/>
          <w:color w:val="auto"/>
          <w:sz w:val="32"/>
          <w:szCs w:val="32"/>
          <w:highlight w:val="none"/>
          <w:lang w:val="en-US" w:eastAsia="zh-CN"/>
        </w:rPr>
        <w:t>3 风险沟通</w:t>
      </w:r>
      <w:bookmarkEnd w:id="260"/>
      <w:bookmarkEnd w:id="261"/>
      <w:bookmarkEnd w:id="262"/>
      <w:bookmarkEnd w:id="263"/>
      <w:bookmarkEnd w:id="264"/>
      <w:bookmarkEnd w:id="265"/>
      <w:bookmarkEnd w:id="266"/>
      <w:bookmarkEnd w:id="267"/>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风险沟通遵循积极准备、及时主动、信息真实、口径一致、注重关切的原则，加强正面引导，抨击谣言，营造良好的舆论环境。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eastAsia="zh-CN"/>
        </w:rPr>
      </w:pPr>
      <w:r>
        <w:rPr>
          <w:rFonts w:hint="eastAsia" w:ascii="仿宋_GB2312" w:hAnsi="仿宋_GB2312" w:eastAsia="仿宋_GB2312" w:cs="方正仿宋_GBK"/>
          <w:color w:val="auto"/>
          <w:sz w:val="32"/>
          <w:szCs w:val="32"/>
          <w:highlight w:val="none"/>
          <w:lang w:eastAsia="zh-CN"/>
        </w:rPr>
        <w:t>Ⅰ级应急响应，根据国家药监局相关预案由国家药监局做好相应风险沟通，Ⅱ级应急响应由省药监局做好相应风险沟通，</w:t>
      </w: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eastAsia="zh-CN"/>
        </w:rPr>
        <w:t>级、Ⅳ级响应由县市场监督管理局做好相应风险沟通。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rPr>
      </w:pPr>
      <w:bookmarkStart w:id="268" w:name="_Toc566214204"/>
      <w:bookmarkStart w:id="269" w:name="_Toc238482105"/>
      <w:bookmarkStart w:id="270" w:name="_Toc1015762658"/>
      <w:bookmarkStart w:id="271" w:name="_Toc40226676"/>
      <w:bookmarkStart w:id="272" w:name="_Toc542749521"/>
      <w:bookmarkStart w:id="273" w:name="_Toc1993751821"/>
      <w:bookmarkStart w:id="274" w:name="_Toc27404"/>
      <w:bookmarkStart w:id="275" w:name="_Toc1494809682"/>
      <w:r>
        <w:rPr>
          <w:rFonts w:hint="eastAsia" w:ascii="仿宋_GB2312" w:hAnsi="仿宋_GB2312" w:eastAsia="仿宋_GB2312" w:cs="方正仿宋_GBK"/>
          <w:color w:val="auto"/>
          <w:sz w:val="32"/>
          <w:szCs w:val="32"/>
          <w:highlight w:val="none"/>
        </w:rPr>
        <w:t>5  后</w:t>
      </w:r>
      <w:r>
        <w:rPr>
          <w:rFonts w:hint="eastAsia" w:ascii="仿宋_GB2312" w:hAnsi="仿宋_GB2312" w:eastAsia="仿宋_GB2312" w:cs="方正仿宋_GBK"/>
          <w:color w:val="auto"/>
          <w:sz w:val="32"/>
          <w:szCs w:val="32"/>
          <w:highlight w:val="none"/>
          <w:lang w:eastAsia="zh-CN"/>
        </w:rPr>
        <w:t>期</w:t>
      </w:r>
      <w:r>
        <w:rPr>
          <w:rFonts w:hint="eastAsia" w:ascii="仿宋_GB2312" w:hAnsi="仿宋_GB2312" w:eastAsia="仿宋_GB2312" w:cs="方正仿宋_GBK"/>
          <w:color w:val="auto"/>
          <w:sz w:val="32"/>
          <w:szCs w:val="32"/>
          <w:highlight w:val="none"/>
        </w:rPr>
        <w:t>处置</w:t>
      </w:r>
      <w:bookmarkEnd w:id="268"/>
      <w:bookmarkEnd w:id="269"/>
      <w:bookmarkEnd w:id="270"/>
      <w:bookmarkEnd w:id="271"/>
      <w:bookmarkEnd w:id="272"/>
      <w:bookmarkEnd w:id="273"/>
      <w:bookmarkEnd w:id="274"/>
      <w:bookmarkEnd w:id="275"/>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lang w:val="en-US" w:eastAsia="zh-CN"/>
        </w:rPr>
      </w:pPr>
      <w:bookmarkStart w:id="276" w:name="_Toc1357056340"/>
      <w:bookmarkStart w:id="277" w:name="_Toc154735242"/>
      <w:bookmarkStart w:id="278" w:name="_Toc1003590186"/>
      <w:bookmarkStart w:id="279" w:name="_Toc1027767405"/>
      <w:bookmarkStart w:id="280" w:name="_Toc480498738"/>
      <w:bookmarkStart w:id="281" w:name="_Toc1500529188"/>
      <w:bookmarkStart w:id="282" w:name="_Toc1008368515"/>
      <w:bookmarkStart w:id="283" w:name="_Toc3306"/>
      <w:r>
        <w:rPr>
          <w:rFonts w:hint="eastAsia" w:ascii="仿宋_GB2312" w:hAnsi="仿宋_GB2312" w:eastAsia="仿宋_GB2312" w:cs="方正仿宋_GBK"/>
          <w:color w:val="auto"/>
          <w:sz w:val="32"/>
          <w:szCs w:val="32"/>
          <w:highlight w:val="none"/>
          <w:lang w:val="en-US" w:eastAsia="zh-CN"/>
        </w:rPr>
        <w:t>5.1  善后处置</w:t>
      </w:r>
      <w:bookmarkEnd w:id="276"/>
      <w:bookmarkEnd w:id="277"/>
      <w:bookmarkEnd w:id="278"/>
      <w:bookmarkEnd w:id="279"/>
      <w:bookmarkEnd w:id="280"/>
      <w:bookmarkEnd w:id="281"/>
      <w:bookmarkEnd w:id="282"/>
      <w:bookmarkEnd w:id="28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善后处置工作由县人民政府负责，省人民政府及其相关部门提供支持。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5.1.1 县综合行政执法局根据调查结果和认定结论，依法对相关责任单位和责任人员采取处理措施。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涉嫌生产、销售假劣药品并构成犯罪的，及时移交公安机关并协助开展案件调查工作；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确定是药品质量导致的，依法对有关药品经营使用单位进行查处；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确定是临床用药不合理或错误导致的，</w:t>
      </w:r>
      <w:r>
        <w:rPr>
          <w:rFonts w:hint="eastAsia" w:ascii="仿宋_GB2312" w:hAnsi="仿宋_GB2312" w:eastAsia="仿宋_GB2312" w:cs="方正仿宋_GBK"/>
          <w:color w:val="auto"/>
          <w:sz w:val="32"/>
          <w:szCs w:val="32"/>
          <w:highlight w:val="none"/>
          <w:lang w:eastAsia="zh-CN"/>
        </w:rPr>
        <w:t>移交卫生健康执法部</w:t>
      </w:r>
      <w:r>
        <w:rPr>
          <w:rFonts w:hint="eastAsia" w:ascii="仿宋_GB2312" w:hAnsi="仿宋_GB2312" w:eastAsia="仿宋_GB2312" w:cs="方正仿宋_GBK"/>
          <w:color w:val="auto"/>
          <w:sz w:val="32"/>
          <w:szCs w:val="32"/>
          <w:highlight w:val="none"/>
          <w:lang w:val="en-US" w:eastAsia="zh-CN"/>
        </w:rPr>
        <w:t>门对有关医疗机构进行查处；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确定是新的严重药品不良反应的，由省药监局统一报请国家药监局组织开展安全性再评价，根据再评价结果调整生产和使用政策；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确定是其他原因引起的，按照有关规定处理。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5.1.2 妥善处理因药品安全突发事件造成的群众来信来访及其他事项。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strike/>
          <w:dstrike w:val="0"/>
          <w:color w:val="auto"/>
          <w:highlight w:val="none"/>
          <w:lang w:val="en-US" w:eastAsia="zh-CN"/>
        </w:rPr>
      </w:pPr>
      <w:r>
        <w:rPr>
          <w:rFonts w:hint="eastAsia" w:ascii="仿宋_GB2312" w:hAnsi="仿宋_GB2312" w:eastAsia="仿宋_GB2312" w:cs="方正仿宋_GBK"/>
          <w:color w:val="auto"/>
          <w:sz w:val="32"/>
          <w:szCs w:val="32"/>
          <w:highlight w:val="none"/>
          <w:lang w:val="en-US" w:eastAsia="zh-CN"/>
        </w:rPr>
        <w:t>5.1.3 造成药品安全突发事件的责任单位和责任人，应当按照有关规定对受害人给予赔偿，承担受害人的后续治疗及保障等相关费用。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lang w:val="en-US" w:eastAsia="zh-CN"/>
        </w:rPr>
      </w:pPr>
      <w:bookmarkStart w:id="284" w:name="_Toc142900357"/>
      <w:bookmarkStart w:id="285" w:name="_Toc195533737"/>
      <w:bookmarkStart w:id="286" w:name="_Toc1309085039"/>
      <w:bookmarkStart w:id="287" w:name="_Toc317109577"/>
      <w:bookmarkStart w:id="288" w:name="_Toc10483"/>
      <w:bookmarkStart w:id="289" w:name="_Toc1710457820"/>
      <w:bookmarkStart w:id="290" w:name="_Toc580866152"/>
      <w:bookmarkStart w:id="291" w:name="_Toc691768010"/>
      <w:r>
        <w:rPr>
          <w:rFonts w:hint="eastAsia" w:ascii="仿宋_GB2312" w:hAnsi="仿宋_GB2312" w:eastAsia="仿宋_GB2312" w:cs="方正仿宋_GBK"/>
          <w:color w:val="auto"/>
          <w:sz w:val="32"/>
          <w:szCs w:val="32"/>
          <w:highlight w:val="none"/>
          <w:lang w:val="en-US" w:eastAsia="zh-CN"/>
        </w:rPr>
        <w:t>5.2总结评估</w:t>
      </w:r>
      <w:bookmarkEnd w:id="284"/>
      <w:bookmarkEnd w:id="285"/>
      <w:bookmarkEnd w:id="286"/>
      <w:bookmarkEnd w:id="287"/>
      <w:bookmarkEnd w:id="288"/>
      <w:bookmarkEnd w:id="289"/>
      <w:bookmarkEnd w:id="290"/>
      <w:bookmarkEnd w:id="291"/>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Ш</w:t>
      </w:r>
      <w:r>
        <w:rPr>
          <w:rFonts w:hint="eastAsia" w:ascii="仿宋_GB2312" w:hAnsi="仿宋_GB2312" w:eastAsia="仿宋_GB2312" w:cs="方正仿宋_GBK"/>
          <w:color w:val="auto"/>
          <w:sz w:val="32"/>
          <w:szCs w:val="32"/>
          <w:highlight w:val="none"/>
          <w:lang w:val="en-US" w:eastAsia="zh-CN"/>
        </w:rPr>
        <w:t>级、Ⅳ级药品安全突发事件处置工作结束后，县应急指挥部组织对事件的处理情况进行评估，报县人民政府和省药监局。评估内容主要包括事件概况、现场调查处理情况、患者救治情况、所采取措施效果评价和应急处置过程中存在的问题、取得的经验及改进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lang w:val="en-US" w:eastAsia="zh-CN"/>
        </w:rPr>
      </w:pPr>
      <w:bookmarkStart w:id="292" w:name="_Toc1643349904"/>
      <w:bookmarkStart w:id="293" w:name="_Toc313833936"/>
      <w:bookmarkStart w:id="294" w:name="_Toc2103723949"/>
      <w:bookmarkStart w:id="295" w:name="_Toc485322683"/>
      <w:bookmarkStart w:id="296" w:name="_Toc3805"/>
      <w:bookmarkStart w:id="297" w:name="_Toc2901411"/>
      <w:bookmarkStart w:id="298" w:name="_Toc148351631"/>
      <w:bookmarkStart w:id="299" w:name="_Toc1724693660"/>
      <w:r>
        <w:rPr>
          <w:rFonts w:hint="eastAsia" w:ascii="仿宋_GB2312" w:hAnsi="仿宋_GB2312" w:eastAsia="仿宋_GB2312" w:cs="方正仿宋_GBK"/>
          <w:color w:val="auto"/>
          <w:sz w:val="32"/>
          <w:szCs w:val="32"/>
          <w:highlight w:val="none"/>
          <w:lang w:val="en-US" w:eastAsia="zh-CN"/>
        </w:rPr>
        <w:t>5.3责任与奖惩</w:t>
      </w:r>
      <w:bookmarkEnd w:id="292"/>
      <w:bookmarkEnd w:id="293"/>
      <w:bookmarkEnd w:id="294"/>
      <w:bookmarkEnd w:id="295"/>
      <w:bookmarkEnd w:id="296"/>
      <w:bookmarkEnd w:id="297"/>
      <w:bookmarkEnd w:id="298"/>
      <w:bookmarkEnd w:id="299"/>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对药品安全突发事件应急管理和处置中做出突出贡献的集体和个人，按照有关规定和程序，给予奖励或通报表扬。对有失职、渎职的责任单位或责任人，依法追究责任。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rPr>
      </w:pPr>
      <w:bookmarkStart w:id="300" w:name="_Toc988548250"/>
      <w:bookmarkStart w:id="301" w:name="_Toc1054178011"/>
      <w:bookmarkStart w:id="302" w:name="_Toc1188276118"/>
      <w:bookmarkStart w:id="303" w:name="_Toc12859"/>
      <w:bookmarkStart w:id="304" w:name="_Toc1571397307"/>
      <w:bookmarkStart w:id="305" w:name="_Toc1322522543"/>
      <w:bookmarkStart w:id="306" w:name="_Toc994710770"/>
      <w:bookmarkStart w:id="307" w:name="_Toc264757863"/>
      <w:r>
        <w:rPr>
          <w:rFonts w:hint="eastAsia" w:ascii="仿宋_GB2312" w:hAnsi="仿宋_GB2312" w:eastAsia="仿宋_GB2312" w:cs="方正仿宋_GBK"/>
          <w:color w:val="auto"/>
          <w:sz w:val="32"/>
          <w:szCs w:val="32"/>
          <w:highlight w:val="none"/>
          <w:lang w:val="en-US" w:eastAsia="zh-CN"/>
        </w:rPr>
        <w:t>6</w:t>
      </w:r>
      <w:r>
        <w:rPr>
          <w:rFonts w:hint="eastAsia" w:ascii="仿宋_GB2312" w:hAnsi="仿宋_GB2312" w:eastAsia="仿宋_GB2312" w:cs="方正仿宋_GBK"/>
          <w:color w:val="auto"/>
          <w:sz w:val="32"/>
          <w:szCs w:val="32"/>
          <w:highlight w:val="none"/>
        </w:rPr>
        <w:t xml:space="preserve">  应急保障</w:t>
      </w:r>
      <w:bookmarkEnd w:id="300"/>
      <w:bookmarkEnd w:id="301"/>
      <w:bookmarkEnd w:id="302"/>
      <w:bookmarkEnd w:id="303"/>
      <w:bookmarkEnd w:id="304"/>
      <w:bookmarkEnd w:id="305"/>
      <w:bookmarkEnd w:id="306"/>
      <w:bookmarkEnd w:id="307"/>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lang w:val="en-US" w:eastAsia="zh-CN"/>
        </w:rPr>
      </w:pPr>
      <w:bookmarkStart w:id="308" w:name="_Toc1747448498"/>
      <w:bookmarkStart w:id="309" w:name="_Toc612625244"/>
      <w:bookmarkStart w:id="310" w:name="_Toc1389127331"/>
      <w:bookmarkStart w:id="311" w:name="_Toc407727594"/>
      <w:bookmarkStart w:id="312" w:name="_Toc478253665"/>
      <w:bookmarkStart w:id="313" w:name="_Toc32575"/>
      <w:bookmarkStart w:id="314" w:name="_Toc770601509"/>
      <w:bookmarkStart w:id="315" w:name="_Toc1326804180"/>
      <w:r>
        <w:rPr>
          <w:rFonts w:hint="eastAsia" w:ascii="仿宋_GB2312" w:hAnsi="仿宋_GB2312" w:eastAsia="仿宋_GB2312" w:cs="方正仿宋_GBK"/>
          <w:color w:val="auto"/>
          <w:sz w:val="32"/>
          <w:szCs w:val="32"/>
          <w:highlight w:val="none"/>
          <w:lang w:val="en-US" w:eastAsia="zh-CN"/>
        </w:rPr>
        <w:t>6.1  队伍保障</w:t>
      </w:r>
      <w:bookmarkEnd w:id="308"/>
      <w:bookmarkEnd w:id="309"/>
      <w:bookmarkEnd w:id="310"/>
      <w:bookmarkEnd w:id="311"/>
      <w:bookmarkEnd w:id="312"/>
      <w:bookmarkEnd w:id="313"/>
      <w:bookmarkEnd w:id="314"/>
      <w:bookmarkEnd w:id="315"/>
    </w:p>
    <w:p>
      <w:pPr>
        <w:keepNext w:val="0"/>
        <w:keepLines w:val="0"/>
        <w:widowControl/>
        <w:suppressLineNumbers w:val="0"/>
        <w:ind w:firstLine="632" w:firstLineChars="200"/>
        <w:jc w:val="left"/>
        <w:rPr>
          <w:rFonts w:hint="eastAsia" w:ascii="仿宋_GB2312" w:hAnsi="仿宋_GB2312" w:eastAsia="仿宋_GB2312" w:cs="方正仿宋_GBK"/>
          <w:i w:val="0"/>
          <w:iCs w:val="0"/>
          <w:color w:val="auto"/>
          <w:sz w:val="32"/>
          <w:szCs w:val="32"/>
          <w:highlight w:val="none"/>
          <w:u w:val="none"/>
          <w:lang w:val="en-US" w:eastAsia="zh-CN"/>
        </w:rPr>
      </w:pPr>
      <w:r>
        <w:rPr>
          <w:rFonts w:hint="eastAsia" w:ascii="仿宋_GB2312" w:hAnsi="仿宋_GB2312" w:eastAsia="仿宋_GB2312" w:cs="方正仿宋_GBK"/>
          <w:color w:val="auto"/>
          <w:sz w:val="32"/>
          <w:szCs w:val="32"/>
          <w:highlight w:val="none"/>
          <w:lang w:val="en-US" w:eastAsia="zh-CN"/>
        </w:rPr>
        <w:t>县应急指挥部和县市场监督管理局组织由药品监督管理人员、专家等组成常态和非常态下的应急处置队伍，</w:t>
      </w:r>
      <w:r>
        <w:rPr>
          <w:rFonts w:hint="eastAsia" w:ascii="仿宋_GB2312" w:hAnsi="仿宋_GB2312" w:eastAsia="仿宋_GB2312" w:cs="方正仿宋_GBK"/>
          <w:i w:val="0"/>
          <w:iCs w:val="0"/>
          <w:color w:val="auto"/>
          <w:sz w:val="32"/>
          <w:szCs w:val="32"/>
          <w:highlight w:val="none"/>
          <w:u w:val="none"/>
          <w:lang w:val="en-US" w:eastAsia="zh-CN"/>
        </w:rPr>
        <w:t>加强应急处置人员的教育培训工作</w:t>
      </w:r>
      <w:r>
        <w:rPr>
          <w:rFonts w:hint="default" w:ascii="仿宋_GB2312" w:hAnsi="仿宋_GB2312" w:eastAsia="仿宋_GB2312" w:cs="方正仿宋_GBK"/>
          <w:i w:val="0"/>
          <w:iCs w:val="0"/>
          <w:color w:val="auto"/>
          <w:sz w:val="32"/>
          <w:szCs w:val="32"/>
          <w:highlight w:val="none"/>
          <w:u w:val="none"/>
          <w:lang w:val="en-US" w:eastAsia="zh-CN"/>
        </w:rPr>
        <w:t>,</w:t>
      </w:r>
      <w:r>
        <w:rPr>
          <w:rFonts w:hint="eastAsia" w:ascii="仿宋_GB2312" w:hAnsi="仿宋_GB2312" w:eastAsia="仿宋_GB2312" w:cs="方正仿宋_GBK"/>
          <w:i w:val="0"/>
          <w:iCs w:val="0"/>
          <w:color w:val="auto"/>
          <w:sz w:val="32"/>
          <w:szCs w:val="32"/>
          <w:highlight w:val="none"/>
          <w:u w:val="none"/>
          <w:lang w:val="en-US" w:eastAsia="zh-CN"/>
        </w:rPr>
        <w:t>提高应急处置实施技能和水平。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i w:val="0"/>
          <w:iCs w:val="0"/>
          <w:color w:val="auto"/>
          <w:sz w:val="32"/>
          <w:szCs w:val="32"/>
          <w:highlight w:val="none"/>
          <w:u w:val="none"/>
          <w:lang w:val="en-US" w:eastAsia="zh-CN"/>
        </w:rPr>
      </w:pPr>
      <w:bookmarkStart w:id="316" w:name="_Toc1638240446"/>
      <w:bookmarkStart w:id="317" w:name="_Toc1649548199"/>
      <w:bookmarkStart w:id="318" w:name="_Toc1785739171"/>
      <w:bookmarkStart w:id="319" w:name="_Toc2018418453"/>
      <w:bookmarkStart w:id="320" w:name="_Toc3973"/>
      <w:bookmarkStart w:id="321" w:name="_Toc980122802"/>
      <w:bookmarkStart w:id="322" w:name="_Toc422995500"/>
      <w:bookmarkStart w:id="323" w:name="_Toc1621344134"/>
      <w:r>
        <w:rPr>
          <w:rFonts w:hint="eastAsia" w:ascii="仿宋_GB2312" w:hAnsi="仿宋_GB2312" w:eastAsia="仿宋_GB2312" w:cs="方正仿宋_GBK"/>
          <w:i w:val="0"/>
          <w:iCs w:val="0"/>
          <w:color w:val="auto"/>
          <w:sz w:val="32"/>
          <w:szCs w:val="32"/>
          <w:highlight w:val="none"/>
          <w:u w:val="none"/>
          <w:lang w:val="en-US" w:eastAsia="zh-CN"/>
        </w:rPr>
        <w:t>6.2  医疗保障</w:t>
      </w:r>
      <w:bookmarkEnd w:id="316"/>
      <w:bookmarkEnd w:id="317"/>
      <w:bookmarkEnd w:id="318"/>
      <w:bookmarkEnd w:id="319"/>
      <w:bookmarkEnd w:id="320"/>
      <w:bookmarkEnd w:id="321"/>
      <w:bookmarkEnd w:id="322"/>
      <w:bookmarkEnd w:id="32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i w:val="0"/>
          <w:iCs w:val="0"/>
          <w:color w:val="auto"/>
          <w:sz w:val="32"/>
          <w:szCs w:val="32"/>
          <w:highlight w:val="none"/>
          <w:u w:val="none"/>
          <w:lang w:val="en-US" w:eastAsia="zh-CN"/>
        </w:rPr>
      </w:pPr>
      <w:r>
        <w:rPr>
          <w:rFonts w:hint="eastAsia" w:ascii="仿宋_GB2312" w:hAnsi="仿宋_GB2312" w:eastAsia="仿宋_GB2312" w:cs="方正仿宋_GBK"/>
          <w:i w:val="0"/>
          <w:iCs w:val="0"/>
          <w:color w:val="auto"/>
          <w:sz w:val="32"/>
          <w:szCs w:val="32"/>
          <w:highlight w:val="none"/>
          <w:u w:val="none"/>
          <w:lang w:val="en-US" w:eastAsia="zh-CN"/>
        </w:rPr>
        <w:t>县卫生健康委员会负责组织医疗救援队伍，指定应急救治机构，根据需要及时赶赴现场开展医疗救治。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i w:val="0"/>
          <w:iCs w:val="0"/>
          <w:color w:val="auto"/>
          <w:sz w:val="32"/>
          <w:szCs w:val="32"/>
          <w:highlight w:val="none"/>
          <w:u w:val="none"/>
          <w:lang w:val="en-US" w:eastAsia="zh-CN"/>
        </w:rPr>
      </w:pPr>
      <w:bookmarkStart w:id="324" w:name="_Toc189618916"/>
      <w:bookmarkStart w:id="325" w:name="_Toc1017159530"/>
      <w:bookmarkStart w:id="326" w:name="_Toc531139980"/>
      <w:bookmarkStart w:id="327" w:name="_Toc1893062301"/>
      <w:bookmarkStart w:id="328" w:name="_Toc257152445"/>
      <w:bookmarkStart w:id="329" w:name="_Toc25261"/>
      <w:bookmarkStart w:id="330" w:name="_Toc989161008"/>
      <w:bookmarkStart w:id="331" w:name="_Toc1662836570"/>
      <w:r>
        <w:rPr>
          <w:rFonts w:hint="eastAsia" w:ascii="仿宋_GB2312" w:hAnsi="仿宋_GB2312" w:eastAsia="仿宋_GB2312" w:cs="方正仿宋_GBK"/>
          <w:i w:val="0"/>
          <w:iCs w:val="0"/>
          <w:color w:val="auto"/>
          <w:sz w:val="32"/>
          <w:szCs w:val="32"/>
          <w:highlight w:val="none"/>
          <w:u w:val="none"/>
          <w:lang w:val="en-US" w:eastAsia="zh-CN"/>
        </w:rPr>
        <w:t>6.3  物资保障</w:t>
      </w:r>
      <w:bookmarkEnd w:id="324"/>
      <w:bookmarkEnd w:id="325"/>
      <w:bookmarkEnd w:id="326"/>
      <w:bookmarkEnd w:id="327"/>
      <w:bookmarkEnd w:id="328"/>
      <w:bookmarkEnd w:id="329"/>
      <w:bookmarkEnd w:id="330"/>
      <w:bookmarkEnd w:id="331"/>
    </w:p>
    <w:p>
      <w:pPr>
        <w:keepNext w:val="0"/>
        <w:keepLines w:val="0"/>
        <w:widowControl/>
        <w:suppressLineNumbers w:val="0"/>
        <w:ind w:firstLine="632" w:firstLineChars="200"/>
        <w:jc w:val="left"/>
        <w:rPr>
          <w:rFonts w:hint="eastAsia" w:ascii="仿宋_GB2312" w:hAnsi="仿宋_GB2312" w:eastAsia="仿宋_GB2312" w:cs="方正仿宋_GBK"/>
          <w:color w:val="auto"/>
          <w:sz w:val="32"/>
          <w:szCs w:val="32"/>
          <w:highlight w:val="none"/>
          <w:lang w:val="en-US" w:eastAsia="zh-CN"/>
        </w:rPr>
      </w:pPr>
      <w:bookmarkStart w:id="332" w:name="_Toc24437"/>
      <w:bookmarkStart w:id="333" w:name="_Toc501913511"/>
      <w:bookmarkStart w:id="334" w:name="_Toc1393631224"/>
      <w:bookmarkStart w:id="335" w:name="_Toc68485497"/>
      <w:bookmarkStart w:id="336" w:name="_Toc1584263643"/>
      <w:bookmarkStart w:id="337" w:name="_Toc418501782"/>
      <w:bookmarkStart w:id="338" w:name="_Toc573629378"/>
      <w:bookmarkStart w:id="339" w:name="_Toc1146373577"/>
      <w:r>
        <w:rPr>
          <w:rFonts w:hint="eastAsia" w:ascii="仿宋_GB2312" w:hAnsi="仿宋_GB2312" w:eastAsia="仿宋_GB2312" w:cs="方正仿宋_GBK"/>
          <w:color w:val="auto"/>
          <w:sz w:val="32"/>
          <w:szCs w:val="32"/>
          <w:highlight w:val="none"/>
          <w:lang w:val="en-US" w:eastAsia="zh-CN"/>
        </w:rPr>
        <w:t>县应急指挥部和有关部门做好药品的储备工作。县市场监督管理局、药品不良反应监测哨点建立和完善本单位开展应急工作所需物资、设施和设备的管理和维护机制，防止被盗用、挪用、流散和失效。物资缺失或报废后必须及时补充和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i w:val="0"/>
          <w:iCs w:val="0"/>
          <w:color w:val="auto"/>
          <w:sz w:val="32"/>
          <w:szCs w:val="32"/>
          <w:highlight w:val="none"/>
          <w:u w:val="none"/>
          <w:lang w:val="en-US" w:eastAsia="zh-CN"/>
        </w:rPr>
      </w:pPr>
      <w:r>
        <w:rPr>
          <w:rFonts w:hint="eastAsia" w:ascii="仿宋_GB2312" w:hAnsi="仿宋_GB2312" w:eastAsia="仿宋_GB2312" w:cs="方正仿宋_GBK"/>
          <w:i w:val="0"/>
          <w:iCs w:val="0"/>
          <w:color w:val="auto"/>
          <w:sz w:val="32"/>
          <w:szCs w:val="32"/>
          <w:highlight w:val="none"/>
          <w:u w:val="none"/>
          <w:lang w:val="en-US" w:eastAsia="zh-CN"/>
        </w:rPr>
        <w:t>6.4  资金保障</w:t>
      </w:r>
    </w:p>
    <w:p>
      <w:pPr>
        <w:keepNext w:val="0"/>
        <w:keepLines w:val="0"/>
        <w:widowControl/>
        <w:suppressLineNumbers w:val="0"/>
        <w:ind w:firstLine="632" w:firstLineChars="200"/>
        <w:jc w:val="left"/>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按照分级负责的原则，药品安全突发事件应急处置所需经费列入同级政府财政预算，保证应对工作需要。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i w:val="0"/>
          <w:iCs w:val="0"/>
          <w:color w:val="auto"/>
          <w:sz w:val="32"/>
          <w:szCs w:val="32"/>
          <w:highlight w:val="none"/>
          <w:u w:val="none"/>
          <w:lang w:val="en-US" w:eastAsia="zh-CN"/>
        </w:rPr>
      </w:pPr>
      <w:r>
        <w:rPr>
          <w:rFonts w:hint="eastAsia" w:ascii="仿宋_GB2312" w:hAnsi="仿宋_GB2312" w:eastAsia="仿宋_GB2312" w:cs="方正仿宋_GBK"/>
          <w:i w:val="0"/>
          <w:iCs w:val="0"/>
          <w:color w:val="auto"/>
          <w:sz w:val="32"/>
          <w:szCs w:val="32"/>
          <w:highlight w:val="none"/>
          <w:u w:val="none"/>
          <w:lang w:val="en-US" w:eastAsia="zh-CN"/>
        </w:rPr>
        <w:t>6.5  信息保障</w:t>
      </w:r>
      <w:bookmarkEnd w:id="332"/>
      <w:bookmarkEnd w:id="333"/>
      <w:bookmarkEnd w:id="334"/>
      <w:bookmarkEnd w:id="335"/>
      <w:bookmarkEnd w:id="336"/>
      <w:bookmarkEnd w:id="337"/>
      <w:bookmarkEnd w:id="338"/>
      <w:bookmarkEnd w:id="339"/>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i w:val="0"/>
          <w:iCs w:val="0"/>
          <w:color w:val="auto"/>
          <w:sz w:val="32"/>
          <w:szCs w:val="32"/>
          <w:highlight w:val="none"/>
          <w:u w:val="none"/>
          <w:lang w:val="en-US" w:eastAsia="zh-CN"/>
        </w:rPr>
      </w:pPr>
      <w:r>
        <w:rPr>
          <w:rFonts w:hint="eastAsia" w:ascii="仿宋_GB2312" w:hAnsi="仿宋_GB2312" w:eastAsia="仿宋_GB2312" w:cs="方正仿宋_GBK"/>
          <w:i w:val="0"/>
          <w:iCs w:val="0"/>
          <w:color w:val="auto"/>
          <w:sz w:val="32"/>
          <w:szCs w:val="32"/>
          <w:highlight w:val="none"/>
          <w:u w:val="none"/>
          <w:lang w:val="en-US" w:eastAsia="zh-CN"/>
        </w:rPr>
        <w:t>应急响应启动后，县应急指挥部及有关部门要派专人24小时负责值守，确保信息通畅。县应急指挥部必须向社会公布应急值班电话、电子邮箱等官方渠道，便于公众及时反馈事件相关情况，同时，建立完善与相关部门信息沟通方式，保证事件信息及时互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i w:val="0"/>
          <w:iCs w:val="0"/>
          <w:color w:val="auto"/>
          <w:sz w:val="32"/>
          <w:szCs w:val="32"/>
          <w:highlight w:val="none"/>
          <w:u w:val="none"/>
          <w:lang w:val="en-US" w:eastAsia="zh-CN"/>
        </w:rPr>
      </w:pPr>
      <w:bookmarkStart w:id="340" w:name="_Toc1229206872"/>
      <w:bookmarkStart w:id="341" w:name="_Toc793997825"/>
      <w:bookmarkStart w:id="342" w:name="_Toc1273582838"/>
      <w:bookmarkStart w:id="343" w:name="_Toc16335"/>
      <w:bookmarkStart w:id="344" w:name="_Toc67607460"/>
      <w:bookmarkStart w:id="345" w:name="_Toc1152631458"/>
      <w:bookmarkStart w:id="346" w:name="_Toc284052628"/>
      <w:bookmarkStart w:id="347" w:name="_Toc2018282870"/>
      <w:r>
        <w:rPr>
          <w:rFonts w:hint="eastAsia" w:ascii="仿宋_GB2312" w:hAnsi="仿宋_GB2312" w:eastAsia="仿宋_GB2312" w:cs="方正仿宋_GBK"/>
          <w:i w:val="0"/>
          <w:iCs w:val="0"/>
          <w:color w:val="auto"/>
          <w:sz w:val="32"/>
          <w:szCs w:val="32"/>
          <w:highlight w:val="none"/>
          <w:u w:val="none"/>
          <w:lang w:val="en-US" w:eastAsia="zh-CN"/>
        </w:rPr>
        <w:t>6.6  科普宣教</w:t>
      </w:r>
      <w:bookmarkEnd w:id="340"/>
      <w:bookmarkEnd w:id="341"/>
      <w:bookmarkEnd w:id="342"/>
      <w:bookmarkEnd w:id="343"/>
      <w:bookmarkEnd w:id="344"/>
      <w:bookmarkEnd w:id="345"/>
      <w:bookmarkEnd w:id="346"/>
      <w:bookmarkEnd w:id="347"/>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i w:val="0"/>
          <w:iCs w:val="0"/>
          <w:color w:val="auto"/>
          <w:sz w:val="32"/>
          <w:szCs w:val="32"/>
          <w:highlight w:val="none"/>
          <w:u w:val="none"/>
          <w:lang w:val="en-US" w:eastAsia="zh-CN"/>
        </w:rPr>
      </w:pPr>
      <w:bookmarkStart w:id="348" w:name="_Toc1981420479"/>
      <w:bookmarkStart w:id="349" w:name="_Toc657595192"/>
      <w:bookmarkStart w:id="350" w:name="_Toc11870"/>
      <w:bookmarkStart w:id="351" w:name="_Toc543115222"/>
      <w:bookmarkStart w:id="352" w:name="_Toc1319708597"/>
      <w:bookmarkStart w:id="353" w:name="_Toc1481043692"/>
      <w:bookmarkStart w:id="354" w:name="_Toc1524232794"/>
      <w:bookmarkStart w:id="355" w:name="_Toc354253191"/>
      <w:r>
        <w:rPr>
          <w:rFonts w:hint="eastAsia" w:ascii="仿宋_GB2312" w:hAnsi="仿宋_GB2312" w:eastAsia="仿宋_GB2312" w:cs="方正仿宋_GBK"/>
          <w:i w:val="0"/>
          <w:iCs w:val="0"/>
          <w:color w:val="auto"/>
          <w:sz w:val="32"/>
          <w:szCs w:val="32"/>
          <w:highlight w:val="none"/>
          <w:u w:val="none"/>
          <w:lang w:val="en-US" w:eastAsia="zh-CN"/>
        </w:rPr>
        <w:t>各镇、各有关部门要利用各种媒体，采取多种形式，对社会公众开展药品安全突发事件应急常识，药品不良反应监测和合理用药用械知识的教育，提高公众的风险和责任意识，促进合理用药用械，避免、减少和减轻药品不良反应；引导媒体正确宣传药品不良反应，避免引发社会恐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i w:val="0"/>
          <w:iCs w:val="0"/>
          <w:color w:val="auto"/>
          <w:sz w:val="32"/>
          <w:szCs w:val="32"/>
          <w:highlight w:val="none"/>
          <w:u w:val="none"/>
          <w:lang w:val="en-US" w:eastAsia="zh-CN"/>
        </w:rPr>
      </w:pPr>
      <w:r>
        <w:rPr>
          <w:rFonts w:hint="eastAsia" w:ascii="仿宋_GB2312" w:hAnsi="仿宋_GB2312" w:eastAsia="仿宋_GB2312" w:cs="方正仿宋_GBK"/>
          <w:i w:val="0"/>
          <w:iCs w:val="0"/>
          <w:color w:val="auto"/>
          <w:sz w:val="32"/>
          <w:szCs w:val="32"/>
          <w:highlight w:val="none"/>
          <w:u w:val="none"/>
          <w:lang w:val="en-US" w:eastAsia="zh-CN"/>
        </w:rPr>
        <w:t>6.7  应急演练</w:t>
      </w:r>
      <w:bookmarkEnd w:id="348"/>
      <w:bookmarkEnd w:id="349"/>
      <w:bookmarkEnd w:id="350"/>
      <w:bookmarkEnd w:id="351"/>
      <w:bookmarkEnd w:id="352"/>
      <w:bookmarkEnd w:id="353"/>
      <w:bookmarkEnd w:id="354"/>
      <w:bookmarkEnd w:id="355"/>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i w:val="0"/>
          <w:iCs w:val="0"/>
          <w:color w:val="auto"/>
          <w:sz w:val="32"/>
          <w:szCs w:val="32"/>
          <w:highlight w:val="none"/>
          <w:u w:val="none"/>
          <w:lang w:val="en-US" w:eastAsia="zh-CN"/>
        </w:rPr>
      </w:pPr>
      <w:r>
        <w:rPr>
          <w:rFonts w:hint="eastAsia" w:ascii="仿宋_GB2312" w:hAnsi="仿宋_GB2312" w:eastAsia="仿宋_GB2312" w:cs="方正仿宋_GBK"/>
          <w:i w:val="0"/>
          <w:iCs w:val="0"/>
          <w:color w:val="auto"/>
          <w:sz w:val="32"/>
          <w:szCs w:val="32"/>
          <w:highlight w:val="none"/>
          <w:u w:val="none"/>
          <w:lang w:val="en-US" w:eastAsia="zh-CN"/>
        </w:rPr>
        <w:t>各镇、各有关部门要按照“统一规划、分类实施、分级负责、突出重点、适应需求”的原则，定期或不定期组织开展药品安全突发事件应急演练，检验和强化应急处置能力，并对演练结果进行总结和评估，进一步完善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lang w:val="en-US" w:eastAsia="zh-CN"/>
        </w:rPr>
      </w:pPr>
      <w:bookmarkStart w:id="356" w:name="_Toc1997425227"/>
      <w:bookmarkStart w:id="357" w:name="_Toc1389490578"/>
      <w:bookmarkStart w:id="358" w:name="_Toc57870026"/>
      <w:bookmarkStart w:id="359" w:name="_Toc14540"/>
      <w:bookmarkStart w:id="360" w:name="_Toc981072184"/>
      <w:bookmarkStart w:id="361" w:name="_Toc283979905"/>
      <w:bookmarkStart w:id="362" w:name="_Toc1664492270"/>
      <w:bookmarkStart w:id="363" w:name="_Toc383511632"/>
      <w:r>
        <w:rPr>
          <w:rFonts w:hint="eastAsia" w:ascii="仿宋_GB2312" w:hAnsi="仿宋_GB2312" w:eastAsia="仿宋_GB2312" w:cs="方正仿宋_GBK"/>
          <w:color w:val="auto"/>
          <w:sz w:val="32"/>
          <w:szCs w:val="32"/>
          <w:highlight w:val="none"/>
          <w:lang w:val="en-US" w:eastAsia="zh-CN"/>
        </w:rPr>
        <w:t>6.8  与党委部门协作保障</w:t>
      </w:r>
      <w:bookmarkEnd w:id="356"/>
      <w:bookmarkEnd w:id="357"/>
      <w:bookmarkEnd w:id="358"/>
      <w:bookmarkEnd w:id="359"/>
      <w:bookmarkEnd w:id="360"/>
      <w:bookmarkEnd w:id="361"/>
      <w:bookmarkEnd w:id="362"/>
      <w:bookmarkEnd w:id="36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如在具体执行中，涉及党委部门职责的，由县人民政府报告县委，以取得支持。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rPr>
      </w:pPr>
      <w:bookmarkStart w:id="364" w:name="_Toc832270414"/>
      <w:bookmarkStart w:id="365" w:name="_Toc564287966"/>
      <w:bookmarkStart w:id="366" w:name="_Toc2043893520"/>
      <w:bookmarkStart w:id="367" w:name="_Toc18530"/>
      <w:bookmarkStart w:id="368" w:name="_Toc519169082"/>
      <w:bookmarkStart w:id="369" w:name="_Toc685689453"/>
      <w:bookmarkStart w:id="370" w:name="_Toc1989163585"/>
      <w:bookmarkStart w:id="371" w:name="_Toc1061247364"/>
      <w:r>
        <w:rPr>
          <w:rFonts w:hint="eastAsia" w:ascii="仿宋_GB2312" w:hAnsi="仿宋_GB2312" w:eastAsia="仿宋_GB2312" w:cs="方正仿宋_GBK"/>
          <w:color w:val="auto"/>
          <w:sz w:val="32"/>
          <w:szCs w:val="32"/>
          <w:highlight w:val="none"/>
          <w:lang w:val="en-US" w:eastAsia="zh-CN"/>
        </w:rPr>
        <w:t>7</w:t>
      </w:r>
      <w:r>
        <w:rPr>
          <w:rFonts w:hint="eastAsia" w:ascii="仿宋_GB2312" w:hAnsi="仿宋_GB2312" w:eastAsia="仿宋_GB2312" w:cs="方正仿宋_GBK"/>
          <w:color w:val="auto"/>
          <w:sz w:val="32"/>
          <w:szCs w:val="32"/>
          <w:highlight w:val="none"/>
        </w:rPr>
        <w:t xml:space="preserve">  附则</w:t>
      </w:r>
      <w:bookmarkEnd w:id="364"/>
      <w:bookmarkEnd w:id="365"/>
      <w:bookmarkEnd w:id="366"/>
      <w:bookmarkEnd w:id="367"/>
      <w:bookmarkEnd w:id="368"/>
      <w:bookmarkEnd w:id="369"/>
      <w:bookmarkEnd w:id="370"/>
      <w:bookmarkEnd w:id="371"/>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方正仿宋_GBK"/>
          <w:color w:val="auto"/>
          <w:sz w:val="32"/>
          <w:szCs w:val="32"/>
          <w:highlight w:val="none"/>
          <w:lang w:val="en-US" w:eastAsia="zh-CN"/>
        </w:rPr>
      </w:pPr>
      <w:bookmarkStart w:id="372" w:name="_Toc1182411692"/>
      <w:bookmarkStart w:id="373" w:name="_Toc913158693"/>
      <w:bookmarkStart w:id="374" w:name="_Toc1934631011"/>
      <w:bookmarkStart w:id="375" w:name="_Toc14703"/>
      <w:bookmarkStart w:id="376" w:name="_Toc1602369977"/>
      <w:bookmarkStart w:id="377" w:name="_Toc1135573317"/>
      <w:bookmarkStart w:id="378" w:name="_Toc476798509"/>
      <w:bookmarkStart w:id="379" w:name="_Toc567013777"/>
      <w:r>
        <w:rPr>
          <w:rFonts w:hint="eastAsia" w:ascii="仿宋_GB2312" w:hAnsi="仿宋_GB2312" w:eastAsia="仿宋_GB2312" w:cs="方正仿宋_GBK"/>
          <w:color w:val="auto"/>
          <w:sz w:val="32"/>
          <w:szCs w:val="32"/>
          <w:highlight w:val="none"/>
          <w:lang w:val="en-US" w:eastAsia="zh-CN"/>
        </w:rPr>
        <w:t>7.1  名词</w:t>
      </w:r>
      <w:bookmarkEnd w:id="372"/>
      <w:bookmarkEnd w:id="373"/>
      <w:bookmarkEnd w:id="374"/>
      <w:bookmarkEnd w:id="375"/>
      <w:bookmarkEnd w:id="376"/>
      <w:bookmarkEnd w:id="377"/>
      <w:bookmarkEnd w:id="378"/>
      <w:bookmarkEnd w:id="379"/>
      <w:r>
        <w:rPr>
          <w:rFonts w:hint="eastAsia" w:ascii="仿宋_GB2312" w:hAnsi="仿宋_GB2312" w:eastAsia="仿宋_GB2312" w:cs="方正仿宋_GBK"/>
          <w:color w:val="auto"/>
          <w:sz w:val="32"/>
          <w:szCs w:val="32"/>
          <w:highlight w:val="none"/>
          <w:lang w:val="en-US" w:eastAsia="zh-CN"/>
        </w:rPr>
        <w:t>术语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药品安全突发事件：是指突然发生，对社会公众健康造成或可能造成严重损害，需要采取应急处置措施予以应对的药品群体不良事件、重大药品质量事件，以及其他严重影响公众健康的药品安全事件。</w:t>
      </w:r>
    </w:p>
    <w:p>
      <w:pPr>
        <w:pStyle w:val="12"/>
        <w:ind w:firstLine="632" w:firstLineChars="200"/>
        <w:rPr>
          <w:rFonts w:hint="eastAsia" w:ascii="仿宋_GB2312" w:hAnsi="仿宋_GB2312" w:cs="方正仿宋_GBK"/>
          <w:color w:val="auto"/>
          <w:sz w:val="32"/>
          <w:szCs w:val="32"/>
          <w:highlight w:val="none"/>
          <w:lang w:val="en-US" w:eastAsia="zh-CN"/>
        </w:rPr>
      </w:pPr>
      <w:r>
        <w:rPr>
          <w:rFonts w:hint="eastAsia" w:ascii="仿宋_GB2312" w:hAnsi="仿宋_GB2312" w:cs="方正仿宋_GBK"/>
          <w:color w:val="auto"/>
          <w:sz w:val="32"/>
          <w:szCs w:val="32"/>
          <w:highlight w:val="none"/>
          <w:lang w:val="en-US" w:eastAsia="zh-CN"/>
        </w:rPr>
        <w:t>7.2  预案管理</w:t>
      </w:r>
    </w:p>
    <w:p>
      <w:pPr>
        <w:pStyle w:val="12"/>
        <w:ind w:firstLine="632" w:firstLineChars="200"/>
        <w:rPr>
          <w:rFonts w:hint="default" w:ascii="仿宋_GB2312" w:hAnsi="仿宋_GB2312" w:eastAsia="仿宋_GB2312" w:cs="方正仿宋_GBK"/>
          <w:color w:val="auto"/>
          <w:kern w:val="2"/>
          <w:sz w:val="32"/>
          <w:szCs w:val="32"/>
          <w:highlight w:val="none"/>
          <w:lang w:val="en-US" w:eastAsia="zh-CN"/>
        </w:rPr>
      </w:pPr>
      <w:r>
        <w:rPr>
          <w:rFonts w:hint="eastAsia" w:ascii="仿宋_GB2312" w:hAnsi="仿宋_GB2312" w:eastAsia="仿宋_GB2312" w:cs="方正仿宋_GBK"/>
          <w:color w:val="auto"/>
          <w:kern w:val="2"/>
          <w:sz w:val="32"/>
          <w:szCs w:val="32"/>
          <w:highlight w:val="none"/>
          <w:lang w:val="en-US" w:eastAsia="zh-CN"/>
        </w:rPr>
        <w:t>本预案实施后，根据使用情况，适时开展评估修订。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kern w:val="0"/>
          <w:sz w:val="32"/>
          <w:szCs w:val="32"/>
          <w:highlight w:val="none"/>
          <w:lang w:val="en-US" w:eastAsia="zh-CN"/>
        </w:rPr>
      </w:pPr>
      <w:bookmarkStart w:id="380" w:name="_Toc16779"/>
      <w:bookmarkStart w:id="381" w:name="_Toc292870012"/>
      <w:bookmarkStart w:id="382" w:name="_Toc132379224"/>
      <w:bookmarkStart w:id="383" w:name="_Toc1674249728"/>
      <w:bookmarkStart w:id="384" w:name="_Toc838283311"/>
      <w:bookmarkStart w:id="385" w:name="_Toc164200619"/>
      <w:bookmarkStart w:id="386" w:name="_Toc826775148"/>
      <w:bookmarkStart w:id="387" w:name="_Toc1487587525"/>
      <w:r>
        <w:rPr>
          <w:rFonts w:hint="eastAsia" w:ascii="仿宋_GB2312" w:hAnsi="仿宋_GB2312" w:eastAsia="仿宋_GB2312" w:cs="方正仿宋_GBK"/>
          <w:color w:val="auto"/>
          <w:kern w:val="0"/>
          <w:sz w:val="32"/>
          <w:szCs w:val="32"/>
          <w:highlight w:val="none"/>
          <w:lang w:val="en-US" w:eastAsia="zh-CN"/>
        </w:rPr>
        <w:t>7.3  预案</w:t>
      </w:r>
      <w:bookmarkEnd w:id="380"/>
      <w:bookmarkEnd w:id="381"/>
      <w:bookmarkEnd w:id="382"/>
      <w:bookmarkEnd w:id="383"/>
      <w:bookmarkEnd w:id="384"/>
      <w:bookmarkEnd w:id="385"/>
      <w:bookmarkEnd w:id="386"/>
      <w:bookmarkEnd w:id="387"/>
      <w:r>
        <w:rPr>
          <w:rFonts w:hint="eastAsia" w:ascii="仿宋_GB2312" w:hAnsi="仿宋_GB2312" w:eastAsia="仿宋_GB2312" w:cs="方正仿宋_GBK"/>
          <w:color w:val="auto"/>
          <w:kern w:val="0"/>
          <w:sz w:val="32"/>
          <w:szCs w:val="32"/>
          <w:highlight w:val="none"/>
          <w:lang w:val="en-US" w:eastAsia="zh-CN"/>
        </w:rPr>
        <w:t>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本预案的具体运用问题由县市场监督管理局负责解释。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1"/>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7.4  预案实施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u w:val="none"/>
          <w:lang w:val="en-US" w:eastAsia="zh-CN"/>
        </w:rPr>
      </w:pPr>
      <w:r>
        <w:rPr>
          <w:rFonts w:hint="eastAsia" w:ascii="仿宋_GB2312" w:hAnsi="仿宋_GB2312" w:eastAsia="仿宋_GB2312" w:cs="方正仿宋_GBK"/>
          <w:color w:val="auto"/>
          <w:sz w:val="32"/>
          <w:szCs w:val="32"/>
          <w:highlight w:val="none"/>
          <w:u w:val="none"/>
          <w:lang w:val="en-US" w:eastAsia="zh-CN"/>
        </w:rPr>
        <w:t>本预案自发布之日起施行。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仿宋_GB2312" w:hAnsi="仿宋_GB2312" w:eastAsia="仿宋_GB2312" w:cs="仿宋_GB2312"/>
          <w:color w:val="auto"/>
          <w:sz w:val="32"/>
          <w:szCs w:val="32"/>
          <w:highlight w:val="none"/>
        </w:rPr>
      </w:pPr>
      <w:bookmarkStart w:id="388" w:name="_Toc933209758"/>
      <w:bookmarkStart w:id="389" w:name="_Toc2111887119"/>
      <w:bookmarkStart w:id="390" w:name="_Toc499134173"/>
      <w:bookmarkStart w:id="391" w:name="_Toc10078"/>
      <w:bookmarkStart w:id="392" w:name="_Toc1480026438"/>
      <w:bookmarkStart w:id="393" w:name="_Toc984111173"/>
      <w:bookmarkStart w:id="394" w:name="_Toc1093085286"/>
      <w:bookmarkStart w:id="395" w:name="_Toc1429639662"/>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 xml:space="preserve">  附件</w:t>
      </w:r>
      <w:bookmarkEnd w:id="388"/>
      <w:bookmarkEnd w:id="389"/>
      <w:bookmarkEnd w:id="390"/>
      <w:bookmarkEnd w:id="391"/>
      <w:bookmarkEnd w:id="392"/>
      <w:bookmarkEnd w:id="393"/>
      <w:bookmarkEnd w:id="394"/>
      <w:bookmarkEnd w:id="395"/>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附件1  药品安全突发事件分级标准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附件2  医疗器械安全突发事件分级标准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附件3  化妆品安全突发事件分级标准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方正仿宋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附件4  药品安全突发事件应对处置流程图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ESI楷体-GB2312" w:hAnsi="CESI楷体-GB2312" w:eastAsia="CESI楷体-GB2312" w:cs="CESI楷体-GB2312"/>
          <w:color w:val="auto"/>
          <w:sz w:val="32"/>
          <w:szCs w:val="32"/>
          <w:highlight w:val="none"/>
          <w:lang w:val="en-US" w:eastAsia="zh-CN"/>
        </w:rPr>
      </w:pPr>
      <w:r>
        <w:rPr>
          <w:rFonts w:hint="eastAsia" w:ascii="CESI楷体-GB2312" w:hAnsi="CESI楷体-GB2312" w:eastAsia="CESI楷体-GB2312" w:cs="CESI楷体-GB2312"/>
          <w:color w:val="auto"/>
          <w:sz w:val="32"/>
          <w:szCs w:val="32"/>
          <w:highlight w:val="none"/>
          <w:lang w:val="en-US" w:eastAsia="zh-CN"/>
        </w:rPr>
        <w:br w:type="page"/>
      </w:r>
      <w:r>
        <w:rPr>
          <w:rFonts w:hint="eastAsia" w:ascii="黑体" w:hAnsi="黑体" w:eastAsia="黑体" w:cs="黑体"/>
          <w:color w:val="auto"/>
          <w:sz w:val="32"/>
          <w:szCs w:val="32"/>
          <w:highlight w:val="none"/>
          <w:lang w:val="en-US" w:eastAsia="zh-CN"/>
        </w:rPr>
        <w:t xml:space="preserve">附件1 </w:t>
      </w:r>
    </w:p>
    <w:p>
      <w:pPr>
        <w:keepNext w:val="0"/>
        <w:keepLines w:val="0"/>
        <w:pageBreakBefore w:val="0"/>
        <w:widowControl/>
        <w:kinsoku/>
        <w:wordWrap/>
        <w:overflowPunct/>
        <w:topLinePunct w:val="0"/>
        <w:autoSpaceDE/>
        <w:autoSpaceDN/>
        <w:bidi w:val="0"/>
        <w:adjustRightInd w:val="0"/>
        <w:snapToGrid w:val="0"/>
        <w:spacing w:after="156" w:afterLines="50" w:line="580" w:lineRule="exact"/>
        <w:jc w:val="center"/>
        <w:textAlignment w:val="auto"/>
        <w:outlineLvl w:val="0"/>
        <w:rPr>
          <w:rFonts w:hint="eastAsia" w:ascii="方正小标宋_GBK" w:hAnsi="方正小标宋_GBK" w:eastAsia="方正小标宋_GBK" w:cs="仿宋"/>
          <w:color w:val="auto"/>
          <w:sz w:val="44"/>
          <w:szCs w:val="32"/>
          <w:highlight w:val="none"/>
        </w:rPr>
      </w:pPr>
      <w:bookmarkStart w:id="396" w:name="_Toc421448896"/>
      <w:bookmarkStart w:id="397" w:name="_Toc516186240"/>
      <w:bookmarkStart w:id="398" w:name="_Toc946104598"/>
      <w:bookmarkStart w:id="399" w:name="_Toc1383772288"/>
      <w:bookmarkStart w:id="400" w:name="_Toc892152015"/>
      <w:bookmarkStart w:id="401" w:name="_Toc833874713"/>
      <w:bookmarkStart w:id="402" w:name="_Toc2979"/>
      <w:bookmarkStart w:id="403" w:name="_Toc1254597670"/>
      <w:r>
        <w:rPr>
          <w:rFonts w:hint="eastAsia" w:ascii="方正小标宋_GBK" w:hAnsi="方正小标宋_GBK" w:eastAsia="方正小标宋_GBK" w:cs="方正小标宋简体"/>
          <w:color w:val="auto"/>
          <w:sz w:val="44"/>
          <w:szCs w:val="28"/>
          <w:highlight w:val="none"/>
          <w:lang w:eastAsia="zh-CN"/>
        </w:rPr>
        <w:t>药品</w:t>
      </w:r>
      <w:r>
        <w:rPr>
          <w:rFonts w:hint="eastAsia" w:ascii="方正小标宋_GBK" w:hAnsi="方正小标宋_GBK" w:eastAsia="方正小标宋_GBK" w:cs="方正小标宋简体"/>
          <w:color w:val="auto"/>
          <w:sz w:val="44"/>
          <w:szCs w:val="28"/>
          <w:highlight w:val="none"/>
        </w:rPr>
        <w:t>安全突发事件分级标准</w:t>
      </w:r>
      <w:bookmarkEnd w:id="396"/>
      <w:bookmarkEnd w:id="397"/>
      <w:bookmarkEnd w:id="398"/>
      <w:bookmarkEnd w:id="399"/>
      <w:bookmarkEnd w:id="400"/>
      <w:bookmarkEnd w:id="401"/>
      <w:bookmarkEnd w:id="402"/>
      <w:bookmarkEnd w:id="403"/>
    </w:p>
    <w:tbl>
      <w:tblPr>
        <w:tblStyle w:val="9"/>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事件类别</w:t>
            </w:r>
          </w:p>
        </w:tc>
        <w:tc>
          <w:tcPr>
            <w:tcW w:w="77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trPr>
        <w:tc>
          <w:tcPr>
            <w:tcW w:w="15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特别重大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Ⅰ级</w:t>
            </w:r>
            <w:r>
              <w:rPr>
                <w:rFonts w:hint="eastAsia" w:ascii="仿宋" w:hAnsi="仿宋" w:eastAsia="仿宋" w:cs="仿宋"/>
                <w:color w:val="auto"/>
                <w:sz w:val="24"/>
                <w:szCs w:val="24"/>
                <w:highlight w:val="none"/>
                <w:lang w:eastAsia="zh-CN"/>
              </w:rPr>
              <w:t>）</w:t>
            </w:r>
          </w:p>
        </w:tc>
        <w:tc>
          <w:tcPr>
            <w:tcW w:w="776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在相对集中的时间和区域内，批号相对集中的同一药品引起临床表现相似的，且罕见的或非预期的不良反应的人数超过50人（含）；或者引起特别严重不良反应（可能对人体造成永久性伤残、对器官功能造成永久性损伤或危及生命的，下同）的人数超过10人（含）；</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（2）同一批号药品短期内引起</w:t>
            </w:r>
            <w:r>
              <w:rPr>
                <w:rFonts w:hint="eastAsia" w:ascii="仿宋" w:hAnsi="仿宋" w:eastAsia="仿宋" w:cs="仿宋"/>
                <w:color w:val="auto"/>
                <w:sz w:val="24"/>
                <w:szCs w:val="24"/>
                <w:highlight w:val="none"/>
                <w:lang w:val="en-US" w:eastAsia="zh-CN"/>
              </w:rPr>
              <w:t>5人（含）</w:t>
            </w:r>
            <w:r>
              <w:rPr>
                <w:rFonts w:hint="eastAsia" w:ascii="仿宋" w:hAnsi="仿宋" w:eastAsia="仿宋" w:cs="仿宋"/>
                <w:color w:val="auto"/>
                <w:sz w:val="24"/>
                <w:szCs w:val="24"/>
                <w:highlight w:val="none"/>
                <w:lang w:eastAsia="zh-CN"/>
              </w:rPr>
              <w:t>以上患者死亡；</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（3）短期内2个以上省（自治区、直辖县）因同一药品发生Ⅱ级药品安全突发事件；</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（4）其他危害特别严重的药品安全突发事件。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5" w:hRule="atLeast"/>
        </w:trPr>
        <w:tc>
          <w:tcPr>
            <w:tcW w:w="15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Ⅱ级</w:t>
            </w:r>
            <w:r>
              <w:rPr>
                <w:rFonts w:hint="eastAsia" w:ascii="仿宋" w:hAnsi="仿宋" w:eastAsia="仿宋" w:cs="仿宋"/>
                <w:color w:val="auto"/>
                <w:sz w:val="24"/>
                <w:szCs w:val="24"/>
                <w:highlight w:val="none"/>
                <w:lang w:eastAsia="zh-CN"/>
              </w:rPr>
              <w:t>）</w:t>
            </w:r>
          </w:p>
        </w:tc>
        <w:tc>
          <w:tcPr>
            <w:tcW w:w="776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（1）在相对集中的时间和区域内，批号相对集中的同一药品引起临床表现相似的，且罕见的或非预期的不良反应的人数超过30人（含），少于50人；或者引起特别严重不良反应的人数超过5人（含）；</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（2）同一批号药品短期内引起2人以上、</w:t>
            </w:r>
            <w:r>
              <w:rPr>
                <w:rFonts w:hint="eastAsia" w:ascii="仿宋" w:hAnsi="仿宋" w:eastAsia="仿宋" w:cs="仿宋"/>
                <w:color w:val="auto"/>
                <w:sz w:val="24"/>
                <w:szCs w:val="24"/>
                <w:highlight w:val="none"/>
                <w:lang w:val="en-US" w:eastAsia="zh-CN"/>
              </w:rPr>
              <w:t>5人以下</w:t>
            </w:r>
            <w:r>
              <w:rPr>
                <w:rFonts w:hint="eastAsia" w:ascii="仿宋" w:hAnsi="仿宋" w:eastAsia="仿宋" w:cs="仿宋"/>
                <w:color w:val="auto"/>
                <w:sz w:val="24"/>
                <w:szCs w:val="24"/>
                <w:highlight w:val="none"/>
                <w:lang w:eastAsia="zh-CN"/>
              </w:rPr>
              <w:t>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（3）短期内，我省2个以上县县因同一药品发生Ⅲ级药品安全突发事件；</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（4）其他危害严重的药品安全突发事件。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trPr>
        <w:tc>
          <w:tcPr>
            <w:tcW w:w="15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较</w:t>
            </w:r>
            <w:r>
              <w:rPr>
                <w:rFonts w:hint="eastAsia" w:ascii="仿宋" w:hAnsi="仿宋" w:eastAsia="仿宋" w:cs="仿宋"/>
                <w:color w:val="auto"/>
                <w:sz w:val="24"/>
                <w:szCs w:val="24"/>
                <w:highlight w:val="none"/>
              </w:rPr>
              <w:t>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Ⅲ级</w:t>
            </w:r>
            <w:r>
              <w:rPr>
                <w:rFonts w:hint="eastAsia" w:ascii="仿宋" w:hAnsi="仿宋" w:eastAsia="仿宋" w:cs="仿宋"/>
                <w:color w:val="auto"/>
                <w:sz w:val="24"/>
                <w:szCs w:val="24"/>
                <w:highlight w:val="none"/>
                <w:lang w:eastAsia="zh-CN"/>
              </w:rPr>
              <w:t>）</w:t>
            </w:r>
          </w:p>
        </w:tc>
        <w:tc>
          <w:tcPr>
            <w:tcW w:w="776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（1）在相对集中的时间和区域内，批号相对集中的同一药品引起临床表现相似的，且罕见的或非预期的不良反应的人数超过20人（含），少于30人；或者引起特别严重不良反应的人数超过</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人（含）；</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）同一批号药品短期内引起</w:t>
            </w:r>
            <w:r>
              <w:rPr>
                <w:rFonts w:hint="eastAsia" w:ascii="仿宋" w:hAnsi="仿宋" w:eastAsia="仿宋" w:cs="仿宋"/>
                <w:color w:val="auto"/>
                <w:sz w:val="24"/>
                <w:szCs w:val="24"/>
                <w:highlight w:val="none"/>
                <w:lang w:val="en-US" w:eastAsia="zh-CN"/>
              </w:rPr>
              <w:t>2人（含）以下患者死亡，且在同一区域内同时出现其他类似病例；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）短期内，1个设区县内2个以上区因同一药品发生Ⅳ级药品安全突发事件；</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）其他危害较大的药品安全突发事件。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一般</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（Ⅳ级）</w:t>
            </w:r>
          </w:p>
        </w:tc>
        <w:tc>
          <w:tcPr>
            <w:tcW w:w="776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（1）在相对集中的时间和区域内，批号相对集中的同一药品引起临床表现相似的，且罕见的或非预期的不良反应的人数超过10人（含），少于20人；或者引起特别严重不良反应的人数超过2人（含）；</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（2）其他一般药品安全突发事件。</w:t>
            </w:r>
          </w:p>
        </w:tc>
      </w:tr>
    </w:tbl>
    <w:p>
      <w:pPr>
        <w:keepNext w:val="0"/>
        <w:keepLines w:val="0"/>
        <w:pageBreakBefore w:val="0"/>
        <w:widowControl/>
        <w:kinsoku/>
        <w:wordWrap/>
        <w:overflowPunct/>
        <w:topLinePunct w:val="0"/>
        <w:autoSpaceDE/>
        <w:autoSpaceDN/>
        <w:bidi w:val="0"/>
        <w:adjustRightInd w:val="0"/>
        <w:snapToGrid w:val="0"/>
        <w:spacing w:after="156" w:afterLines="50" w:line="580" w:lineRule="exact"/>
        <w:ind w:left="0" w:leftChars="0" w:right="0" w:rightChars="0" w:firstLine="0" w:firstLineChars="0"/>
        <w:jc w:val="left"/>
        <w:textAlignment w:val="auto"/>
        <w:outlineLvl w:val="0"/>
        <w:rPr>
          <w:rFonts w:hint="eastAsia" w:ascii="CESI仿宋-GB2312" w:hAnsi="CESI仿宋-GB2312" w:eastAsia="CESI仿宋-GB2312" w:cs="CESI仿宋-GB2312"/>
          <w:color w:val="auto"/>
          <w:sz w:val="28"/>
          <w:szCs w:val="28"/>
          <w:highlight w:val="none"/>
          <w:lang w:val="en-US" w:eastAsia="zh-CN"/>
        </w:rPr>
      </w:pPr>
      <w:r>
        <w:rPr>
          <w:rFonts w:hint="eastAsia" w:ascii="CESI仿宋-GB2312" w:hAnsi="CESI仿宋-GB2312" w:eastAsia="CESI仿宋-GB2312" w:cs="CESI仿宋-GB2312"/>
          <w:color w:val="auto"/>
          <w:sz w:val="28"/>
          <w:szCs w:val="28"/>
          <w:highlight w:val="none"/>
          <w:lang w:val="en-US" w:eastAsia="zh-CN"/>
        </w:rPr>
        <w:br w:type="page"/>
      </w:r>
      <w:bookmarkStart w:id="404" w:name="_Toc11532"/>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kinsoku/>
        <w:wordWrap/>
        <w:overflowPunct/>
        <w:topLinePunct w:val="0"/>
        <w:autoSpaceDE/>
        <w:autoSpaceDN/>
        <w:bidi w:val="0"/>
        <w:adjustRightInd w:val="0"/>
        <w:snapToGrid w:val="0"/>
        <w:spacing w:after="156" w:afterLines="50" w:line="580" w:lineRule="exact"/>
        <w:jc w:val="center"/>
        <w:textAlignment w:val="auto"/>
        <w:outlineLvl w:val="0"/>
        <w:rPr>
          <w:rFonts w:hint="eastAsia" w:ascii="方正小标宋_GBK" w:hAnsi="方正小标宋_GBK" w:eastAsia="方正小标宋_GBK" w:cs="方正小标宋简体"/>
          <w:color w:val="auto"/>
          <w:sz w:val="44"/>
          <w:szCs w:val="28"/>
          <w:highlight w:val="none"/>
          <w:lang w:eastAsia="zh-CN"/>
        </w:rPr>
      </w:pPr>
      <w:r>
        <w:rPr>
          <w:rFonts w:hint="eastAsia" w:ascii="方正小标宋_GBK" w:hAnsi="方正小标宋_GBK" w:eastAsia="方正小标宋_GBK" w:cs="方正小标宋简体"/>
          <w:color w:val="auto"/>
          <w:sz w:val="44"/>
          <w:szCs w:val="28"/>
          <w:highlight w:val="none"/>
          <w:lang w:eastAsia="zh-CN"/>
        </w:rPr>
        <w:t>医疗器械安全突发事件分级标准</w:t>
      </w:r>
    </w:p>
    <w:tbl>
      <w:tblPr>
        <w:tblStyle w:val="9"/>
        <w:tblW w:w="906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488"/>
        <w:gridCol w:w="75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6" w:hRule="atLeast"/>
          <w:jc w:val="center"/>
        </w:trPr>
        <w:tc>
          <w:tcPr>
            <w:tcW w:w="148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color w:val="auto"/>
                <w:sz w:val="30"/>
                <w:szCs w:val="30"/>
                <w:highlight w:val="none"/>
                <w:u w:val="none"/>
              </w:rPr>
            </w:pPr>
            <w:r>
              <w:rPr>
                <w:rFonts w:hint="default" w:ascii="CESI黑体-GB2312" w:hAnsi="CESI黑体-GB2312" w:eastAsia="CESI黑体-GB2312" w:cs="CESI黑体-GB2312"/>
                <w:color w:val="auto"/>
                <w:sz w:val="24"/>
                <w:szCs w:val="24"/>
                <w:highlight w:val="none"/>
                <w:u w:val="none"/>
              </w:rPr>
              <w:t>事件类别</w:t>
            </w:r>
          </w:p>
        </w:tc>
        <w:tc>
          <w:tcPr>
            <w:tcW w:w="7573" w:type="dxa"/>
            <w:tcBorders>
              <w:top w:val="single" w:color="auto" w:sz="8" w:space="0"/>
              <w:left w:val="nil"/>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color w:val="auto"/>
                <w:sz w:val="30"/>
                <w:szCs w:val="30"/>
                <w:highlight w:val="none"/>
                <w:u w:val="none"/>
              </w:rPr>
            </w:pPr>
            <w:r>
              <w:rPr>
                <w:rFonts w:hint="default" w:ascii="CESI黑体-GB2312" w:hAnsi="CESI黑体-GB2312" w:eastAsia="CESI黑体-GB2312" w:cs="CESI黑体-GB2312"/>
                <w:color w:val="auto"/>
                <w:sz w:val="24"/>
                <w:szCs w:val="24"/>
                <w:highlight w:val="none"/>
                <w:u w:val="none"/>
              </w:rPr>
              <w:t>分级标准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76" w:hRule="atLeast"/>
          <w:jc w:val="center"/>
        </w:trPr>
        <w:tc>
          <w:tcPr>
            <w:tcW w:w="1488" w:type="dxa"/>
            <w:tcBorders>
              <w:top w:val="nil"/>
              <w:left w:val="single" w:color="auto" w:sz="8" w:space="0"/>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特别重大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（Ⅰ级）</w:t>
            </w:r>
          </w:p>
        </w:tc>
        <w:tc>
          <w:tcPr>
            <w:tcW w:w="7573" w:type="dxa"/>
            <w:tcBorders>
              <w:top w:val="nil"/>
              <w:left w:val="nil"/>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符合下列情形之一的与医疗器械质量相关事件：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1）在相对集中的时间和区域内，批号相对集中的同一医疗器械引起临床表现相似的，且罕见的或非预期的不良事件的人数超过50人（含）；或者引起特别严重不良事件（可能对人体造成永久性伤残、对器官功能造成永久性损伤或危及生命的，下同）的人数超过10人（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（2）同一批号医疗器械短期内引起5人（含）以上患者死亡；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（3）短期内2个以上省（自治区、直辖市）因同一医疗器械发生Ⅱ级医疗器械安全突发事件；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（4）其他危害特别严重的医疗器械安全突发事件。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750" w:hRule="atLeast"/>
          <w:jc w:val="center"/>
        </w:trPr>
        <w:tc>
          <w:tcPr>
            <w:tcW w:w="1488" w:type="dxa"/>
            <w:tcBorders>
              <w:top w:val="nil"/>
              <w:left w:val="single" w:color="auto" w:sz="8" w:space="0"/>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重大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（Ⅱ级）</w:t>
            </w:r>
          </w:p>
        </w:tc>
        <w:tc>
          <w:tcPr>
            <w:tcW w:w="7573" w:type="dxa"/>
            <w:tcBorders>
              <w:top w:val="nil"/>
              <w:left w:val="nil"/>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符合下列情形之一的与医疗器械质量相关事件：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（1）在相对集中的时间和区域内，批号相对集中的同一医疗器械引起临床表现相似的，且罕见的或非预期的不良事件的人数超过30人（含），少于50人；或者引起特别严重不良事件的人数超过5人（含）；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（2）同一批号医疗器械短期内引起2人以上、5人以下患者死亡，且在同一区域内同时出现其他类似病例；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（3）短期内，我省2个以上市县因同一医疗器械发生Ⅲ级医疗器械安全突发事件；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（4）其他危害严重的医疗器械安全突发事件。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53" w:hRule="atLeast"/>
          <w:jc w:val="center"/>
        </w:trPr>
        <w:tc>
          <w:tcPr>
            <w:tcW w:w="1488" w:type="dxa"/>
            <w:tcBorders>
              <w:top w:val="nil"/>
              <w:left w:val="single" w:color="auto" w:sz="8" w:space="0"/>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较大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（Ⅲ级）</w:t>
            </w:r>
          </w:p>
        </w:tc>
        <w:tc>
          <w:tcPr>
            <w:tcW w:w="7573" w:type="dxa"/>
            <w:tcBorders>
              <w:top w:val="nil"/>
              <w:left w:val="nil"/>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符合下列情形之一的与医疗器械质量相关事件：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（1）在相对集中的时间和区域内，批号相对集中的同一医疗器械引起临床表现相似的，且罕见的或非预期的不良事件的人数超过20人（含），少于30人；或者引起特别严重不良事件的人数超过3人（含）；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（2）同一批号医疗器械短期内引起2人（含）以下患者死亡，且在同一区域内同时出现其他类似病例；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（3）短期内，1个设区市内2个以上区因同一医疗器械发生Ⅳ级医疗器械安全突发事件；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（4）其他危害较大的医疗器械安全突发事件。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03" w:hRule="atLeast"/>
          <w:jc w:val="center"/>
        </w:trPr>
        <w:tc>
          <w:tcPr>
            <w:tcW w:w="1488" w:type="dxa"/>
            <w:tcBorders>
              <w:top w:val="nil"/>
              <w:left w:val="single" w:color="auto" w:sz="8" w:space="0"/>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一般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（Ⅳ级）</w:t>
            </w:r>
          </w:p>
        </w:tc>
        <w:tc>
          <w:tcPr>
            <w:tcW w:w="7573" w:type="dxa"/>
            <w:tcBorders>
              <w:top w:val="nil"/>
              <w:left w:val="nil"/>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符合下列情形之一的与医疗器械质量相关事件：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（1）在相对集中的时间和区域内，批号相对集中的同一医疗器械引起临床表现相似的，且罕见的或非预期的不良事件的人数超过10人（含），少于20人；或者引起特别严重不良事件的人数超过2人（含）；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（2）其他一般医疗器械安全突发事件。</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keepNext w:val="0"/>
        <w:keepLines w:val="0"/>
        <w:pageBreakBefore w:val="0"/>
        <w:widowControl/>
        <w:kinsoku/>
        <w:wordWrap/>
        <w:overflowPunct/>
        <w:topLinePunct w:val="0"/>
        <w:autoSpaceDE/>
        <w:autoSpaceDN/>
        <w:bidi w:val="0"/>
        <w:adjustRightInd w:val="0"/>
        <w:snapToGrid w:val="0"/>
        <w:spacing w:after="156" w:afterLines="50" w:line="580" w:lineRule="exact"/>
        <w:jc w:val="center"/>
        <w:textAlignment w:val="auto"/>
        <w:outlineLvl w:val="0"/>
        <w:rPr>
          <w:rFonts w:hint="eastAsia" w:ascii="方正小标宋_GBK" w:hAnsi="方正小标宋_GBK" w:eastAsia="方正小标宋_GBK" w:cs="方正小标宋简体"/>
          <w:color w:val="auto"/>
          <w:sz w:val="44"/>
          <w:szCs w:val="28"/>
          <w:highlight w:val="none"/>
          <w:lang w:val="en-US" w:eastAsia="zh-CN"/>
        </w:rPr>
      </w:pPr>
      <w:r>
        <w:rPr>
          <w:rFonts w:hint="eastAsia" w:ascii="方正小标宋_GBK" w:hAnsi="方正小标宋_GBK" w:eastAsia="方正小标宋_GBK" w:cs="方正小标宋简体"/>
          <w:color w:val="auto"/>
          <w:sz w:val="44"/>
          <w:szCs w:val="28"/>
          <w:highlight w:val="none"/>
          <w:lang w:val="en-US" w:eastAsia="zh-CN"/>
        </w:rPr>
        <w:t>化妆品安全突发事件分级标准</w:t>
      </w:r>
    </w:p>
    <w:tbl>
      <w:tblPr>
        <w:tblStyle w:val="9"/>
        <w:tblW w:w="906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569"/>
        <w:gridCol w:w="74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4" w:hRule="atLeast"/>
          <w:jc w:val="center"/>
        </w:trPr>
        <w:tc>
          <w:tcPr>
            <w:tcW w:w="15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auto"/>
                <w:sz w:val="30"/>
                <w:szCs w:val="30"/>
                <w:highlight w:val="none"/>
                <w:u w:val="none"/>
              </w:rPr>
            </w:pPr>
            <w:r>
              <w:rPr>
                <w:rFonts w:hint="default" w:ascii="CESI黑体-GB2312" w:hAnsi="CESI黑体-GB2312" w:eastAsia="CESI黑体-GB2312" w:cs="CESI黑体-GB2312"/>
                <w:color w:val="auto"/>
                <w:sz w:val="24"/>
                <w:szCs w:val="24"/>
                <w:highlight w:val="none"/>
                <w:u w:val="none"/>
              </w:rPr>
              <w:t>事件类别</w:t>
            </w:r>
          </w:p>
        </w:tc>
        <w:tc>
          <w:tcPr>
            <w:tcW w:w="7492" w:type="dxa"/>
            <w:tcBorders>
              <w:top w:val="single" w:color="auto" w:sz="8" w:space="0"/>
              <w:left w:val="nil"/>
              <w:bottom w:val="single" w:color="auto" w:sz="8" w:space="0"/>
              <w:right w:val="single" w:color="auto" w:sz="8" w:space="0"/>
            </w:tcBorders>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auto"/>
                <w:sz w:val="30"/>
                <w:szCs w:val="30"/>
                <w:highlight w:val="none"/>
                <w:u w:val="none"/>
              </w:rPr>
            </w:pPr>
            <w:r>
              <w:rPr>
                <w:rFonts w:hint="default" w:ascii="CESI黑体-GB2312" w:hAnsi="CESI黑体-GB2312" w:eastAsia="CESI黑体-GB2312" w:cs="CESI黑体-GB2312"/>
                <w:color w:val="auto"/>
                <w:sz w:val="24"/>
                <w:szCs w:val="24"/>
                <w:highlight w:val="none"/>
                <w:u w:val="none"/>
              </w:rPr>
              <w:t>分级标准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92" w:hRule="atLeast"/>
          <w:jc w:val="center"/>
        </w:trPr>
        <w:tc>
          <w:tcPr>
            <w:tcW w:w="1569" w:type="dxa"/>
            <w:tcBorders>
              <w:top w:val="nil"/>
              <w:left w:val="single" w:color="auto" w:sz="8" w:space="0"/>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特别重大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（Ⅰ级）</w:t>
            </w:r>
          </w:p>
        </w:tc>
        <w:tc>
          <w:tcPr>
            <w:tcW w:w="7492" w:type="dxa"/>
            <w:tcBorders>
              <w:top w:val="nil"/>
              <w:left w:val="nil"/>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符合下列情形之一的事件：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（1）有证据表明因使用化妆品而导致1人（含）及以上死亡的；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（2）在相对集中的时间，因使用同一注册人、备案人的化妆品在2个（含）以上省（自治区、直辖市）引起重大化妆品安全突发事件的；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（3）同一注册人、备案人的化妆品因质量安全引发舆情事件、国务院领导批示的化妆品安全突发事件。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31" w:hRule="atLeast"/>
          <w:jc w:val="center"/>
        </w:trPr>
        <w:tc>
          <w:tcPr>
            <w:tcW w:w="1569" w:type="dxa"/>
            <w:tcBorders>
              <w:top w:val="nil"/>
              <w:left w:val="single" w:color="auto" w:sz="8" w:space="0"/>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重大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（Ⅱ级）</w:t>
            </w:r>
          </w:p>
        </w:tc>
        <w:tc>
          <w:tcPr>
            <w:tcW w:w="7492" w:type="dxa"/>
            <w:tcBorders>
              <w:top w:val="nil"/>
              <w:left w:val="nil"/>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符合下列情形之一的事件：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（1）在相对集中的时间，经医疗机构确认，因使用同一品牌的化妆品而导致30例消费者产生严重不良反应、未出现死亡的；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（2）在相对集中的时间和区域，因使用同一注册人、备案人的化妆品在我省2个（含）以上市县引发较大化妆品安全突发事件的；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（3）同一注册人、备案人的化妆品因质量安全引发国家级媒体关注报道且引发社会广泛关注的舆情事件；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（4）省级药品监管部门认为应采取Ⅱ级应急响应措施的化妆品安全突发事件。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10" w:hRule="atLeast"/>
          <w:jc w:val="center"/>
        </w:trPr>
        <w:tc>
          <w:tcPr>
            <w:tcW w:w="1569" w:type="dxa"/>
            <w:tcBorders>
              <w:top w:val="nil"/>
              <w:left w:val="single" w:color="auto" w:sz="8" w:space="0"/>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较大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（Ⅲ级）</w:t>
            </w:r>
          </w:p>
        </w:tc>
        <w:tc>
          <w:tcPr>
            <w:tcW w:w="7492" w:type="dxa"/>
            <w:tcBorders>
              <w:top w:val="nil"/>
              <w:left w:val="nil"/>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符合下列情形之一的事件：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（1）在相对集中的时间和区域，经医疗机构确认，因使用同一品牌的化妆品而导致20例消费者产生严重不良反应、未出现死亡的；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（2）在相对集中的时间，因使用同一注册人、备案人的化妆品在1个设区市内2个以上区引发一般化妆品安全突发事件的；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（3）属地药品监管部门认为应采取Ⅲ级应急响应措施的化妆品安全突发事件。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34" w:hRule="atLeast"/>
          <w:jc w:val="center"/>
        </w:trPr>
        <w:tc>
          <w:tcPr>
            <w:tcW w:w="1569" w:type="dxa"/>
            <w:tcBorders>
              <w:top w:val="nil"/>
              <w:left w:val="single" w:color="auto" w:sz="8" w:space="0"/>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一般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（Ⅳ级）</w:t>
            </w:r>
          </w:p>
        </w:tc>
        <w:tc>
          <w:tcPr>
            <w:tcW w:w="7492" w:type="dxa"/>
            <w:tcBorders>
              <w:top w:val="nil"/>
              <w:left w:val="nil"/>
              <w:bottom w:val="single" w:color="auto" w:sz="8" w:space="0"/>
              <w:right w:val="single" w:color="auto" w:sz="8" w:space="0"/>
            </w:tcBorders>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符合下列情形之一的事件：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（1）在相对集中的时间，经医疗机构确认，因使用同一品牌的化妆品而导致10例消费者产生严重不良反应、未出现死亡的；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24"/>
                <w:szCs w:val="24"/>
                <w:highlight w:val="none"/>
                <w:u w:val="none"/>
              </w:rPr>
              <w:t>（2）属地药品监管部门认为应采取Ⅳ级应急响应措施的化妆品安全突发事件。</w:t>
            </w:r>
          </w:p>
        </w:tc>
      </w:tr>
      <w:bookmarkEnd w:id="404"/>
    </w:tbl>
    <w:p>
      <w:pPr>
        <w:keepNext w:val="0"/>
        <w:keepLines w:val="0"/>
        <w:pageBreakBefore w:val="0"/>
        <w:widowControl/>
        <w:kinsoku/>
        <w:wordWrap/>
        <w:overflowPunct/>
        <w:topLinePunct w:val="0"/>
        <w:autoSpaceDE/>
        <w:autoSpaceDN/>
        <w:bidi w:val="0"/>
        <w:adjustRightInd w:val="0"/>
        <w:snapToGrid w:val="0"/>
        <w:spacing w:after="156" w:afterLines="50" w:line="580" w:lineRule="exact"/>
        <w:ind w:left="0" w:leftChars="0" w:right="0" w:rightChars="0" w:firstLine="0" w:firstLineChars="0"/>
        <w:jc w:val="left"/>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附件4</w:t>
      </w:r>
    </w:p>
    <w:p>
      <w:pPr>
        <w:widowControl/>
        <w:adjustRightInd w:val="0"/>
        <w:snapToGrid w:val="0"/>
        <w:spacing w:after="156" w:afterLines="50" w:line="580" w:lineRule="exact"/>
        <w:jc w:val="center"/>
        <w:outlineLvl w:val="0"/>
        <w:rPr>
          <w:rFonts w:hint="eastAsia" w:ascii="方正小标宋简体" w:hAnsi="方正小标宋简体" w:eastAsia="方正小标宋简体" w:cs="方正小标宋简体"/>
          <w:color w:val="auto"/>
          <w:sz w:val="44"/>
          <w:szCs w:val="44"/>
          <w:highlight w:val="none"/>
        </w:rPr>
      </w:pPr>
      <w:bookmarkStart w:id="405" w:name="_Toc28629"/>
      <w:r>
        <w:rPr>
          <w:rFonts w:hint="eastAsia" w:ascii="方正小标宋_GBK" w:hAnsi="方正小标宋_GBK" w:eastAsia="方正小标宋_GBK" w:cs="方正小标宋简体"/>
          <w:color w:val="auto"/>
          <w:sz w:val="44"/>
          <w:szCs w:val="28"/>
          <w:highlight w:val="none"/>
          <w:lang w:eastAsia="zh-CN"/>
        </w:rPr>
        <w:t>屯昌县药品安全突发事件应对处置流程图</w:t>
      </w:r>
      <w:bookmarkEnd w:id="405"/>
    </w:p>
    <w:p>
      <w:pPr>
        <w:rPr>
          <w:color w:val="auto"/>
          <w:highlight w:val="none"/>
        </w:rPr>
      </w:pPr>
      <w:r>
        <w:rPr>
          <w:rFonts w:ascii="宋体" w:hAnsi="宋体" w:eastAsia="宋体" w:cs="宋体"/>
          <w:color w:val="auto"/>
          <w:sz w:val="24"/>
          <w:szCs w:val="24"/>
          <w:highlight w:val="none"/>
        </w:rPr>
        <w:drawing>
          <wp:inline distT="0" distB="0" distL="114300" distR="114300">
            <wp:extent cx="5219065" cy="5907405"/>
            <wp:effectExtent l="0" t="0" r="635" b="17145"/>
            <wp:docPr id="5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descr="IMG_256"/>
                    <pic:cNvPicPr>
                      <a:picLocks noChangeAspect="1"/>
                    </pic:cNvPicPr>
                  </pic:nvPicPr>
                  <pic:blipFill>
                    <a:blip r:embed="rId5"/>
                    <a:stretch>
                      <a:fillRect/>
                    </a:stretch>
                  </pic:blipFill>
                  <pic:spPr>
                    <a:xfrm>
                      <a:off x="0" y="0"/>
                      <a:ext cx="5219065" cy="5907405"/>
                    </a:xfrm>
                    <a:prstGeom prst="rect">
                      <a:avLst/>
                    </a:prstGeom>
                    <a:noFill/>
                    <a:ln w="9525">
                      <a:noFill/>
                    </a:ln>
                  </pic:spPr>
                </pic:pic>
              </a:graphicData>
            </a:graphic>
          </wp:inline>
        </w:drawing>
      </w:r>
    </w:p>
    <w:p>
      <w:pPr>
        <w:bidi w:val="0"/>
        <w:rPr>
          <w:rFonts w:ascii="Times New Roman" w:hAnsi="Times New Roman" w:eastAsia="CESI仿宋-GB2312" w:cs="Times New Roman"/>
          <w:color w:val="auto"/>
          <w:kern w:val="2"/>
          <w:sz w:val="32"/>
          <w:highlight w:val="none"/>
          <w:lang w:val="en-US" w:eastAsia="zh-CN"/>
        </w:rPr>
      </w:pPr>
    </w:p>
    <w:p>
      <w:pPr>
        <w:tabs>
          <w:tab w:val="left" w:pos="719"/>
        </w:tabs>
        <w:bidi w:val="0"/>
        <w:jc w:val="left"/>
        <w:rPr>
          <w:color w:val="auto"/>
          <w:highlight w:val="none"/>
          <w:lang w:val="en-US" w:eastAsia="zh-CN"/>
        </w:rPr>
      </w:pPr>
    </w:p>
    <w:sectPr>
      <w:footerReference r:id="rId3" w:type="default"/>
      <w:pgSz w:w="11906" w:h="16838"/>
      <w:pgMar w:top="2098" w:right="1474" w:bottom="1984" w:left="1587" w:header="851" w:footer="1417" w:gutter="0"/>
      <w:pgNumType w:fmt="decimal" w:start="1"/>
      <w:cols w:space="720" w:num="1"/>
      <w:rtlGutter w:val="0"/>
      <w:docGrid w:type="linesAndChars" w:linePitch="57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imHei-Identity-H">
    <w:altName w:val="黑体"/>
    <w:panose1 w:val="00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0033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003300" cy="1828800"/>
                      </a:xfrm>
                      <a:prstGeom prst="rect">
                        <a:avLst/>
                      </a:prstGeom>
                      <a:noFill/>
                      <a:ln>
                        <a:noFill/>
                      </a:ln>
                      <a:effectLst/>
                    </wps:spPr>
                    <wps:txbx>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0">
                      <a:spAutoFit/>
                    </wps:bodyPr>
                  </wps:wsp>
                </a:graphicData>
              </a:graphic>
            </wp:anchor>
          </w:drawing>
        </mc:Choice>
        <mc:Fallback>
          <w:pict>
            <v:shape id="文本框 2" o:spid="_x0000_s1026" o:spt="202" type="#_x0000_t202" style="position:absolute;left:0pt;margin-top:0pt;height:144pt;width:79pt;mso-position-horizontal:outside;mso-position-horizontal-relative:margin;z-index:251663360;mso-width-relative:page;mso-height-relative:page;" filled="f" stroked="f" coordsize="21600,21600" o:gfxdata="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Of&#10;NxfSAAAABQEAAA8AAAAAAAAAAQAgAAAAIgAAAGRycy9kb3ducmV2LnhtbFBLAQIUABQAAAAIAIdO&#10;4kC2KU/HtwEAAFsDAAAOAAAAAAAAAAEAIAAAACEBAABkcnMvZTJvRG9jLnhtbFBLBQYAAAAABgAG&#10;AFkBAABKBQAAAAA=&#10;">
              <v:fill on="f" focussize="0,0"/>
              <v:stroke on="f"/>
              <v:imagedata o:title=""/>
              <o:lock v:ext="edit" aspectratio="f"/>
              <v:textbox inset="0mm,0mm,0mm,0mm" style="mso-fit-shape-to-text:t;">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CESI仿宋-GB2312" w:hAnsi="CESI仿宋-GB2312" w:eastAsia="CESI仿宋-GB2312" w:cs="CESI仿宋-GB2312"/>
                              <w:sz w:val="24"/>
                              <w:szCs w:val="24"/>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Gw7EBAABZ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a7lK868cLSi87ev5+8/zz++sGUezxCxoajHSHFpvAsjrXm2Ixkz61GDy1/iw8hP&#10;gz5dh6vGxGROWq/W65pcknyzQvjVU3oETG9UcCwLLQfaXhmqOL7DNIXOIbmaDw/G2rJB638zEOZk&#10;UeUELtmZydRxltK4Gy/0dqE7EbuBzqDlnu6UM/vW05TzxcwCzMJuFg4RzL4vJ5WrY7w9JGqpdJor&#10;TLDEMCu0v8L1cmv5QJ7rJerpj9j+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D4bDsQEA&#10;AFkDAAAOAAAAAAAAAAEAIAAAAB4BAABkcnMvZTJvRG9jLnhtbFBLBQYAAAAABgAGAFkBAABBBQAA&#10;AAA=&#10;">
              <v:fill on="f" focussize="0,0"/>
              <v:stroke on="f"/>
              <v:imagedata o:title=""/>
              <o:lock v:ext="edit" aspectratio="f"/>
              <v:textbox inset="0mm,0mm,0mm,0mm" style="mso-fit-shape-to-text:t;">
                <w:txbxContent>
                  <w:p>
                    <w:pPr>
                      <w:pStyle w:val="4"/>
                      <w:rPr>
                        <w:rFonts w:hint="eastAsia" w:ascii="CESI仿宋-GB2312" w:hAnsi="CESI仿宋-GB2312" w:eastAsia="CESI仿宋-GB2312" w:cs="CESI仿宋-GB2312"/>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jg1ZGFiZmM3ZGYzOTVkODg1ZjQwZGJhNzgwMTEifQ=="/>
  </w:docVars>
  <w:rsids>
    <w:rsidRoot w:val="57AFDA2A"/>
    <w:rsid w:val="02834B6F"/>
    <w:rsid w:val="0A7FB1AB"/>
    <w:rsid w:val="0AAB317C"/>
    <w:rsid w:val="0E6364F9"/>
    <w:rsid w:val="0F144D24"/>
    <w:rsid w:val="16DF9A11"/>
    <w:rsid w:val="178D68E1"/>
    <w:rsid w:val="180E0D4E"/>
    <w:rsid w:val="1B686EB2"/>
    <w:rsid w:val="1FBF7C92"/>
    <w:rsid w:val="1FF40280"/>
    <w:rsid w:val="21961537"/>
    <w:rsid w:val="2800440B"/>
    <w:rsid w:val="28C8445F"/>
    <w:rsid w:val="2CBEABA8"/>
    <w:rsid w:val="2D32553E"/>
    <w:rsid w:val="2FFBA3F2"/>
    <w:rsid w:val="31E43172"/>
    <w:rsid w:val="327A5C06"/>
    <w:rsid w:val="36EFF39B"/>
    <w:rsid w:val="377DFEC0"/>
    <w:rsid w:val="37D04437"/>
    <w:rsid w:val="387642F3"/>
    <w:rsid w:val="3B2F1BCA"/>
    <w:rsid w:val="3BFF52FB"/>
    <w:rsid w:val="3FCF0C14"/>
    <w:rsid w:val="3FF2468C"/>
    <w:rsid w:val="40DF9196"/>
    <w:rsid w:val="41ED0F49"/>
    <w:rsid w:val="444F5466"/>
    <w:rsid w:val="4EAF0160"/>
    <w:rsid w:val="4EC9AC4F"/>
    <w:rsid w:val="51305594"/>
    <w:rsid w:val="525D04CB"/>
    <w:rsid w:val="52EF8C1E"/>
    <w:rsid w:val="54DB1B1C"/>
    <w:rsid w:val="57AFDA2A"/>
    <w:rsid w:val="57BA6D98"/>
    <w:rsid w:val="5CE78AD9"/>
    <w:rsid w:val="5D3C5B8D"/>
    <w:rsid w:val="5DF139E0"/>
    <w:rsid w:val="5ECD7723"/>
    <w:rsid w:val="5EFADB8D"/>
    <w:rsid w:val="5F7FD750"/>
    <w:rsid w:val="64FD3D18"/>
    <w:rsid w:val="65023C3F"/>
    <w:rsid w:val="67D652A3"/>
    <w:rsid w:val="6974603C"/>
    <w:rsid w:val="6C8F300A"/>
    <w:rsid w:val="6E155E4F"/>
    <w:rsid w:val="6F5478DB"/>
    <w:rsid w:val="6FDC71DB"/>
    <w:rsid w:val="6FFF7A28"/>
    <w:rsid w:val="7444437A"/>
    <w:rsid w:val="76CFC154"/>
    <w:rsid w:val="76EBEFEE"/>
    <w:rsid w:val="76F52856"/>
    <w:rsid w:val="777B0DCD"/>
    <w:rsid w:val="77C875A5"/>
    <w:rsid w:val="77F992E6"/>
    <w:rsid w:val="7A7F92B9"/>
    <w:rsid w:val="7B6B5807"/>
    <w:rsid w:val="7BADDD10"/>
    <w:rsid w:val="7BFF3596"/>
    <w:rsid w:val="7DD5180A"/>
    <w:rsid w:val="7DFD28F4"/>
    <w:rsid w:val="7DFFE5A4"/>
    <w:rsid w:val="7F770558"/>
    <w:rsid w:val="7FCFF36A"/>
    <w:rsid w:val="7FDB6B92"/>
    <w:rsid w:val="7FDF3588"/>
    <w:rsid w:val="7FF72394"/>
    <w:rsid w:val="8BADDBF8"/>
    <w:rsid w:val="AFF320A1"/>
    <w:rsid w:val="B3E59A7B"/>
    <w:rsid w:val="B6FC0040"/>
    <w:rsid w:val="BBF90C5A"/>
    <w:rsid w:val="BCBF5666"/>
    <w:rsid w:val="BDBECD87"/>
    <w:rsid w:val="BE77EACE"/>
    <w:rsid w:val="BFBFCDAB"/>
    <w:rsid w:val="BFF38CD8"/>
    <w:rsid w:val="BFF79004"/>
    <w:rsid w:val="C7CE0876"/>
    <w:rsid w:val="C9EEB733"/>
    <w:rsid w:val="CFBFC518"/>
    <w:rsid w:val="CFD0878D"/>
    <w:rsid w:val="D5BF1A4F"/>
    <w:rsid w:val="DD6E3A8A"/>
    <w:rsid w:val="DEB97E94"/>
    <w:rsid w:val="DF5F492A"/>
    <w:rsid w:val="E1776C7C"/>
    <w:rsid w:val="EADB9D87"/>
    <w:rsid w:val="EBEF5F7E"/>
    <w:rsid w:val="EBF9A830"/>
    <w:rsid w:val="ECF731CC"/>
    <w:rsid w:val="EF6E4FC1"/>
    <w:rsid w:val="F0FE69D5"/>
    <w:rsid w:val="F3FD4BCE"/>
    <w:rsid w:val="F9EE194B"/>
    <w:rsid w:val="F9FE17B5"/>
    <w:rsid w:val="FAF5F188"/>
    <w:rsid w:val="FB6EB9B5"/>
    <w:rsid w:val="FB9AB82F"/>
    <w:rsid w:val="FBEE636E"/>
    <w:rsid w:val="FD73DADD"/>
    <w:rsid w:val="FDFD3C81"/>
    <w:rsid w:val="FE7D5338"/>
    <w:rsid w:val="FF56160A"/>
    <w:rsid w:val="FFE9AD7B"/>
    <w:rsid w:val="FFF75E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ESI仿宋-GB2312" w:cs="Times New Roman"/>
      <w:kern w:val="2"/>
      <w:sz w:val="32"/>
      <w:lang w:val="en-US" w:eastAsia="zh-CN"/>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basedOn w:val="1"/>
    <w:qFormat/>
    <w:uiPriority w:val="0"/>
    <w:pPr>
      <w:autoSpaceDE w:val="0"/>
      <w:autoSpaceDN w:val="0"/>
      <w:adjustRightInd w:val="0"/>
      <w:jc w:val="left"/>
    </w:pPr>
    <w:rPr>
      <w:rFonts w:ascii="黑体" w:eastAsia="仿宋_GB2312"/>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9362</Words>
  <Characters>9599</Characters>
  <Lines>0</Lines>
  <Paragraphs>0</Paragraphs>
  <TotalTime>2</TotalTime>
  <ScaleCrop>false</ScaleCrop>
  <LinksUpToDate>false</LinksUpToDate>
  <CharactersWithSpaces>9817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2023-01-27T04:14:00Z</dcterms:created>
  <dc:creator>user</dc:creator>
  <cp:lastModifiedBy>Administrator</cp:lastModifiedBy>
  <cp:lastPrinted>2023-03-19T03:08:00Z</cp:lastPrinted>
  <dcterms:modified xsi:type="dcterms:W3CDTF">2023-10-25T01:00:50Z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BD558043899F48A39DF3C9D3C6BDFEAD</vt:lpwstr>
  </property>
</Properties>
</file>