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屯昌县政府投资项目管理中心</w:t>
      </w:r>
      <w:r>
        <w:rPr>
          <w:rFonts w:hint="eastAsia"/>
          <w:sz w:val="52"/>
          <w:szCs w:val="52"/>
        </w:rPr>
        <w:t>预算</w:t>
      </w:r>
    </w:p>
    <w:p>
      <w:pPr>
        <w:rPr>
          <w:sz w:val="84"/>
          <w:szCs w:val="84"/>
          <w:u w:val="single"/>
        </w:rPr>
      </w:pPr>
    </w:p>
    <w:p>
      <w:pPr>
        <w:rPr>
          <w:sz w:val="84"/>
          <w:szCs w:val="84"/>
          <w:u w:val="single"/>
        </w:rPr>
      </w:pPr>
    </w:p>
    <w:p>
      <w:pPr>
        <w:rPr>
          <w:sz w:val="84"/>
          <w:szCs w:val="84"/>
          <w:u w:val="single"/>
        </w:rPr>
      </w:pPr>
    </w:p>
    <w:p>
      <w:pPr>
        <w:rPr>
          <w:sz w:val="84"/>
          <w:szCs w:val="84"/>
          <w:u w:val="single"/>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b/>
          <w:bCs/>
          <w:sz w:val="32"/>
          <w:szCs w:val="32"/>
          <w:lang w:eastAsia="zh-CN"/>
        </w:rPr>
        <w:t>屯昌县政府投资项目管理中心</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屯昌县政府投资项目管理中心</w:t>
      </w:r>
      <w:r>
        <w:rPr>
          <w:rFonts w:hint="eastAsia" w:ascii="黑体" w:hAnsi="黑体" w:eastAsia="黑体"/>
          <w:sz w:val="32"/>
          <w:szCs w:val="32"/>
          <w:lang w:val="en-US" w:eastAsia="zh-CN"/>
        </w:rPr>
        <w:t>2024</w:t>
      </w:r>
      <w:r>
        <w:rPr>
          <w:rFonts w:hint="eastAsia" w:ascii="黑体" w:hAnsi="黑体" w:eastAsia="黑体"/>
          <w:sz w:val="32"/>
          <w:szCs w:val="32"/>
        </w:rPr>
        <w:t>年预算表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屯昌县政府投资项目管理中心</w:t>
      </w:r>
      <w:r>
        <w:rPr>
          <w:rFonts w:hint="eastAsia" w:ascii="黑体" w:hAnsi="黑体" w:eastAsia="黑体"/>
          <w:sz w:val="32"/>
          <w:szCs w:val="32"/>
          <w:lang w:val="en-US" w:eastAsia="zh-CN"/>
        </w:rPr>
        <w:t>2023</w:t>
      </w:r>
      <w:r>
        <w:rPr>
          <w:rFonts w:hint="eastAsia" w:ascii="黑体" w:hAnsi="黑体" w:eastAsia="黑体"/>
          <w:sz w:val="32"/>
          <w:szCs w:val="32"/>
        </w:rPr>
        <w:t>年预算情况说明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屯昌县政府投资项目管理中心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宋体" w:hAnsi="宋体" w:eastAsia="仿宋_GB2312" w:cs="Times New Roman"/>
          <w:sz w:val="32"/>
          <w:szCs w:val="32"/>
          <w:highlight w:val="none"/>
          <w:lang w:eastAsia="zh-CN"/>
        </w:rPr>
      </w:pPr>
      <w:r>
        <w:rPr>
          <w:rFonts w:hint="eastAsia" w:ascii="仿宋_GB2312" w:hAnsi="仿宋_GB2312" w:eastAsia="仿宋_GB2312" w:cs="仿宋_GB2312"/>
          <w:sz w:val="32"/>
          <w:szCs w:val="32"/>
          <w:lang w:eastAsia="zh-CN"/>
        </w:rPr>
        <w:t>屯昌</w:t>
      </w:r>
      <w:r>
        <w:rPr>
          <w:rFonts w:hint="eastAsia" w:ascii="仿宋_GB2312" w:hAnsi="仿宋_GB2312" w:eastAsia="仿宋_GB2312" w:cs="仿宋_GB2312"/>
          <w:color w:val="auto"/>
          <w:kern w:val="2"/>
          <w:sz w:val="32"/>
          <w:szCs w:val="32"/>
          <w:lang w:val="en-US" w:eastAsia="zh-CN" w:bidi="ar-SA"/>
        </w:rPr>
        <w:t>县政府投资项目管理中心</w:t>
      </w:r>
      <w:r>
        <w:rPr>
          <w:rFonts w:hint="eastAsia" w:ascii="仿宋_GB2312" w:hAnsi="仿宋_GB2312" w:eastAsia="仿宋_GB2312" w:cs="仿宋_GB2312"/>
          <w:sz w:val="32"/>
          <w:szCs w:val="32"/>
        </w:rPr>
        <w:t>隶属县</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lang w:val="en-US" w:eastAsia="zh-CN"/>
        </w:rPr>
        <w:t>展和</w:t>
      </w:r>
      <w:r>
        <w:rPr>
          <w:rFonts w:hint="eastAsia" w:ascii="仿宋_GB2312" w:hAnsi="仿宋_GB2312" w:eastAsia="仿宋_GB2312" w:cs="仿宋_GB2312"/>
          <w:sz w:val="32"/>
          <w:szCs w:val="32"/>
          <w:lang w:eastAsia="zh-CN"/>
        </w:rPr>
        <w:t>改</w:t>
      </w:r>
      <w:r>
        <w:rPr>
          <w:rFonts w:hint="eastAsia" w:ascii="仿宋_GB2312" w:hAnsi="仿宋_GB2312" w:eastAsia="仿宋_GB2312" w:cs="仿宋_GB2312"/>
          <w:sz w:val="32"/>
          <w:szCs w:val="32"/>
          <w:lang w:val="en-US" w:eastAsia="zh-CN"/>
        </w:rPr>
        <w:t>革</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lang w:val="en-US" w:eastAsia="zh-CN"/>
        </w:rPr>
        <w:t>员会</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正</w:t>
      </w:r>
      <w:r>
        <w:rPr>
          <w:rFonts w:hint="eastAsia" w:ascii="仿宋_GB2312" w:hAnsi="仿宋_GB2312" w:eastAsia="仿宋_GB2312" w:cs="仿宋_GB2312"/>
          <w:sz w:val="32"/>
          <w:szCs w:val="32"/>
        </w:rPr>
        <w:t>科级公益一类事业单位。内设</w:t>
      </w:r>
      <w:r>
        <w:rPr>
          <w:rFonts w:hint="eastAsia" w:ascii="仿宋_GB2312" w:hAnsi="仿宋_GB2312" w:eastAsia="仿宋_GB2312" w:cs="仿宋_GB2312"/>
          <w:sz w:val="32"/>
          <w:szCs w:val="32"/>
          <w:lang w:val="en-US" w:eastAsia="zh-CN"/>
        </w:rPr>
        <w:t>综合岗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策划</w:t>
      </w:r>
      <w:r>
        <w:rPr>
          <w:rFonts w:hint="eastAsia" w:ascii="仿宋_GB2312" w:hAnsi="仿宋_GB2312" w:eastAsia="仿宋_GB2312" w:cs="仿宋_GB2312"/>
          <w:sz w:val="32"/>
          <w:szCs w:val="32"/>
          <w:lang w:val="en-US" w:eastAsia="zh-CN"/>
        </w:rPr>
        <w:t>岗</w:t>
      </w:r>
      <w:r>
        <w:rPr>
          <w:rFonts w:hint="eastAsia" w:ascii="仿宋_GB2312" w:hAnsi="仿宋_GB2312" w:eastAsia="仿宋_GB2312" w:cs="仿宋_GB2312"/>
          <w:color w:val="auto"/>
          <w:kern w:val="2"/>
          <w:sz w:val="32"/>
          <w:szCs w:val="32"/>
          <w:lang w:val="en-US" w:eastAsia="zh-CN" w:bidi="ar-SA"/>
        </w:rPr>
        <w:t>、重点项目管理岗、工程建设岗、</w:t>
      </w:r>
      <w:r>
        <w:rPr>
          <w:rFonts w:ascii="仿宋_GB2312" w:hAnsi="仿宋_GB2312" w:eastAsia="仿宋_GB2312" w:cs="仿宋_GB2312"/>
          <w:sz w:val="32"/>
          <w:szCs w:val="32"/>
        </w:rPr>
        <w:t>PPP</w:t>
      </w:r>
      <w:r>
        <w:rPr>
          <w:rFonts w:hint="eastAsia" w:ascii="仿宋_GB2312" w:hAnsi="仿宋_GB2312" w:eastAsia="仿宋_GB2312" w:cs="仿宋_GB2312"/>
          <w:sz w:val="32"/>
          <w:szCs w:val="32"/>
          <w:lang w:eastAsia="zh-CN"/>
        </w:rPr>
        <w:t>和专项债</w:t>
      </w:r>
      <w:r>
        <w:rPr>
          <w:rFonts w:hint="eastAsia" w:ascii="仿宋_GB2312" w:hAnsi="仿宋_GB2312" w:eastAsia="仿宋_GB2312" w:cs="仿宋_GB2312"/>
          <w:sz w:val="32"/>
          <w:szCs w:val="32"/>
        </w:rPr>
        <w:t>项目管理</w:t>
      </w:r>
      <w:r>
        <w:rPr>
          <w:rFonts w:hint="eastAsia" w:ascii="仿宋_GB2312" w:hAnsi="仿宋_GB2312" w:eastAsia="仿宋_GB2312" w:cs="仿宋_GB2312"/>
          <w:sz w:val="32"/>
          <w:szCs w:val="32"/>
          <w:lang w:val="en-US" w:eastAsia="zh-CN"/>
        </w:rPr>
        <w:t>岗</w:t>
      </w:r>
      <w:r>
        <w:rPr>
          <w:rFonts w:hint="eastAsia" w:ascii="仿宋_GB2312" w:hAnsi="仿宋_GB2312" w:eastAsia="仿宋_GB2312" w:cs="仿宋_GB2312"/>
          <w:color w:val="auto"/>
          <w:kern w:val="2"/>
          <w:sz w:val="32"/>
          <w:szCs w:val="32"/>
          <w:lang w:val="en-US" w:eastAsia="zh-CN" w:bidi="ar-SA"/>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个职能</w:t>
      </w:r>
      <w:r>
        <w:rPr>
          <w:rFonts w:hint="eastAsia" w:ascii="仿宋_GB2312" w:hAnsi="仿宋_GB2312" w:eastAsia="仿宋_GB2312" w:cs="仿宋_GB2312"/>
          <w:sz w:val="32"/>
          <w:szCs w:val="32"/>
          <w:lang w:val="en-US" w:eastAsia="zh-CN"/>
        </w:rPr>
        <w:t>岗位</w:t>
      </w:r>
      <w:r>
        <w:rPr>
          <w:rFonts w:hint="eastAsia" w:ascii="仿宋_GB2312" w:hAnsi="仿宋_GB2312" w:eastAsia="仿宋_GB2312" w:cs="仿宋_GB2312"/>
          <w:sz w:val="32"/>
          <w:szCs w:val="32"/>
        </w:rPr>
        <w:t>。</w:t>
      </w:r>
      <w:r>
        <w:rPr>
          <w:rFonts w:hint="eastAsia" w:ascii="宋体" w:hAnsi="宋体" w:eastAsia="仿宋_GB2312" w:cs="Times New Roman"/>
          <w:sz w:val="32"/>
          <w:szCs w:val="32"/>
          <w:highlight w:val="none"/>
          <w:lang w:val="en-US" w:eastAsia="zh-CN"/>
        </w:rPr>
        <w:t>其主要工作任务和</w:t>
      </w:r>
      <w:r>
        <w:rPr>
          <w:rFonts w:hint="eastAsia" w:ascii="宋体" w:hAnsi="宋体" w:eastAsia="仿宋_GB2312" w:cs="Times New Roman"/>
          <w:sz w:val="32"/>
          <w:szCs w:val="32"/>
          <w:highlight w:val="none"/>
        </w:rPr>
        <w:t>主要职责</w:t>
      </w:r>
      <w:r>
        <w:rPr>
          <w:rFonts w:hint="eastAsia" w:ascii="宋体" w:hAnsi="宋体" w:eastAsia="仿宋_GB2312" w:cs="Times New Roman"/>
          <w:sz w:val="32"/>
          <w:szCs w:val="32"/>
          <w:highlight w:val="none"/>
          <w:lang w:eastAsia="zh-CN"/>
        </w:rPr>
        <w:t>如下：</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w:t>
      </w:r>
      <w:r>
        <w:rPr>
          <w:rFonts w:hint="eastAsia" w:ascii="仿宋_GB2312" w:eastAsia="仿宋_GB2312"/>
          <w:sz w:val="32"/>
          <w:szCs w:val="32"/>
        </w:rPr>
        <w:t>贯彻执行国家、省和县有关重点项目建设管理的</w:t>
      </w:r>
      <w:r>
        <w:rPr>
          <w:rFonts w:hint="eastAsia" w:ascii="仿宋_GB2312" w:eastAsia="仿宋_GB2312"/>
          <w:sz w:val="32"/>
          <w:szCs w:val="32"/>
          <w:lang w:val="en-US" w:eastAsia="zh-CN"/>
        </w:rPr>
        <w:t>方针</w:t>
      </w:r>
      <w:r>
        <w:rPr>
          <w:rFonts w:hint="eastAsia" w:ascii="仿宋_GB2312" w:eastAsia="仿宋_GB2312"/>
          <w:sz w:val="32"/>
          <w:szCs w:val="32"/>
        </w:rPr>
        <w:t>政策</w:t>
      </w:r>
      <w:r>
        <w:rPr>
          <w:rFonts w:hint="eastAsia" w:ascii="仿宋_GB2312" w:eastAsia="仿宋_GB2312"/>
          <w:sz w:val="32"/>
          <w:szCs w:val="32"/>
          <w:lang w:eastAsia="zh-CN"/>
        </w:rPr>
        <w:t>、</w:t>
      </w:r>
      <w:r>
        <w:rPr>
          <w:rFonts w:hint="eastAsia" w:ascii="仿宋_GB2312" w:eastAsia="仿宋_GB2312"/>
          <w:sz w:val="32"/>
          <w:szCs w:val="32"/>
        </w:rPr>
        <w:t>法律法规</w:t>
      </w:r>
      <w:r>
        <w:rPr>
          <w:rFonts w:hint="eastAsia" w:ascii="仿宋_GB2312" w:eastAsia="仿宋_GB2312"/>
          <w:sz w:val="32"/>
          <w:szCs w:val="32"/>
          <w:lang w:eastAsia="zh-CN"/>
        </w:rPr>
        <w:t>，</w:t>
      </w:r>
      <w:r>
        <w:rPr>
          <w:rFonts w:hint="eastAsia" w:ascii="仿宋_GB2312" w:eastAsia="仿宋_GB2312"/>
          <w:sz w:val="32"/>
          <w:szCs w:val="32"/>
          <w:lang w:val="en-US" w:eastAsia="zh-CN"/>
        </w:rPr>
        <w:t>参与拟订</w:t>
      </w:r>
      <w:r>
        <w:rPr>
          <w:rFonts w:hint="eastAsia" w:ascii="仿宋_GB2312" w:eastAsia="仿宋_GB2312"/>
          <w:sz w:val="32"/>
          <w:szCs w:val="32"/>
        </w:rPr>
        <w:t>并组织实施全县重点项目建设管理规定。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color w:val="auto"/>
          <w:sz w:val="32"/>
          <w:szCs w:val="32"/>
        </w:rPr>
        <w:t>指导、督促、</w:t>
      </w:r>
      <w:r>
        <w:rPr>
          <w:rFonts w:hint="eastAsia" w:ascii="仿宋_GB2312" w:eastAsia="仿宋_GB2312"/>
          <w:sz w:val="32"/>
          <w:szCs w:val="32"/>
        </w:rPr>
        <w:t>推进全县重点项目的建设，跟踪重点项</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_GB2312" w:eastAsia="仿宋_GB2312"/>
          <w:sz w:val="32"/>
          <w:szCs w:val="32"/>
        </w:rPr>
      </w:pPr>
      <w:r>
        <w:rPr>
          <w:rFonts w:hint="eastAsia" w:ascii="仿宋_GB2312" w:eastAsia="仿宋_GB2312"/>
          <w:sz w:val="32"/>
          <w:szCs w:val="32"/>
        </w:rPr>
        <w:t>目建设实施情况，协调重点项目实施过程中的有关问题；参与重点项目后</w:t>
      </w:r>
      <w:r>
        <w:rPr>
          <w:rFonts w:hint="eastAsia" w:ascii="仿宋_GB2312" w:eastAsia="仿宋_GB2312"/>
          <w:sz w:val="32"/>
          <w:szCs w:val="32"/>
          <w:lang w:val="en-US" w:eastAsia="zh-CN"/>
        </w:rPr>
        <w:t>期</w:t>
      </w:r>
      <w:r>
        <w:rPr>
          <w:rFonts w:hint="eastAsia" w:ascii="仿宋_GB2312" w:eastAsia="仿宋_GB2312"/>
          <w:sz w:val="32"/>
          <w:szCs w:val="32"/>
        </w:rPr>
        <w:t>评价管理；督促有关部门加强重点项目安全生产的监督检查。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（三）</w:t>
      </w:r>
      <w:r>
        <w:rPr>
          <w:rFonts w:hint="eastAsia" w:ascii="仿宋_GB2312" w:eastAsia="仿宋_GB2312"/>
          <w:sz w:val="32"/>
          <w:szCs w:val="32"/>
        </w:rPr>
        <w:t>负责重点项目监督检查工作，提出督查意见，定期跟</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_GB2312" w:eastAsia="仿宋_GB2312"/>
          <w:sz w:val="32"/>
          <w:szCs w:val="32"/>
        </w:rPr>
      </w:pPr>
      <w:r>
        <w:rPr>
          <w:rFonts w:hint="eastAsia" w:ascii="仿宋_GB2312" w:eastAsia="仿宋_GB2312"/>
          <w:sz w:val="32"/>
          <w:szCs w:val="32"/>
        </w:rPr>
        <w:t>踪落实整改情况；牵头重点项目年度绩效考评工作，提出奖惩意见；组织开展重点项目建设的评先、宣传等活动。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（四）</w:t>
      </w:r>
      <w:r>
        <w:rPr>
          <w:rFonts w:hint="eastAsia" w:ascii="仿宋_GB2312" w:eastAsia="仿宋_GB2312"/>
          <w:sz w:val="32"/>
          <w:szCs w:val="32"/>
        </w:rPr>
        <w:t>负责重点项目信息管理工作，分析研究重点项目建设运行情况，提出有关对策和建议。</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（五）</w:t>
      </w:r>
      <w:r>
        <w:rPr>
          <w:rFonts w:hint="eastAsia" w:ascii="仿宋_GB2312" w:eastAsia="仿宋_GB2312"/>
          <w:sz w:val="32"/>
          <w:szCs w:val="32"/>
        </w:rPr>
        <w:t>负责重大工程项目的前期工作</w:t>
      </w:r>
      <w:r>
        <w:rPr>
          <w:rFonts w:hint="eastAsia" w:ascii="仿宋_GB2312" w:eastAsia="仿宋_GB2312"/>
          <w:sz w:val="32"/>
          <w:szCs w:val="32"/>
          <w:lang w:eastAsia="zh-CN"/>
        </w:rPr>
        <w:t>；</w:t>
      </w:r>
      <w:r>
        <w:rPr>
          <w:rFonts w:hint="eastAsia" w:ascii="仿宋_GB2312" w:eastAsia="仿宋_GB2312"/>
          <w:sz w:val="32"/>
          <w:szCs w:val="32"/>
        </w:rPr>
        <w:t>负责组织工程项目勘察、设计及施工、监理等环节的招投标工作。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（六）</w:t>
      </w:r>
      <w:r>
        <w:rPr>
          <w:rFonts w:hint="eastAsia" w:ascii="仿宋_GB2312" w:eastAsia="仿宋_GB2312"/>
          <w:sz w:val="32"/>
          <w:szCs w:val="32"/>
        </w:rPr>
        <w:t>负责组织工程项目的勘察和设计</w:t>
      </w:r>
      <w:r>
        <w:rPr>
          <w:rFonts w:hint="eastAsia" w:ascii="仿宋_GB2312" w:eastAsia="仿宋_GB2312"/>
          <w:sz w:val="32"/>
          <w:szCs w:val="32"/>
          <w:lang w:eastAsia="zh-CN"/>
        </w:rPr>
        <w:t>、</w:t>
      </w:r>
      <w:r>
        <w:rPr>
          <w:rFonts w:hint="eastAsia" w:ascii="仿宋_GB2312" w:eastAsia="仿宋_GB2312"/>
          <w:sz w:val="32"/>
          <w:szCs w:val="32"/>
        </w:rPr>
        <w:t>施工全过程协调和管理，执行投资控制、进度控制、工程质量控制和施工安全控制，审核施工过程中的有关工程变更，协调解决有关问题。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（七）</w:t>
      </w:r>
      <w:r>
        <w:rPr>
          <w:rFonts w:hint="eastAsia" w:ascii="仿宋_GB2312" w:eastAsia="仿宋_GB2312"/>
          <w:sz w:val="32"/>
          <w:szCs w:val="32"/>
        </w:rPr>
        <w:t>负责工程项目工程款的审核、报批，</w:t>
      </w:r>
      <w:r>
        <w:rPr>
          <w:rFonts w:hint="eastAsia" w:ascii="仿宋_GB2312" w:eastAsia="仿宋_GB2312"/>
          <w:sz w:val="32"/>
          <w:szCs w:val="32"/>
          <w:lang w:eastAsia="zh-CN"/>
        </w:rPr>
        <w:t>委托第三方</w:t>
      </w:r>
      <w:r>
        <w:rPr>
          <w:rFonts w:hint="eastAsia" w:ascii="仿宋_GB2312" w:eastAsia="仿宋_GB2312"/>
          <w:sz w:val="32"/>
          <w:szCs w:val="32"/>
        </w:rPr>
        <w:t>编制工程结算、竣工财务决算，并做好送审工作。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（八）</w:t>
      </w:r>
      <w:r>
        <w:rPr>
          <w:rFonts w:hint="eastAsia" w:ascii="仿宋_GB2312" w:eastAsia="仿宋_GB2312"/>
          <w:sz w:val="32"/>
          <w:szCs w:val="32"/>
        </w:rPr>
        <w:t>组织有关单位对本中心负责的工程进行竣工验收，负责工程项目档案的收集、存档、移交（包括工程实体、工程资料和竣工财务决算资料）等工作，负责工程保质期内的质量保修工作。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（九）</w:t>
      </w:r>
      <w:r>
        <w:rPr>
          <w:rFonts w:hint="eastAsia" w:ascii="仿宋_GB2312" w:eastAsia="仿宋_GB2312"/>
          <w:sz w:val="32"/>
          <w:szCs w:val="32"/>
        </w:rPr>
        <w:t>负责PPP</w:t>
      </w:r>
      <w:r>
        <w:rPr>
          <w:rFonts w:hint="eastAsia" w:ascii="仿宋_GB2312" w:eastAsia="仿宋_GB2312"/>
          <w:sz w:val="32"/>
          <w:szCs w:val="32"/>
          <w:lang w:eastAsia="zh-CN"/>
        </w:rPr>
        <w:t>和专项债</w:t>
      </w:r>
      <w:r>
        <w:rPr>
          <w:rFonts w:hint="eastAsia" w:ascii="仿宋_GB2312" w:eastAsia="仿宋_GB2312"/>
          <w:sz w:val="32"/>
          <w:szCs w:val="32"/>
        </w:rPr>
        <w:t>项目的管理，建立PPP</w:t>
      </w:r>
      <w:r>
        <w:rPr>
          <w:rFonts w:hint="eastAsia" w:ascii="仿宋_GB2312" w:eastAsia="仿宋_GB2312"/>
          <w:sz w:val="32"/>
          <w:szCs w:val="32"/>
          <w:lang w:eastAsia="zh-CN"/>
        </w:rPr>
        <w:t>和专项债</w:t>
      </w:r>
      <w:r>
        <w:rPr>
          <w:rFonts w:hint="eastAsia" w:ascii="仿宋_GB2312" w:eastAsia="仿宋_GB2312"/>
          <w:sz w:val="32"/>
          <w:szCs w:val="32"/>
        </w:rPr>
        <w:t>项目储备库等，推动项目实施部门依法、依规、高效开展PPP</w:t>
      </w:r>
      <w:r>
        <w:rPr>
          <w:rFonts w:hint="eastAsia" w:ascii="仿宋_GB2312" w:eastAsia="仿宋_GB2312"/>
          <w:sz w:val="32"/>
          <w:szCs w:val="32"/>
          <w:lang w:eastAsia="zh-CN"/>
        </w:rPr>
        <w:t>和专项债</w:t>
      </w:r>
      <w:r>
        <w:rPr>
          <w:rFonts w:hint="eastAsia" w:ascii="仿宋_GB2312" w:eastAsia="仿宋_GB2312"/>
          <w:sz w:val="32"/>
          <w:szCs w:val="32"/>
        </w:rPr>
        <w:t>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（十）</w:t>
      </w:r>
      <w:r>
        <w:rPr>
          <w:rFonts w:hint="eastAsia" w:ascii="仿宋_GB2312" w:eastAsia="仿宋_GB2312"/>
          <w:sz w:val="32"/>
          <w:szCs w:val="32"/>
        </w:rPr>
        <w:t>参与PPP</w:t>
      </w:r>
      <w:r>
        <w:rPr>
          <w:rFonts w:hint="eastAsia" w:ascii="仿宋_GB2312" w:eastAsia="仿宋_GB2312"/>
          <w:sz w:val="32"/>
          <w:szCs w:val="32"/>
          <w:lang w:eastAsia="zh-CN"/>
        </w:rPr>
        <w:t>和专项债</w:t>
      </w:r>
      <w:r>
        <w:rPr>
          <w:rFonts w:hint="eastAsia" w:ascii="仿宋_GB2312" w:eastAsia="仿宋_GB2312"/>
          <w:sz w:val="32"/>
          <w:szCs w:val="32"/>
        </w:rPr>
        <w:t>项目审核，为县政府提供技术支持；</w:t>
      </w:r>
      <w:r>
        <w:rPr>
          <w:rFonts w:hint="eastAsia" w:ascii="仿宋_GB2312" w:eastAsia="仿宋_GB2312"/>
          <w:color w:val="auto"/>
          <w:sz w:val="32"/>
          <w:szCs w:val="32"/>
        </w:rPr>
        <w:t>指导、监督</w:t>
      </w:r>
      <w:r>
        <w:rPr>
          <w:rFonts w:hint="eastAsia" w:ascii="仿宋_GB2312" w:eastAsia="仿宋_GB2312"/>
          <w:sz w:val="32"/>
          <w:szCs w:val="32"/>
        </w:rPr>
        <w:t>PPP</w:t>
      </w:r>
      <w:r>
        <w:rPr>
          <w:rFonts w:hint="eastAsia" w:ascii="仿宋_GB2312" w:eastAsia="仿宋_GB2312"/>
          <w:sz w:val="32"/>
          <w:szCs w:val="32"/>
          <w:lang w:eastAsia="zh-CN"/>
        </w:rPr>
        <w:t>和专项债</w:t>
      </w:r>
      <w:r>
        <w:rPr>
          <w:rFonts w:hint="eastAsia" w:ascii="仿宋_GB2312" w:eastAsia="仿宋_GB2312"/>
          <w:sz w:val="32"/>
          <w:szCs w:val="32"/>
        </w:rPr>
        <w:t>项目的实施和绩效评价，为各部门</w:t>
      </w:r>
      <w:r>
        <w:rPr>
          <w:rFonts w:hint="eastAsia" w:ascii="仿宋_GB2312" w:eastAsia="仿宋_GB2312"/>
          <w:sz w:val="32"/>
          <w:szCs w:val="32"/>
          <w:lang w:eastAsia="zh-CN"/>
        </w:rPr>
        <w:t>实施</w:t>
      </w:r>
      <w:r>
        <w:rPr>
          <w:rFonts w:hint="eastAsia" w:ascii="仿宋_GB2312" w:eastAsia="仿宋_GB2312"/>
          <w:sz w:val="32"/>
          <w:szCs w:val="32"/>
        </w:rPr>
        <w:t>PPP</w:t>
      </w:r>
      <w:r>
        <w:rPr>
          <w:rFonts w:hint="eastAsia" w:ascii="仿宋_GB2312" w:eastAsia="仿宋_GB2312"/>
          <w:sz w:val="32"/>
          <w:szCs w:val="32"/>
          <w:lang w:eastAsia="zh-CN"/>
        </w:rPr>
        <w:t>和专项债</w:t>
      </w:r>
      <w:r>
        <w:rPr>
          <w:rFonts w:hint="eastAsia" w:ascii="仿宋_GB2312" w:eastAsia="仿宋_GB2312"/>
          <w:sz w:val="32"/>
          <w:szCs w:val="32"/>
        </w:rPr>
        <w:t>项目提供指导和配套服务。</w:t>
      </w:r>
    </w:p>
    <w:p>
      <w:pPr>
        <w:pStyle w:val="7"/>
        <w:numPr>
          <w:ilvl w:val="0"/>
          <w:numId w:val="0"/>
        </w:numPr>
        <w:ind w:leftChars="0"/>
        <w:jc w:val="left"/>
        <w:rPr>
          <w:rFonts w:ascii="黑体" w:hAnsi="黑体" w:eastAsia="黑体" w:cs="仿宋_GB2312"/>
          <w:sz w:val="32"/>
          <w:szCs w:val="32"/>
        </w:rPr>
      </w:pPr>
      <w:r>
        <w:rPr>
          <w:rFonts w:hint="eastAsia" w:ascii="仿宋_GB2312" w:eastAsia="仿宋_GB2312"/>
          <w:sz w:val="32"/>
          <w:szCs w:val="32"/>
          <w:lang w:val="en-US" w:eastAsia="zh-CN"/>
        </w:rPr>
        <w:t>（十二）</w:t>
      </w:r>
      <w:r>
        <w:rPr>
          <w:rFonts w:hint="eastAsia" w:ascii="仿宋_GB2312" w:eastAsia="仿宋_GB2312"/>
          <w:sz w:val="32"/>
          <w:szCs w:val="32"/>
        </w:rPr>
        <w:t>承办县委、县政府</w:t>
      </w:r>
      <w:r>
        <w:rPr>
          <w:rFonts w:hint="eastAsia" w:ascii="仿宋_GB2312" w:eastAsia="仿宋_GB2312"/>
          <w:sz w:val="32"/>
          <w:szCs w:val="32"/>
          <w:lang w:val="en-US" w:eastAsia="zh-CN"/>
        </w:rPr>
        <w:t>和主管部门</w:t>
      </w:r>
      <w:r>
        <w:rPr>
          <w:rFonts w:hint="eastAsia" w:ascii="仿宋_GB2312" w:eastAsia="仿宋_GB2312"/>
          <w:sz w:val="32"/>
          <w:szCs w:val="32"/>
        </w:rPr>
        <w:t>交办的其他工作。</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jc w:val="left"/>
        <w:rPr>
          <w:rFonts w:ascii="仿宋_GB2312" w:hAnsi="黑体" w:eastAsia="仿宋_GB2312" w:cs="仿宋_GB2312"/>
          <w:sz w:val="32"/>
          <w:szCs w:val="32"/>
        </w:rPr>
      </w:pPr>
      <w:r>
        <w:rPr>
          <w:rFonts w:hint="eastAsia" w:ascii="仿宋" w:hAnsi="仿宋" w:eastAsia="仿宋" w:cs="仿宋"/>
          <w:sz w:val="32"/>
          <w:szCs w:val="32"/>
        </w:rPr>
        <w:t>纳入屯昌县</w:t>
      </w:r>
      <w:r>
        <w:rPr>
          <w:rFonts w:hint="eastAsia" w:ascii="仿宋" w:hAnsi="仿宋" w:eastAsia="仿宋" w:cs="仿宋"/>
          <w:sz w:val="32"/>
          <w:szCs w:val="32"/>
          <w:lang w:eastAsia="zh-CN"/>
        </w:rPr>
        <w:t>政府投资项目管理中心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年部门预算编制范围的二级预算单位：</w:t>
      </w:r>
      <w:r>
        <w:rPr>
          <w:rFonts w:hint="eastAsia" w:ascii="仿宋" w:hAnsi="仿宋" w:eastAsia="仿宋" w:cs="仿宋"/>
          <w:sz w:val="32"/>
          <w:szCs w:val="32"/>
          <w:lang w:eastAsia="zh-CN"/>
        </w:rPr>
        <w:t>无</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b w:val="0"/>
          <w:bCs w:val="0"/>
          <w:sz w:val="32"/>
          <w:szCs w:val="32"/>
        </w:rPr>
        <w:t>屯昌县</w:t>
      </w:r>
      <w:r>
        <w:rPr>
          <w:rFonts w:hint="eastAsia" w:ascii="黑体" w:hAnsi="黑体" w:eastAsia="黑体" w:cs="黑体"/>
          <w:b w:val="0"/>
          <w:bCs w:val="0"/>
          <w:sz w:val="32"/>
          <w:szCs w:val="32"/>
          <w:lang w:eastAsia="zh-CN"/>
        </w:rPr>
        <w:t>政府投资项目管理中心</w:t>
      </w: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年</w:t>
      </w:r>
      <w:r>
        <w:rPr>
          <w:rFonts w:hint="eastAsia" w:ascii="黑体" w:hAnsi="黑体" w:eastAsia="黑体"/>
          <w:sz w:val="32"/>
          <w:szCs w:val="32"/>
        </w:rPr>
        <w:t>预算表</w:t>
      </w:r>
    </w:p>
    <w:p>
      <w:pPr>
        <w:ind w:firstLine="640" w:firstLineChars="200"/>
        <w:rPr>
          <w:rFonts w:ascii="黑体" w:hAnsi="黑体" w:eastAsia="黑体"/>
          <w:sz w:val="32"/>
          <w:szCs w:val="32"/>
        </w:rPr>
      </w:pP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 w:hAnsi="仿宋" w:eastAsia="仿宋" w:cs="仿宋"/>
          <w:b/>
          <w:bCs/>
          <w:sz w:val="32"/>
          <w:szCs w:val="32"/>
        </w:rPr>
        <w:t>屯昌县</w:t>
      </w:r>
      <w:r>
        <w:rPr>
          <w:rFonts w:hint="eastAsia" w:ascii="仿宋" w:hAnsi="仿宋" w:eastAsia="仿宋" w:cs="仿宋"/>
          <w:b/>
          <w:bCs/>
          <w:sz w:val="32"/>
          <w:szCs w:val="32"/>
          <w:lang w:eastAsia="zh-CN"/>
        </w:rPr>
        <w:t>政府投资项目管理中心</w:t>
      </w: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年</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 w:hAnsi="仿宋" w:eastAsia="仿宋" w:cs="仿宋"/>
          <w:b/>
          <w:bCs/>
          <w:sz w:val="32"/>
          <w:szCs w:val="32"/>
        </w:rPr>
        <w:t>屯昌县</w:t>
      </w:r>
      <w:r>
        <w:rPr>
          <w:rFonts w:hint="eastAsia" w:ascii="仿宋" w:hAnsi="仿宋" w:eastAsia="仿宋" w:cs="仿宋"/>
          <w:b/>
          <w:bCs/>
          <w:sz w:val="32"/>
          <w:szCs w:val="32"/>
          <w:lang w:eastAsia="zh-CN"/>
        </w:rPr>
        <w:t>政府投资项目管理中心</w:t>
      </w: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屯昌县政府投资项目管理中心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2370.75</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2370.75</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329.10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2040.21</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1.44</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2370.75</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243.29</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36.52</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28.83</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2001.95万元、农林水支出38.26万元、住房保障支出20.45万元、其他支出1.44万元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numPr>
          <w:ilvl w:val="0"/>
          <w:numId w:val="5"/>
        </w:numPr>
        <w:ind w:left="720" w:leftChars="0" w:hanging="720" w:firstLineChars="0"/>
        <w:jc w:val="left"/>
        <w:rPr>
          <w:rFonts w:hint="eastAsia" w:ascii="黑体" w:hAnsi="黑体" w:eastAsia="黑体"/>
          <w:sz w:val="32"/>
          <w:szCs w:val="32"/>
        </w:rPr>
      </w:pPr>
      <w:r>
        <w:rPr>
          <w:rFonts w:hint="eastAsia" w:ascii="黑体" w:hAnsi="黑体" w:eastAsia="黑体"/>
          <w:sz w:val="32"/>
          <w:szCs w:val="32"/>
        </w:rPr>
        <w:t>关于</w:t>
      </w:r>
      <w:r>
        <w:rPr>
          <w:rFonts w:hint="eastAsia" w:ascii="黑体" w:hAnsi="黑体" w:eastAsia="黑体"/>
          <w:sz w:val="32"/>
          <w:szCs w:val="32"/>
          <w:lang w:eastAsia="zh-CN"/>
        </w:rPr>
        <w:t>屯昌县政府投资项目管理中心</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numPr>
          <w:numId w:val="0"/>
        </w:numPr>
        <w:ind w:leftChars="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屯昌县政府投资项目管理中心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2369.31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66.57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是对农村生活污水处理项目资金的投入减少；二是将教育基础设施项目移交给教育主管部门；三是将农田基础设施项目的主体移交给水务部门；四是疾病预防控制中心项目、屯昌县中医院项目、园区大道等项目已基本完工。</w:t>
      </w:r>
    </w:p>
    <w:p>
      <w:pPr>
        <w:ind w:firstLine="640" w:firstLineChars="200"/>
        <w:rPr>
          <w:rFonts w:ascii="仿宋_GB2312" w:hAnsi="黑体" w:eastAsia="仿宋_GB2312"/>
          <w:sz w:val="32"/>
          <w:szCs w:val="32"/>
        </w:rPr>
      </w:pP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243.29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10.27</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36.52万元，占1.54%；卫生健康（类）支出28.83万元，占1.22%；节能环保（类）支出2001.95万元，占84.50%；农林水（类）支出38.26万元，占1.61%；住房保障（类）支出20.45万元，占0.86%。</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243.29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1928.24</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sz w:val="32"/>
          <w:szCs w:val="32"/>
          <w:lang w:val="en-US" w:eastAsia="zh-CN"/>
        </w:rPr>
        <w:t>2023年</w:t>
      </w:r>
      <w:r>
        <w:rPr>
          <w:rFonts w:hint="eastAsia" w:ascii="仿宋_GB2312" w:hAnsi="黑体" w:eastAsia="仿宋_GB2312"/>
          <w:sz w:val="32"/>
          <w:szCs w:val="32"/>
          <w:lang w:eastAsia="zh-CN"/>
        </w:rPr>
        <w:t>将所有项目资金支出都列入其他发展与改革事务支出。</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24.35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5.52</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是养老保险基数增加和人员正常工资晋升</w:t>
      </w:r>
      <w:r>
        <w:rPr>
          <w:rFonts w:hint="eastAsia" w:ascii="仿宋_GB2312" w:hAnsi="黑体" w:eastAsia="仿宋_GB2312" w:cs="仿宋_GB2312"/>
          <w:sz w:val="32"/>
          <w:szCs w:val="32"/>
          <w:lang w:val="en-US"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12.17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2.57</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sz w:val="32"/>
          <w:szCs w:val="32"/>
          <w:lang w:val="en-US" w:eastAsia="zh-CN"/>
        </w:rPr>
        <w:t>2024年职业年</w:t>
      </w:r>
      <w:r>
        <w:rPr>
          <w:rFonts w:hint="eastAsia" w:ascii="仿宋_GB2312" w:hAnsi="黑体" w:eastAsia="仿宋_GB2312"/>
          <w:sz w:val="32"/>
          <w:szCs w:val="32"/>
          <w:lang w:eastAsia="zh-CN"/>
        </w:rPr>
        <w:t>基数增加和人员正常工资晋升</w:t>
      </w:r>
      <w:r>
        <w:rPr>
          <w:rFonts w:hint="eastAsia" w:ascii="仿宋_GB2312" w:hAnsi="黑体" w:eastAsia="仿宋_GB2312" w:cs="仿宋_GB2312"/>
          <w:sz w:val="32"/>
          <w:szCs w:val="32"/>
          <w:lang w:val="en-US" w:eastAsia="zh-CN"/>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11.02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2.48</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是事业单位医疗缴费基数提高及人员工资正常晋升</w:t>
      </w:r>
      <w:r>
        <w:rPr>
          <w:rFonts w:hint="eastAsia" w:ascii="仿宋_GB2312" w:hAnsi="黑体" w:eastAsia="仿宋_GB2312" w:cs="仿宋_GB2312"/>
          <w:sz w:val="32"/>
          <w:szCs w:val="32"/>
          <w:lang w:val="en-US" w:eastAsia="zh-CN"/>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17.04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3.97</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是公务员医疗补助基数提高和人员工资正常晋升</w:t>
      </w:r>
      <w:r>
        <w:rPr>
          <w:rFonts w:hint="eastAsia" w:ascii="仿宋_GB2312" w:hAnsi="黑体" w:eastAsia="仿宋_GB2312" w:cs="仿宋_GB2312"/>
          <w:sz w:val="32"/>
          <w:szCs w:val="32"/>
          <w:lang w:val="en-US" w:eastAsia="zh-CN"/>
        </w:rPr>
        <w:t>。</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0.77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0.1</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是人员增加了</w:t>
      </w:r>
      <w:r>
        <w:rPr>
          <w:rFonts w:hint="eastAsia" w:ascii="仿宋_GB2312" w:hAnsi="黑体" w:eastAsia="仿宋_GB2312" w:cs="仿宋_GB2312"/>
          <w:sz w:val="32"/>
          <w:szCs w:val="32"/>
          <w:lang w:val="en-US" w:eastAsia="zh-CN"/>
        </w:rPr>
        <w:t>。</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7.节能环保</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污染防治</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）水体支出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2001.95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2001.95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是增加了对农村污水项目的投入。</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lang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巩固脱贫攻坚成果衔接乡村振兴</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其他巩固脱贫攻坚成果衔接乡村振兴支出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38.26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29.46</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是增加了对屯城镇良史村委会和新兴镇博文村委会两条乡村道路基础设施建设费用</w:t>
      </w:r>
      <w:r>
        <w:rPr>
          <w:rFonts w:hint="eastAsia" w:ascii="仿宋_GB2312" w:hAnsi="黑体" w:eastAsia="仿宋_GB2312" w:cs="仿宋_GB2312"/>
          <w:sz w:val="32"/>
          <w:szCs w:val="32"/>
          <w:lang w:val="en-US" w:eastAsia="zh-CN"/>
        </w:rPr>
        <w:t>。</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20.45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3.98</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是住房公积金基数提高了</w:t>
      </w:r>
      <w:r>
        <w:rPr>
          <w:rFonts w:hint="eastAsia" w:ascii="仿宋_GB2312" w:hAnsi="黑体" w:eastAsia="仿宋_GB2312" w:cs="仿宋_GB2312"/>
          <w:sz w:val="32"/>
          <w:szCs w:val="32"/>
          <w:lang w:val="en-US" w:eastAsia="zh-CN"/>
        </w:rPr>
        <w:t>和人员工资正常晋升。</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 w:hAnsi="仿宋" w:eastAsia="仿宋" w:cs="仿宋"/>
          <w:b/>
          <w:bCs/>
          <w:sz w:val="32"/>
          <w:szCs w:val="32"/>
          <w:lang w:eastAsia="zh-CN"/>
        </w:rPr>
        <w:t>屯昌县政府投资项目管理</w:t>
      </w:r>
      <w:r>
        <w:rPr>
          <w:rFonts w:hint="eastAsia" w:ascii="仿宋" w:hAnsi="仿宋" w:eastAsia="仿宋" w:cs="仿宋"/>
          <w:b/>
          <w:bCs/>
          <w:sz w:val="32"/>
          <w:szCs w:val="32"/>
          <w:lang w:val="en-US" w:eastAsia="zh-CN"/>
        </w:rPr>
        <w:t>2024</w:t>
      </w:r>
      <w:r>
        <w:rPr>
          <w:rFonts w:hint="eastAsia" w:ascii="仿宋" w:hAnsi="仿宋" w:eastAsia="仿宋" w:cs="仿宋"/>
          <w:b/>
          <w:bCs/>
          <w:sz w:val="32"/>
          <w:szCs w:val="32"/>
        </w:rPr>
        <w:t>年</w:t>
      </w:r>
      <w:r>
        <w:rPr>
          <w:rFonts w:hint="eastAsia" w:ascii="黑体" w:hAnsi="黑体" w:eastAsia="黑体" w:cs="黑体"/>
          <w:b w:val="0"/>
          <w:bCs w:val="0"/>
          <w:sz w:val="32"/>
          <w:szCs w:val="32"/>
          <w:lang w:eastAsia="zh-CN"/>
        </w:rPr>
        <w:t>单位</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屯昌县政府投资项目管理中心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286.90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263.29</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绩效工资、机关事业单位基本养老保险缴费、职工基本医疗保险缴费、公务员医疗补助缴费、其他社会保障缴费、住房公积金、医疗费、其他工资福利支出等。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23.61</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邮电费、差旅费、维修（护）费、培训费、公务接待费、劳务费、委托业务费、工会经费、公务用车运行维护费、其他交通费、其他商品和服务支出、对个人和家庭的补助、其他对个人和家庭补助、资本性支出、办公设备购置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 w:hAnsi="仿宋" w:eastAsia="仿宋" w:cs="仿宋"/>
          <w:b/>
          <w:bCs/>
          <w:sz w:val="32"/>
          <w:szCs w:val="32"/>
          <w:lang w:eastAsia="zh-CN"/>
        </w:rPr>
        <w:t>屯昌县政府投资项目管理中心</w:t>
      </w:r>
      <w:r>
        <w:rPr>
          <w:rFonts w:hint="eastAsia" w:ascii="仿宋" w:hAnsi="仿宋" w:eastAsia="仿宋" w:cs="仿宋"/>
          <w:b/>
          <w:bCs/>
          <w:sz w:val="32"/>
          <w:szCs w:val="32"/>
          <w:lang w:val="en-US" w:eastAsia="zh-CN"/>
        </w:rPr>
        <w:t>2024</w:t>
      </w:r>
      <w:r>
        <w:rPr>
          <w:rFonts w:hint="eastAsia" w:ascii="仿宋" w:hAnsi="仿宋" w:eastAsia="仿宋" w:cs="仿宋"/>
          <w:b/>
          <w:bCs/>
          <w:sz w:val="32"/>
          <w:shd w:val="clear" w:color="auto" w:fill="FFFFFF"/>
        </w:rPr>
        <w:t>年</w:t>
      </w:r>
      <w:r>
        <w:rPr>
          <w:rFonts w:hint="eastAsia" w:ascii="黑体" w:hAnsi="黑体" w:eastAsia="黑体" w:cs="黑体"/>
          <w:b w:val="0"/>
          <w:bCs w:val="0"/>
          <w:sz w:val="32"/>
          <w:szCs w:val="32"/>
          <w:lang w:eastAsia="zh-CN"/>
        </w:rPr>
        <w:t>单位</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屯昌县政府投资项目管理中心</w:t>
      </w:r>
      <w:r>
        <w:rPr>
          <w:rFonts w:hint="eastAsia" w:ascii="仿宋" w:hAnsi="仿宋" w:eastAsia="仿宋" w:cs="仿宋"/>
          <w:b w:val="0"/>
          <w:bCs w:val="0"/>
          <w:sz w:val="32"/>
          <w:szCs w:val="32"/>
          <w:lang w:val="en-US" w:eastAsia="zh-CN"/>
        </w:rPr>
        <w:t>2024</w:t>
      </w:r>
      <w:r>
        <w:rPr>
          <w:rFonts w:hint="eastAsia" w:ascii="仿宋" w:hAnsi="仿宋" w:eastAsia="仿宋" w:cs="仿宋"/>
          <w:b w:val="0"/>
          <w:bCs w:val="0"/>
          <w:sz w:val="32"/>
          <w:shd w:val="clear" w:color="auto" w:fill="FFFFFF"/>
        </w:rPr>
        <w:t>年</w:t>
      </w:r>
      <w:r>
        <w:rPr>
          <w:rFonts w:hint="eastAsia" w:ascii="仿宋_GB2312" w:hAnsi="黑体" w:eastAsia="仿宋_GB2312"/>
          <w:sz w:val="32"/>
          <w:szCs w:val="32"/>
        </w:rPr>
        <w:t>一般公共预算“三公”经费预算数为</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Times New Roman" w:hAnsi="Times New Roman" w:eastAsia="仿宋_GB2312" w:cs="Times New Roman"/>
          <w:sz w:val="32"/>
          <w:shd w:val="clear" w:color="auto" w:fill="FFFFFF"/>
          <w:lang w:val="en-US" w:eastAsia="zh-CN"/>
        </w:rPr>
        <w:t>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val="en-US" w:eastAsia="zh-CN"/>
        </w:rPr>
        <w:t>屯昌县政府投资项目管理中心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屯昌县政府投资项目管理中心</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屯昌县政府投资项目管理中心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1.44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1898.56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减少了政府性基金对公共基础设施的投入</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；其他支出（类）支出</w:t>
      </w:r>
      <w:r>
        <w:rPr>
          <w:rFonts w:hint="eastAsia" w:ascii="仿宋_GB2312" w:hAnsi="黑体" w:eastAsia="仿宋_GB2312"/>
          <w:sz w:val="32"/>
          <w:szCs w:val="32"/>
          <w:lang w:val="en-US" w:eastAsia="zh-CN"/>
        </w:rPr>
        <w:t>1.44万元，占100%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3、其他支出（类）其他政府性基金及对应专项债务收入安排支出（款）其他地方自行试点项目收益专项债券收入安排的支出（项）2024年预算数为1.44万元，比去年预算数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1898.56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减少了政府性基金对公共基础设施的投入</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屯昌县政府投资项目管理中心</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屯昌县政府投资项目管理中心</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社会保险和就业支出、卫生健康支出、农林水支出、住房保障支出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屯昌县政府投资项目管理中心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2370.75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屯昌县政府投资项目管理中心</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屯昌县政府投资项目管理中心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2370.75</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2041.65</w:t>
      </w:r>
      <w:r>
        <w:rPr>
          <w:rFonts w:hint="eastAsia" w:ascii="仿宋_GB2312" w:hAnsi="黑体" w:eastAsia="仿宋_GB2312"/>
          <w:sz w:val="32"/>
          <w:szCs w:val="32"/>
        </w:rPr>
        <w:t>元，占</w:t>
      </w:r>
      <w:r>
        <w:rPr>
          <w:rFonts w:hint="eastAsia" w:ascii="仿宋_GB2312" w:hAnsi="黑体" w:eastAsia="仿宋_GB2312"/>
          <w:sz w:val="32"/>
          <w:szCs w:val="32"/>
          <w:lang w:val="en-US" w:eastAsia="zh-CN"/>
        </w:rPr>
        <w:t>86.12</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329.10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13.88</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减少了</w:t>
      </w:r>
      <w:r>
        <w:rPr>
          <w:rFonts w:hint="eastAsia" w:ascii="仿宋_GB2312" w:hAnsi="黑体" w:eastAsia="仿宋_GB2312"/>
          <w:sz w:val="32"/>
          <w:szCs w:val="32"/>
          <w:lang w:val="en-US" w:eastAsia="zh-CN"/>
        </w:rPr>
        <w:t>1965.13万元，主要原因：</w:t>
      </w:r>
      <w:r>
        <w:rPr>
          <w:rFonts w:hint="eastAsia" w:ascii="仿宋_GB2312" w:hAnsi="黑体" w:eastAsia="仿宋_GB2312"/>
          <w:sz w:val="32"/>
          <w:szCs w:val="32"/>
          <w:lang w:eastAsia="zh-CN"/>
        </w:rPr>
        <w:t>一是对农村生活污水处理项目资金的投入减少；二是将教育基础设施项目移交给教育主管部门；三是将农田基础设施项目的主体移交给水务部门；四是疾病预防控制中心项目、屯昌县中医院项目、园区大道等项目已基本完工。</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屯昌县政府投资项目管理中心</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屯昌县政府投资项目管理中心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2369.31</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286.90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12.11</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2082.41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87.89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66.57</w:t>
      </w:r>
      <w:r>
        <w:rPr>
          <w:rFonts w:hint="eastAsia" w:ascii="仿宋_GB2312" w:hAnsi="黑体" w:eastAsia="仿宋_GB2312"/>
          <w:sz w:val="32"/>
          <w:szCs w:val="32"/>
        </w:rPr>
        <w:t>万元，主要</w:t>
      </w:r>
      <w:r>
        <w:rPr>
          <w:rFonts w:hint="eastAsia" w:ascii="仿宋_GB2312" w:hAnsi="黑体" w:eastAsia="仿宋_GB2312"/>
          <w:sz w:val="32"/>
          <w:szCs w:val="32"/>
          <w:lang w:eastAsia="zh-CN"/>
        </w:rPr>
        <w:t>一是对农村生活污水处理项目资金的投入减少；二是将教育基础设施项目移交给教育主管部门；三是将农田基础设施项目的主体移交给水务部门；四是疾病预防控制中心项目、屯昌县中医院项目、园区大道等项目已基本完工。</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屯昌县政府投资项目管理中心</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屯昌县政府投资项目管理中心</w:t>
      </w:r>
      <w:r>
        <w:rPr>
          <w:rFonts w:hint="eastAsia" w:ascii="仿宋_GB2312" w:hAnsi="黑体" w:eastAsia="仿宋_GB2312" w:cs="仿宋_GB2312"/>
          <w:sz w:val="32"/>
          <w:szCs w:val="32"/>
          <w:lang w:eastAsia="zh-CN"/>
        </w:rPr>
        <w:t>无政府采购。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屯昌县政府投资项目管理中心</w:t>
      </w:r>
      <w:r>
        <w:rPr>
          <w:rFonts w:hint="eastAsia" w:ascii="仿宋_GB2312" w:hAnsi="黑体" w:eastAsia="仿宋_GB2312" w:cs="仿宋_GB2312"/>
          <w:sz w:val="32"/>
          <w:szCs w:val="32"/>
        </w:rPr>
        <w:t>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屯昌县政府投资项目管理中心</w:t>
      </w:r>
      <w:r>
        <w:rPr>
          <w:rFonts w:hint="eastAsia" w:ascii="仿宋_GB2312" w:hAnsi="黑体" w:eastAsia="仿宋_GB2312"/>
          <w:sz w:val="32"/>
          <w:szCs w:val="32"/>
          <w:lang w:val="en-US" w:eastAsia="zh-CN"/>
        </w:rPr>
        <w:t>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1.44</w:t>
      </w:r>
      <w:r>
        <w:rPr>
          <w:rFonts w:hint="eastAsia" w:ascii="仿宋_GB2312" w:hAnsi="黑体" w:eastAsia="仿宋_GB2312"/>
          <w:sz w:val="32"/>
          <w:szCs w:val="32"/>
        </w:rPr>
        <w:t>万元。</w:t>
      </w: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54EF7"/>
    <w:rsid w:val="007934F9"/>
    <w:rsid w:val="012C1592"/>
    <w:rsid w:val="030F3473"/>
    <w:rsid w:val="03540220"/>
    <w:rsid w:val="042C5E90"/>
    <w:rsid w:val="043D7A37"/>
    <w:rsid w:val="06C03602"/>
    <w:rsid w:val="07891A78"/>
    <w:rsid w:val="08B97778"/>
    <w:rsid w:val="09670B2B"/>
    <w:rsid w:val="0A825BD2"/>
    <w:rsid w:val="0ACC0EB9"/>
    <w:rsid w:val="0B2F5A5A"/>
    <w:rsid w:val="0B3C433B"/>
    <w:rsid w:val="0B71140A"/>
    <w:rsid w:val="0BBF2A39"/>
    <w:rsid w:val="0BD33A99"/>
    <w:rsid w:val="0C0353CC"/>
    <w:rsid w:val="0D5C24EB"/>
    <w:rsid w:val="0E1D1ECA"/>
    <w:rsid w:val="0E81479E"/>
    <w:rsid w:val="0E926F71"/>
    <w:rsid w:val="0FA87AF7"/>
    <w:rsid w:val="0FD5788C"/>
    <w:rsid w:val="124E0345"/>
    <w:rsid w:val="12631B05"/>
    <w:rsid w:val="12A4426C"/>
    <w:rsid w:val="12E35042"/>
    <w:rsid w:val="16111FD4"/>
    <w:rsid w:val="16171A9C"/>
    <w:rsid w:val="187D1091"/>
    <w:rsid w:val="19B628A8"/>
    <w:rsid w:val="19D5DA33"/>
    <w:rsid w:val="1A2D43A2"/>
    <w:rsid w:val="1BB136C2"/>
    <w:rsid w:val="1DAD3771"/>
    <w:rsid w:val="1E5B340E"/>
    <w:rsid w:val="1F255937"/>
    <w:rsid w:val="1F5742D9"/>
    <w:rsid w:val="1F5C2393"/>
    <w:rsid w:val="1FBF8E30"/>
    <w:rsid w:val="201F2EA5"/>
    <w:rsid w:val="2153563A"/>
    <w:rsid w:val="217B6C65"/>
    <w:rsid w:val="217C22E0"/>
    <w:rsid w:val="21BB3B0C"/>
    <w:rsid w:val="21E72D78"/>
    <w:rsid w:val="22090580"/>
    <w:rsid w:val="222B7E66"/>
    <w:rsid w:val="228D3346"/>
    <w:rsid w:val="22CA3B25"/>
    <w:rsid w:val="23157F5D"/>
    <w:rsid w:val="23D45347"/>
    <w:rsid w:val="23F11C6E"/>
    <w:rsid w:val="24242C9F"/>
    <w:rsid w:val="246457DF"/>
    <w:rsid w:val="24683AC4"/>
    <w:rsid w:val="24B81A55"/>
    <w:rsid w:val="251C3E32"/>
    <w:rsid w:val="25535AAE"/>
    <w:rsid w:val="25DD18E7"/>
    <w:rsid w:val="26024AB7"/>
    <w:rsid w:val="26310A80"/>
    <w:rsid w:val="264304BB"/>
    <w:rsid w:val="2957136E"/>
    <w:rsid w:val="2B3D6873"/>
    <w:rsid w:val="2BDF0DC0"/>
    <w:rsid w:val="2BFB6F95"/>
    <w:rsid w:val="2D5634B4"/>
    <w:rsid w:val="2D692583"/>
    <w:rsid w:val="2DBB0301"/>
    <w:rsid w:val="2E125042"/>
    <w:rsid w:val="2F6E148A"/>
    <w:rsid w:val="2F7A7037"/>
    <w:rsid w:val="2F7C03C7"/>
    <w:rsid w:val="2FF7110D"/>
    <w:rsid w:val="2FFFCED3"/>
    <w:rsid w:val="30F5349C"/>
    <w:rsid w:val="31635693"/>
    <w:rsid w:val="321E799F"/>
    <w:rsid w:val="32CA7C3D"/>
    <w:rsid w:val="32D06DD5"/>
    <w:rsid w:val="33403C77"/>
    <w:rsid w:val="34E34782"/>
    <w:rsid w:val="35281DA5"/>
    <w:rsid w:val="36BA00F1"/>
    <w:rsid w:val="376A345B"/>
    <w:rsid w:val="37C850ED"/>
    <w:rsid w:val="383229B1"/>
    <w:rsid w:val="383A0D8A"/>
    <w:rsid w:val="385E4B4D"/>
    <w:rsid w:val="38FD5465"/>
    <w:rsid w:val="39293E08"/>
    <w:rsid w:val="39366666"/>
    <w:rsid w:val="395677F1"/>
    <w:rsid w:val="39E155CC"/>
    <w:rsid w:val="3A8B1D5D"/>
    <w:rsid w:val="3B2F62E4"/>
    <w:rsid w:val="3B33023F"/>
    <w:rsid w:val="3BB462ED"/>
    <w:rsid w:val="3BF80F5A"/>
    <w:rsid w:val="3C6B3EA5"/>
    <w:rsid w:val="3C8A16B6"/>
    <w:rsid w:val="3CC70E46"/>
    <w:rsid w:val="3D4568FF"/>
    <w:rsid w:val="3D9456DF"/>
    <w:rsid w:val="3D9924E7"/>
    <w:rsid w:val="3DDB6BFD"/>
    <w:rsid w:val="3E23310C"/>
    <w:rsid w:val="3F776EBD"/>
    <w:rsid w:val="3F7FB4B5"/>
    <w:rsid w:val="3FAD4D11"/>
    <w:rsid w:val="40301846"/>
    <w:rsid w:val="40D53C72"/>
    <w:rsid w:val="410D7F0F"/>
    <w:rsid w:val="41B155E6"/>
    <w:rsid w:val="41C901F4"/>
    <w:rsid w:val="420D202B"/>
    <w:rsid w:val="4509550E"/>
    <w:rsid w:val="48497BC7"/>
    <w:rsid w:val="498F6973"/>
    <w:rsid w:val="49DF700E"/>
    <w:rsid w:val="4A544019"/>
    <w:rsid w:val="4C520009"/>
    <w:rsid w:val="4D051216"/>
    <w:rsid w:val="4E901816"/>
    <w:rsid w:val="4FB80849"/>
    <w:rsid w:val="502C7165"/>
    <w:rsid w:val="50705F6C"/>
    <w:rsid w:val="50925FE5"/>
    <w:rsid w:val="523269C5"/>
    <w:rsid w:val="52EB2406"/>
    <w:rsid w:val="53472DEB"/>
    <w:rsid w:val="537417CF"/>
    <w:rsid w:val="546F5635"/>
    <w:rsid w:val="551828A3"/>
    <w:rsid w:val="55997EF6"/>
    <w:rsid w:val="559C4FC5"/>
    <w:rsid w:val="565C6334"/>
    <w:rsid w:val="572065D3"/>
    <w:rsid w:val="574F0BC0"/>
    <w:rsid w:val="575F1EDA"/>
    <w:rsid w:val="59ED521F"/>
    <w:rsid w:val="5ACE4750"/>
    <w:rsid w:val="5BB87E11"/>
    <w:rsid w:val="5DB7E539"/>
    <w:rsid w:val="5DCD1195"/>
    <w:rsid w:val="5DEF647A"/>
    <w:rsid w:val="5E480E57"/>
    <w:rsid w:val="5E757EC3"/>
    <w:rsid w:val="5EAF0376"/>
    <w:rsid w:val="601C2A0F"/>
    <w:rsid w:val="618E691B"/>
    <w:rsid w:val="61925AB4"/>
    <w:rsid w:val="619A66EA"/>
    <w:rsid w:val="61E064FF"/>
    <w:rsid w:val="62A0152C"/>
    <w:rsid w:val="63C1567A"/>
    <w:rsid w:val="63D02933"/>
    <w:rsid w:val="63F95351"/>
    <w:rsid w:val="643428AE"/>
    <w:rsid w:val="64354088"/>
    <w:rsid w:val="665035CB"/>
    <w:rsid w:val="66DACB0B"/>
    <w:rsid w:val="67581114"/>
    <w:rsid w:val="67E33569"/>
    <w:rsid w:val="692C4353"/>
    <w:rsid w:val="697BF56A"/>
    <w:rsid w:val="6A57419A"/>
    <w:rsid w:val="6AE264F3"/>
    <w:rsid w:val="6B440597"/>
    <w:rsid w:val="6B6CE30F"/>
    <w:rsid w:val="6C584B63"/>
    <w:rsid w:val="6C7F1319"/>
    <w:rsid w:val="6CCE0085"/>
    <w:rsid w:val="6D121F90"/>
    <w:rsid w:val="6D1C4073"/>
    <w:rsid w:val="6DA51262"/>
    <w:rsid w:val="6DDF74AC"/>
    <w:rsid w:val="6E87754C"/>
    <w:rsid w:val="6ECD2076"/>
    <w:rsid w:val="6F1242DB"/>
    <w:rsid w:val="6FAF0D8D"/>
    <w:rsid w:val="6FCFCADC"/>
    <w:rsid w:val="6FE95369"/>
    <w:rsid w:val="6FF708CC"/>
    <w:rsid w:val="6FFA4FE6"/>
    <w:rsid w:val="704A4EF0"/>
    <w:rsid w:val="714A5F20"/>
    <w:rsid w:val="714E7DA0"/>
    <w:rsid w:val="71631EA3"/>
    <w:rsid w:val="71F14374"/>
    <w:rsid w:val="72B44044"/>
    <w:rsid w:val="72E02442"/>
    <w:rsid w:val="7384253F"/>
    <w:rsid w:val="748D0F84"/>
    <w:rsid w:val="75FB0B04"/>
    <w:rsid w:val="76B71266"/>
    <w:rsid w:val="76CD1126"/>
    <w:rsid w:val="78C62479"/>
    <w:rsid w:val="78FE6478"/>
    <w:rsid w:val="79F7B683"/>
    <w:rsid w:val="79FA29FC"/>
    <w:rsid w:val="79FF1599"/>
    <w:rsid w:val="7A2E6F87"/>
    <w:rsid w:val="7AAC732B"/>
    <w:rsid w:val="7B932C1D"/>
    <w:rsid w:val="7BEC3A35"/>
    <w:rsid w:val="7D1C3EB5"/>
    <w:rsid w:val="7D73BCCE"/>
    <w:rsid w:val="7DE79FA0"/>
    <w:rsid w:val="7DEBCAFF"/>
    <w:rsid w:val="7DEC791E"/>
    <w:rsid w:val="7EB93CF7"/>
    <w:rsid w:val="7EDD8B29"/>
    <w:rsid w:val="7F18541F"/>
    <w:rsid w:val="7FA514C2"/>
    <w:rsid w:val="7FE7478A"/>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cs="Times New Roman"/>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2024-02-22T08:45:45Z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