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39A64">
      <w:pPr>
        <w:widowControl/>
        <w:shd w:val="clear" w:color="auto" w:fill="FFFFFF"/>
        <w:snapToGrid w:val="0"/>
        <w:spacing w:before="100" w:beforeAutospacing="1" w:after="100" w:afterAutospacing="1"/>
        <w:jc w:val="left"/>
        <w:rPr>
          <w:rFonts w:ascii="宋体" w:hAnsi="宋体" w:eastAsia="宋体" w:cs="宋体"/>
          <w:kern w:val="0"/>
          <w:sz w:val="44"/>
          <w:szCs w:val="44"/>
        </w:rPr>
      </w:pPr>
    </w:p>
    <w:p w14:paraId="4130E856">
      <w:pPr>
        <w:widowControl/>
        <w:shd w:val="clear" w:color="auto" w:fill="FFFFFF"/>
        <w:snapToGrid w:val="0"/>
        <w:spacing w:before="100" w:beforeAutospacing="1" w:after="100" w:afterAutospacing="1"/>
        <w:jc w:val="center"/>
        <w:rPr>
          <w:rFonts w:hint="eastAsia" w:ascii="黑体" w:hAnsi="ˎ̥" w:eastAsia="黑体" w:cs="宋体"/>
          <w:kern w:val="0"/>
          <w:sz w:val="44"/>
          <w:szCs w:val="44"/>
        </w:rPr>
      </w:pPr>
      <w:r>
        <w:rPr>
          <w:rFonts w:hint="eastAsia" w:ascii="黑体" w:hAnsi="ˎ̥" w:eastAsia="黑体" w:cs="宋体"/>
          <w:kern w:val="0"/>
          <w:sz w:val="44"/>
          <w:szCs w:val="44"/>
        </w:rPr>
        <w:t>中共屯昌县委组织部2019年度部门决算</w:t>
      </w:r>
    </w:p>
    <w:p w14:paraId="08EC703F">
      <w:pPr>
        <w:widowControl/>
        <w:shd w:val="clear" w:color="auto" w:fill="FFFFFF"/>
        <w:snapToGrid w:val="0"/>
        <w:spacing w:before="100" w:beforeAutospacing="1" w:after="100" w:afterAutospacing="1"/>
        <w:jc w:val="center"/>
        <w:rPr>
          <w:rFonts w:hint="eastAsia" w:ascii="黑体" w:hAnsi="黑体" w:eastAsia="黑体" w:cs="黑体"/>
          <w:kern w:val="0"/>
          <w:sz w:val="44"/>
          <w:szCs w:val="44"/>
        </w:rPr>
      </w:pPr>
      <w:bookmarkStart w:id="0" w:name="_Toc11440_WPSOffice_Type2"/>
      <w:r>
        <w:rPr>
          <w:rFonts w:hint="eastAsia" w:ascii="黑体" w:hAnsi="黑体" w:eastAsia="黑体" w:cs="黑体"/>
          <w:kern w:val="0"/>
          <w:sz w:val="44"/>
          <w:szCs w:val="44"/>
        </w:rPr>
        <w:t>目  录</w:t>
      </w:r>
      <w:bookmarkEnd w:id="0"/>
    </w:p>
    <w:p w14:paraId="798BB829">
      <w:pPr>
        <w:widowControl/>
        <w:shd w:val="clear" w:color="auto" w:fill="FFFFFF"/>
        <w:tabs>
          <w:tab w:val="right" w:leader="dot" w:pos="8306"/>
        </w:tabs>
        <w:snapToGrid w:val="0"/>
        <w:spacing w:before="100" w:beforeAutospacing="1" w:after="100" w:afterAutospacing="1"/>
        <w:ind w:left="420"/>
        <w:jc w:val="center"/>
        <w:rPr>
          <w:rFonts w:hint="eastAsia" w:ascii="宋体" w:hAnsi="宋体" w:eastAsia="宋体" w:cs="宋体"/>
          <w:kern w:val="0"/>
          <w:sz w:val="32"/>
          <w:szCs w:val="32"/>
        </w:rPr>
      </w:pPr>
      <w:r>
        <w:rPr>
          <w:rFonts w:hint="eastAsia" w:ascii="黑体" w:hAnsi="ˎ̥" w:eastAsia="黑体" w:cs="宋体"/>
          <w:kern w:val="0"/>
          <w:sz w:val="32"/>
          <w:szCs w:val="32"/>
        </w:rPr>
        <w:t>第一部分  中共屯昌县委组织部部门部门概况</w:t>
      </w:r>
      <w:r>
        <w:rPr>
          <w:rFonts w:hint="eastAsia" w:ascii="宋体" w:hAnsi="宋体" w:eastAsia="宋体" w:cs="宋体"/>
          <w:kern w:val="0"/>
          <w:sz w:val="32"/>
          <w:szCs w:val="32"/>
        </w:rPr>
        <w:tab/>
      </w:r>
      <w:r>
        <w:rPr>
          <w:rFonts w:hint="eastAsia" w:ascii="宋体" w:hAnsi="宋体" w:eastAsia="宋体" w:cs="宋体"/>
          <w:kern w:val="0"/>
          <w:sz w:val="32"/>
          <w:szCs w:val="32"/>
        </w:rPr>
        <w:t>3</w:t>
      </w:r>
    </w:p>
    <w:p w14:paraId="151F89AF">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rPr>
      </w:pPr>
      <w:r>
        <w:rPr>
          <w:rFonts w:hint="eastAsia" w:ascii="仿宋" w:hAnsi="仿宋" w:eastAsia="仿宋" w:cs="仿宋"/>
          <w:kern w:val="0"/>
          <w:sz w:val="32"/>
          <w:szCs w:val="32"/>
        </w:rPr>
        <w:t>一、部门职责</w:t>
      </w:r>
      <w:r>
        <w:rPr>
          <w:rFonts w:hint="eastAsia" w:ascii="仿宋" w:hAnsi="仿宋" w:eastAsia="仿宋" w:cs="仿宋"/>
          <w:kern w:val="0"/>
          <w:sz w:val="32"/>
          <w:szCs w:val="32"/>
        </w:rPr>
        <w:tab/>
      </w:r>
      <w:r>
        <w:rPr>
          <w:rFonts w:hint="eastAsia" w:ascii="仿宋" w:hAnsi="仿宋" w:eastAsia="仿宋" w:cs="仿宋"/>
          <w:kern w:val="0"/>
          <w:sz w:val="32"/>
          <w:szCs w:val="32"/>
        </w:rPr>
        <w:t>3</w:t>
      </w:r>
    </w:p>
    <w:p w14:paraId="6D5FC1F8">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二、机构设置</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p>
    <w:p w14:paraId="22775A9D">
      <w:pPr>
        <w:widowControl/>
        <w:shd w:val="clear" w:color="auto" w:fill="FFFFFF"/>
        <w:tabs>
          <w:tab w:val="right" w:leader="dot" w:pos="8306"/>
        </w:tabs>
        <w:snapToGrid w:val="0"/>
        <w:spacing w:before="100" w:beforeAutospacing="1" w:after="100" w:afterAutospacing="1"/>
        <w:ind w:left="420"/>
        <w:jc w:val="center"/>
        <w:rPr>
          <w:rFonts w:hint="eastAsia" w:ascii="宋体" w:hAnsi="宋体" w:eastAsia="宋体" w:cs="宋体"/>
          <w:kern w:val="0"/>
          <w:sz w:val="32"/>
          <w:szCs w:val="32"/>
          <w:lang w:val="en-US" w:eastAsia="zh-CN"/>
        </w:rPr>
      </w:pPr>
      <w:r>
        <w:rPr>
          <w:rFonts w:hint="eastAsia" w:ascii="黑体" w:hAnsi="ˎ̥" w:eastAsia="黑体" w:cs="宋体"/>
          <w:kern w:val="0"/>
          <w:sz w:val="32"/>
          <w:szCs w:val="32"/>
        </w:rPr>
        <w:t>第二部分  中共屯昌县委组织部X部门2019年度部门决算批复表</w:t>
      </w:r>
      <w:r>
        <w:rPr>
          <w:rFonts w:hint="eastAsia" w:ascii="宋体" w:hAnsi="宋体" w:eastAsia="宋体" w:cs="宋体"/>
          <w:kern w:val="0"/>
          <w:sz w:val="32"/>
          <w:szCs w:val="32"/>
        </w:rPr>
        <w:tab/>
      </w:r>
      <w:r>
        <w:rPr>
          <w:rFonts w:hint="eastAsia" w:ascii="宋体" w:hAnsi="宋体" w:eastAsia="宋体" w:cs="宋体"/>
          <w:kern w:val="0"/>
          <w:sz w:val="32"/>
          <w:szCs w:val="32"/>
          <w:lang w:val="en-US" w:eastAsia="zh-CN"/>
        </w:rPr>
        <w:t>5</w:t>
      </w:r>
    </w:p>
    <w:p w14:paraId="5FF0D3BC">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一、收入支出决算批复表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5</w:t>
      </w:r>
    </w:p>
    <w:p w14:paraId="78EC426C">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二、收入决算批复表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61A15693">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三、支出决算批复表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43148F7E">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四、 财政拨款收入支出决算批复表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128509CF">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五、一般公共预算财政拨款收入支出决算批复表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67BE81B5">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六、一般公共预算财政拨款基本支出决算批复表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079230B5">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七、政府性基金预算财政拨款收入支出决算批复表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5AFD0A48">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八、一般公共预算财政拨款“三公”经费支出决算批复表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312FFDCE">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九、政府性基金预算财政拨款“三公”经费支出决算批复表</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4D16D274">
      <w:pPr>
        <w:widowControl/>
        <w:shd w:val="clear" w:color="auto" w:fill="FFFFFF"/>
        <w:tabs>
          <w:tab w:val="right" w:leader="dot" w:pos="8306"/>
        </w:tabs>
        <w:snapToGrid w:val="0"/>
        <w:spacing w:before="100" w:beforeAutospacing="1" w:after="100" w:afterAutospacing="1"/>
        <w:ind w:left="420"/>
        <w:jc w:val="center"/>
        <w:rPr>
          <w:rFonts w:hint="eastAsia" w:ascii="宋体" w:hAnsi="宋体" w:eastAsia="宋体" w:cs="宋体"/>
          <w:kern w:val="0"/>
          <w:sz w:val="32"/>
          <w:szCs w:val="32"/>
        </w:rPr>
      </w:pPr>
      <w:r>
        <w:rPr>
          <w:rFonts w:hint="eastAsia" w:ascii="黑体" w:hAnsi="黑体" w:eastAsia="黑体" w:cs="黑体"/>
          <w:kern w:val="0"/>
          <w:sz w:val="32"/>
          <w:szCs w:val="32"/>
        </w:rPr>
        <w:t>第三部分</w:t>
      </w:r>
      <w:r>
        <w:rPr>
          <w:rFonts w:hint="eastAsia" w:ascii="宋体" w:hAnsi="宋体" w:eastAsia="宋体" w:cs="宋体"/>
          <w:kern w:val="0"/>
          <w:sz w:val="32"/>
          <w:szCs w:val="32"/>
        </w:rPr>
        <w:t xml:space="preserve">  </w:t>
      </w:r>
      <w:r>
        <w:rPr>
          <w:rFonts w:hint="eastAsia" w:ascii="黑体" w:hAnsi="ˎ̥" w:eastAsia="黑体" w:cs="宋体"/>
          <w:kern w:val="0"/>
          <w:sz w:val="32"/>
          <w:szCs w:val="32"/>
        </w:rPr>
        <w:t>中共屯昌县委组织部X部门2019年度部门决算情况说明</w:t>
      </w:r>
      <w:r>
        <w:rPr>
          <w:rFonts w:hint="eastAsia" w:ascii="宋体" w:hAnsi="宋体" w:eastAsia="宋体" w:cs="宋体"/>
          <w:kern w:val="0"/>
          <w:sz w:val="32"/>
          <w:szCs w:val="32"/>
        </w:rPr>
        <w:tab/>
      </w:r>
      <w:r>
        <w:rPr>
          <w:rFonts w:hint="eastAsia" w:ascii="宋体" w:hAnsi="宋体" w:eastAsia="宋体" w:cs="宋体"/>
          <w:kern w:val="0"/>
          <w:sz w:val="32"/>
          <w:szCs w:val="32"/>
          <w:lang w:val="en-US" w:eastAsia="zh-CN"/>
        </w:rPr>
        <w:t>6</w:t>
      </w:r>
    </w:p>
    <w:p w14:paraId="1EE7181D">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rPr>
      </w:pPr>
      <w:r>
        <w:rPr>
          <w:rFonts w:hint="eastAsia" w:ascii="仿宋" w:hAnsi="仿宋" w:eastAsia="仿宋" w:cs="仿宋"/>
          <w:bCs/>
          <w:kern w:val="0"/>
          <w:sz w:val="32"/>
          <w:szCs w:val="32"/>
        </w:rPr>
        <w:t>一、收入支出决算总体情况说明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6</w:t>
      </w:r>
    </w:p>
    <w:p w14:paraId="15C46204">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二、收入决算情况说明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14:paraId="65BB4C96">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三、支出决算情况说明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14:paraId="19D3128E">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四、财政拨款收入支出决算总体情况说明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8</w:t>
      </w:r>
    </w:p>
    <w:p w14:paraId="585C95D0">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五、一般公共预算财政拨款支出决算情况说明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9</w:t>
      </w:r>
    </w:p>
    <w:p w14:paraId="2F094CDA">
      <w:pPr>
        <w:widowControl/>
        <w:shd w:val="clear" w:color="auto" w:fill="FFFFFF"/>
        <w:tabs>
          <w:tab w:val="right" w:leader="dot" w:pos="8306"/>
        </w:tabs>
        <w:snapToGrid w:val="0"/>
        <w:spacing w:before="100" w:beforeAutospacing="1" w:after="100" w:afterAutospacing="1"/>
        <w:jc w:val="center"/>
        <w:rPr>
          <w:rFonts w:hint="default" w:ascii="仿宋" w:hAnsi="仿宋" w:eastAsia="仿宋" w:cs="仿宋"/>
          <w:kern w:val="0"/>
          <w:sz w:val="32"/>
          <w:szCs w:val="32"/>
          <w:lang w:val="en-US" w:eastAsia="zh-CN"/>
        </w:rPr>
      </w:pPr>
      <w:r>
        <w:rPr>
          <w:rFonts w:hint="eastAsia" w:ascii="仿宋" w:hAnsi="仿宋" w:eastAsia="仿宋" w:cs="仿宋"/>
          <w:bCs/>
          <w:kern w:val="0"/>
          <w:sz w:val="32"/>
          <w:szCs w:val="32"/>
        </w:rPr>
        <w:t>六、一般公共预算财政拨款基本支出决算情况说明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11</w:t>
      </w:r>
    </w:p>
    <w:p w14:paraId="1359F527">
      <w:pPr>
        <w:widowControl/>
        <w:shd w:val="clear" w:color="auto" w:fill="FFFFFF"/>
        <w:tabs>
          <w:tab w:val="right" w:leader="dot" w:pos="8306"/>
        </w:tabs>
        <w:snapToGrid w:val="0"/>
        <w:spacing w:before="100" w:beforeAutospacing="1" w:after="100" w:afterAutospacing="1"/>
        <w:jc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rPr>
        <w:t>七、</w:t>
      </w:r>
      <w:r>
        <w:rPr>
          <w:rFonts w:hint="eastAsia" w:ascii="仿宋" w:hAnsi="仿宋" w:eastAsia="仿宋" w:cs="仿宋"/>
          <w:bCs/>
          <w:kern w:val="0"/>
          <w:sz w:val="32"/>
          <w:szCs w:val="32"/>
        </w:rPr>
        <w:t>政府性基金预算财政拨款收入支出决算情况说明</w:t>
      </w:r>
      <w:r>
        <w:rPr>
          <w:rFonts w:hint="eastAsia" w:ascii="仿宋" w:hAnsi="仿宋" w:eastAsia="仿宋" w:cs="仿宋"/>
          <w:kern w:val="0"/>
          <w:sz w:val="32"/>
          <w:szCs w:val="32"/>
        </w:rPr>
        <w:tab/>
      </w:r>
      <w:r>
        <w:rPr>
          <w:rFonts w:hint="eastAsia" w:ascii="仿宋" w:hAnsi="仿宋" w:eastAsia="仿宋" w:cs="仿宋"/>
          <w:kern w:val="0"/>
          <w:sz w:val="32"/>
          <w:szCs w:val="32"/>
          <w:lang w:val="en-US" w:eastAsia="zh-CN"/>
        </w:rPr>
        <w:t>12</w:t>
      </w:r>
    </w:p>
    <w:p w14:paraId="4E13189F">
      <w:pPr>
        <w:widowControl/>
        <w:shd w:val="clear" w:color="auto" w:fill="FFFFFF"/>
        <w:snapToGrid w:val="0"/>
        <w:spacing w:before="100" w:beforeAutospacing="1" w:after="100" w:afterAutospacing="1"/>
        <w:jc w:val="center"/>
        <w:rPr>
          <w:rFonts w:hint="eastAsia" w:ascii="仿宋" w:hAnsi="仿宋" w:eastAsia="仿宋" w:cs="仿宋"/>
          <w:kern w:val="0"/>
          <w:sz w:val="32"/>
          <w:szCs w:val="32"/>
        </w:rPr>
      </w:pPr>
      <w:r>
        <w:rPr>
          <w:rFonts w:hint="eastAsia" w:ascii="仿宋" w:hAnsi="仿宋" w:eastAsia="仿宋" w:cs="仿宋"/>
          <w:bCs/>
          <w:kern w:val="0"/>
          <w:sz w:val="32"/>
          <w:szCs w:val="32"/>
        </w:rPr>
        <w:t>八、</w:t>
      </w:r>
      <w:r>
        <w:rPr>
          <w:rFonts w:hint="eastAsia" w:ascii="仿宋" w:hAnsi="仿宋" w:eastAsia="仿宋" w:cs="仿宋"/>
          <w:bCs/>
          <w:kern w:val="0"/>
          <w:sz w:val="30"/>
          <w:szCs w:val="30"/>
        </w:rPr>
        <w:t>一般公共预算财政拨款“三公”经费支出决算情况说明</w:t>
      </w:r>
      <w:r>
        <w:rPr>
          <w:rFonts w:hint="eastAsia" w:ascii="仿宋" w:hAnsi="仿宋" w:eastAsia="仿宋" w:cs="仿宋"/>
          <w:bCs/>
          <w:kern w:val="0"/>
          <w:sz w:val="30"/>
          <w:szCs w:val="30"/>
          <w:lang w:val="en-US" w:eastAsia="zh-CN"/>
        </w:rPr>
        <w:t>..12</w:t>
      </w:r>
    </w:p>
    <w:p w14:paraId="2D05FA0B">
      <w:pPr>
        <w:widowControl/>
        <w:shd w:val="clear" w:color="auto" w:fill="FFFFFF"/>
        <w:snapToGrid w:val="0"/>
        <w:spacing w:before="100" w:beforeAutospacing="1" w:after="100" w:afterAutospacing="1"/>
        <w:jc w:val="center"/>
        <w:rPr>
          <w:rFonts w:hint="eastAsia" w:ascii="仿宋" w:hAnsi="仿宋" w:eastAsia="仿宋" w:cs="仿宋"/>
          <w:kern w:val="0"/>
          <w:sz w:val="32"/>
          <w:szCs w:val="32"/>
        </w:rPr>
      </w:pPr>
      <w:r>
        <w:rPr>
          <w:rFonts w:hint="eastAsia" w:ascii="仿宋" w:hAnsi="仿宋" w:eastAsia="仿宋" w:cs="仿宋"/>
          <w:bCs/>
          <w:kern w:val="0"/>
          <w:sz w:val="32"/>
          <w:szCs w:val="32"/>
        </w:rPr>
        <w:t>九、</w:t>
      </w:r>
      <w:r>
        <w:rPr>
          <w:rFonts w:hint="eastAsia" w:ascii="仿宋" w:hAnsi="仿宋" w:eastAsia="仿宋" w:cs="仿宋"/>
          <w:bCs/>
          <w:kern w:val="0"/>
          <w:sz w:val="30"/>
          <w:szCs w:val="30"/>
        </w:rPr>
        <w:t>政府性基金预算财政拨款“三公”经费支出决算情况说</w:t>
      </w:r>
      <w:r>
        <w:rPr>
          <w:rFonts w:hint="eastAsia" w:ascii="仿宋" w:hAnsi="仿宋" w:eastAsia="仿宋" w:cs="仿宋"/>
          <w:bCs/>
          <w:kern w:val="0"/>
          <w:sz w:val="32"/>
          <w:szCs w:val="32"/>
        </w:rPr>
        <w:t>明</w:t>
      </w:r>
      <w:r>
        <w:rPr>
          <w:rFonts w:hint="eastAsia" w:ascii="仿宋" w:hAnsi="仿宋" w:eastAsia="仿宋" w:cs="仿宋"/>
          <w:bCs/>
          <w:kern w:val="0"/>
          <w:sz w:val="32"/>
          <w:szCs w:val="32"/>
          <w:lang w:val="en-US" w:eastAsia="zh-CN"/>
        </w:rPr>
        <w:t>.1</w:t>
      </w:r>
      <w:r>
        <w:rPr>
          <w:rFonts w:hint="eastAsia" w:ascii="仿宋" w:hAnsi="仿宋" w:eastAsia="仿宋" w:cs="仿宋"/>
          <w:kern w:val="0"/>
          <w:sz w:val="32"/>
          <w:szCs w:val="32"/>
          <w:lang w:val="en-US" w:eastAsia="zh-CN"/>
        </w:rPr>
        <w:t>4</w:t>
      </w:r>
    </w:p>
    <w:p w14:paraId="2E78C5B4">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十、预算绩效情况说明</w:t>
      </w:r>
      <w:r>
        <w:rPr>
          <w:rFonts w:hint="eastAsia" w:ascii="仿宋" w:hAnsi="仿宋" w:eastAsia="仿宋" w:cs="仿宋"/>
          <w:kern w:val="0"/>
          <w:sz w:val="32"/>
          <w:szCs w:val="32"/>
        </w:rPr>
        <w:tab/>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4</w:t>
      </w:r>
    </w:p>
    <w:p w14:paraId="654C6DCA">
      <w:pPr>
        <w:widowControl/>
        <w:shd w:val="clear" w:color="auto" w:fill="FFFFFF"/>
        <w:tabs>
          <w:tab w:val="right" w:leader="dot" w:pos="8306"/>
        </w:tabs>
        <w:snapToGrid w:val="0"/>
        <w:spacing w:before="100" w:beforeAutospacing="1" w:after="100" w:afterAutospacing="1"/>
        <w:jc w:val="center"/>
        <w:rPr>
          <w:rFonts w:hint="eastAsia" w:ascii="仿宋" w:hAnsi="仿宋" w:eastAsia="仿宋" w:cs="仿宋"/>
          <w:kern w:val="0"/>
          <w:sz w:val="32"/>
          <w:szCs w:val="32"/>
          <w:lang w:val="en-US" w:eastAsia="zh-CN"/>
        </w:rPr>
      </w:pPr>
      <w:r>
        <w:rPr>
          <w:rFonts w:hint="eastAsia" w:ascii="仿宋" w:hAnsi="仿宋" w:eastAsia="仿宋" w:cs="仿宋"/>
          <w:bCs/>
          <w:kern w:val="0"/>
          <w:sz w:val="32"/>
          <w:szCs w:val="32"/>
        </w:rPr>
        <w:t>十一、其他重要事项情况说明</w:t>
      </w:r>
      <w:r>
        <w:rPr>
          <w:rFonts w:hint="eastAsia" w:ascii="仿宋" w:hAnsi="仿宋" w:eastAsia="仿宋" w:cs="仿宋"/>
          <w:kern w:val="0"/>
          <w:sz w:val="32"/>
          <w:szCs w:val="32"/>
        </w:rPr>
        <w:tab/>
      </w: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6</w:t>
      </w:r>
    </w:p>
    <w:p w14:paraId="225189E0">
      <w:pPr>
        <w:widowControl/>
        <w:shd w:val="clear" w:color="auto" w:fill="FFFFFF"/>
        <w:tabs>
          <w:tab w:val="right" w:leader="dot" w:pos="8306"/>
        </w:tabs>
        <w:snapToGrid w:val="0"/>
        <w:spacing w:before="100" w:beforeAutospacing="1" w:after="100" w:afterAutospacing="1"/>
        <w:ind w:left="420"/>
        <w:jc w:val="center"/>
        <w:rPr>
          <w:rFonts w:hint="eastAsia" w:ascii="宋体" w:hAnsi="宋体" w:eastAsia="宋体" w:cs="宋体"/>
          <w:kern w:val="0"/>
          <w:sz w:val="32"/>
          <w:szCs w:val="32"/>
          <w:lang w:val="en-US" w:eastAsia="zh-CN"/>
        </w:rPr>
      </w:pPr>
      <w:r>
        <w:rPr>
          <w:rFonts w:hint="eastAsia" w:ascii="黑体" w:hAnsi="ˎ̥" w:eastAsia="黑体" w:cs="宋体"/>
          <w:kern w:val="0"/>
          <w:sz w:val="32"/>
          <w:szCs w:val="32"/>
        </w:rPr>
        <w:t>第四部分  名词解释</w:t>
      </w:r>
      <w:r>
        <w:rPr>
          <w:rFonts w:hint="eastAsia" w:ascii="宋体" w:hAnsi="宋体" w:eastAsia="宋体" w:cs="宋体"/>
          <w:kern w:val="0"/>
          <w:sz w:val="32"/>
          <w:szCs w:val="32"/>
        </w:rPr>
        <w:tab/>
      </w:r>
      <w:bookmarkStart w:id="1" w:name="_Toc15425_WPSOffice_Level1Page"/>
      <w:r>
        <w:rPr>
          <w:rFonts w:hint="eastAsia" w:ascii="宋体" w:hAnsi="宋体" w:eastAsia="宋体" w:cs="宋体"/>
          <w:kern w:val="0"/>
          <w:sz w:val="32"/>
          <w:szCs w:val="32"/>
        </w:rPr>
        <w:t>1</w:t>
      </w:r>
      <w:bookmarkEnd w:id="1"/>
      <w:r>
        <w:rPr>
          <w:rFonts w:hint="eastAsia" w:ascii="宋体" w:hAnsi="宋体" w:eastAsia="宋体" w:cs="宋体"/>
          <w:kern w:val="0"/>
          <w:sz w:val="32"/>
          <w:szCs w:val="32"/>
          <w:lang w:val="en-US" w:eastAsia="zh-CN"/>
        </w:rPr>
        <w:t>8</w:t>
      </w:r>
    </w:p>
    <w:p w14:paraId="6BAE4E67">
      <w:pPr>
        <w:widowControl/>
        <w:shd w:val="clear" w:color="auto" w:fill="FFFFFF"/>
        <w:snapToGrid w:val="0"/>
        <w:spacing w:before="100" w:beforeAutospacing="1" w:after="100" w:afterAutospacing="1"/>
        <w:jc w:val="center"/>
        <w:rPr>
          <w:rFonts w:hint="eastAsia" w:ascii="黑体" w:hAnsi="ˎ̥" w:eastAsia="黑体" w:cs="宋体"/>
          <w:b/>
          <w:kern w:val="0"/>
          <w:sz w:val="32"/>
          <w:szCs w:val="32"/>
        </w:rPr>
      </w:pPr>
    </w:p>
    <w:p w14:paraId="1CD78852">
      <w:pPr>
        <w:widowControl/>
        <w:shd w:val="clear" w:color="auto" w:fill="FFFFFF"/>
        <w:snapToGrid w:val="0"/>
        <w:spacing w:before="100" w:beforeAutospacing="1" w:after="100" w:afterAutospacing="1"/>
        <w:jc w:val="both"/>
        <w:rPr>
          <w:rFonts w:hint="eastAsia" w:ascii="黑体" w:hAnsi="ˎ̥" w:eastAsia="黑体" w:cs="宋体"/>
          <w:b/>
          <w:kern w:val="0"/>
          <w:sz w:val="32"/>
          <w:szCs w:val="32"/>
        </w:rPr>
      </w:pPr>
    </w:p>
    <w:p w14:paraId="27D7F837">
      <w:pPr>
        <w:widowControl/>
        <w:shd w:val="clear" w:color="auto" w:fill="FFFFFF"/>
        <w:snapToGrid w:val="0"/>
        <w:spacing w:before="100" w:beforeAutospacing="1" w:after="100" w:afterAutospacing="1"/>
        <w:jc w:val="both"/>
        <w:rPr>
          <w:rFonts w:hint="eastAsia" w:ascii="黑体" w:hAnsi="ˎ̥" w:eastAsia="黑体" w:cs="宋体"/>
          <w:b/>
          <w:kern w:val="0"/>
          <w:sz w:val="32"/>
          <w:szCs w:val="32"/>
        </w:rPr>
      </w:pPr>
    </w:p>
    <w:p w14:paraId="718D81F2">
      <w:pPr>
        <w:widowControl/>
        <w:shd w:val="clear" w:color="auto" w:fill="FFFFFF"/>
        <w:snapToGrid w:val="0"/>
        <w:spacing w:before="100" w:beforeAutospacing="1" w:after="100" w:afterAutospacing="1"/>
        <w:jc w:val="both"/>
        <w:rPr>
          <w:rFonts w:hint="eastAsia" w:ascii="黑体" w:hAnsi="ˎ̥" w:eastAsia="黑体" w:cs="宋体"/>
          <w:b/>
          <w:kern w:val="0"/>
          <w:sz w:val="32"/>
          <w:szCs w:val="32"/>
        </w:rPr>
      </w:pPr>
    </w:p>
    <w:p w14:paraId="66A48FD2">
      <w:pPr>
        <w:widowControl/>
        <w:shd w:val="clear" w:color="auto" w:fill="FFFFFF"/>
        <w:snapToGrid w:val="0"/>
        <w:spacing w:before="100" w:beforeAutospacing="1" w:after="100" w:afterAutospacing="1"/>
        <w:jc w:val="both"/>
        <w:rPr>
          <w:rFonts w:hint="eastAsia" w:ascii="黑体" w:hAnsi="ˎ̥" w:eastAsia="黑体" w:cs="宋体"/>
          <w:b/>
          <w:kern w:val="0"/>
          <w:sz w:val="32"/>
          <w:szCs w:val="32"/>
        </w:rPr>
      </w:pPr>
    </w:p>
    <w:p w14:paraId="2E1E3296">
      <w:pPr>
        <w:widowControl/>
        <w:shd w:val="clear" w:color="auto" w:fill="FFFFFF"/>
        <w:snapToGrid w:val="0"/>
        <w:spacing w:before="100" w:beforeAutospacing="1" w:after="100" w:afterAutospacing="1"/>
        <w:jc w:val="both"/>
        <w:rPr>
          <w:rFonts w:hint="eastAsia" w:ascii="黑体" w:hAnsi="ˎ̥" w:eastAsia="黑体" w:cs="宋体"/>
          <w:b/>
          <w:kern w:val="0"/>
          <w:sz w:val="32"/>
          <w:szCs w:val="32"/>
        </w:rPr>
      </w:pPr>
    </w:p>
    <w:p w14:paraId="729D8454">
      <w:pPr>
        <w:widowControl/>
        <w:shd w:val="clear" w:color="auto" w:fill="FFFFFF"/>
        <w:snapToGrid w:val="0"/>
        <w:spacing w:before="100" w:beforeAutospacing="1" w:after="100" w:afterAutospacing="1"/>
        <w:jc w:val="center"/>
        <w:rPr>
          <w:rFonts w:hint="eastAsia" w:ascii="黑体" w:hAnsi="ˎ̥" w:eastAsia="黑体" w:cs="宋体"/>
          <w:b/>
          <w:kern w:val="0"/>
          <w:sz w:val="32"/>
          <w:szCs w:val="32"/>
        </w:rPr>
      </w:pPr>
    </w:p>
    <w:p w14:paraId="7FE57F7D">
      <w:pPr>
        <w:widowControl/>
        <w:shd w:val="clear" w:color="auto" w:fill="FFFFFF"/>
        <w:snapToGrid w:val="0"/>
        <w:spacing w:before="100" w:beforeAutospacing="1" w:after="100" w:afterAutospacing="1"/>
        <w:jc w:val="center"/>
        <w:rPr>
          <w:rFonts w:hint="eastAsia" w:ascii="黑体" w:hAnsi="ˎ̥" w:eastAsia="黑体" w:cs="宋体"/>
          <w:b/>
          <w:kern w:val="0"/>
          <w:sz w:val="32"/>
          <w:szCs w:val="32"/>
        </w:rPr>
      </w:pPr>
    </w:p>
    <w:p w14:paraId="5A7D2589">
      <w:pPr>
        <w:widowControl/>
        <w:shd w:val="clear" w:color="auto" w:fill="FFFFFF"/>
        <w:snapToGrid w:val="0"/>
        <w:spacing w:before="100" w:beforeAutospacing="1" w:after="100" w:afterAutospacing="1"/>
        <w:jc w:val="center"/>
        <w:rPr>
          <w:rFonts w:hint="eastAsia" w:ascii="黑体" w:hAnsi="ˎ̥" w:eastAsia="黑体" w:cs="宋体"/>
          <w:b/>
          <w:kern w:val="0"/>
          <w:sz w:val="32"/>
          <w:szCs w:val="32"/>
        </w:rPr>
      </w:pPr>
    </w:p>
    <w:p w14:paraId="72D1D06F">
      <w:pPr>
        <w:keepNext w:val="0"/>
        <w:keepLines w:val="0"/>
        <w:pageBreakBefore w:val="0"/>
        <w:widowControl/>
        <w:kinsoku/>
        <w:wordWrap/>
        <w:overflowPunct/>
        <w:topLinePunct w:val="0"/>
        <w:autoSpaceDE/>
        <w:autoSpaceDN/>
        <w:bidi w:val="0"/>
        <w:adjustRightInd/>
        <w:snapToGrid w:val="0"/>
        <w:spacing w:line="590" w:lineRule="exact"/>
        <w:ind w:left="636" w:leftChars="303" w:right="0" w:rightChars="0" w:firstLine="640" w:firstLineChars="200"/>
        <w:jc w:val="left"/>
        <w:textAlignment w:val="auto"/>
        <w:outlineLvl w:val="9"/>
        <w:rPr>
          <w:rFonts w:hint="eastAsia" w:ascii="黑体" w:hAnsi="ˎ̥" w:eastAsia="黑体" w:cs="宋体"/>
          <w:kern w:val="0"/>
          <w:sz w:val="32"/>
          <w:szCs w:val="32"/>
        </w:rPr>
      </w:pPr>
      <w:bookmarkStart w:id="2" w:name="_Toc10049_WPSOffice_Level1"/>
      <w:bookmarkStart w:id="3" w:name="_Toc23465_WPSOffice_Level1"/>
      <w:bookmarkStart w:id="4" w:name="_Toc1704_WPSOffice_Level1"/>
      <w:bookmarkStart w:id="5" w:name="_Toc10720_WPSOffice_Level1"/>
      <w:bookmarkStart w:id="6" w:name="_Toc32433_WPSOffice_Level1"/>
      <w:bookmarkStart w:id="7" w:name="_Toc22941_WPSOffice_Level1"/>
      <w:bookmarkStart w:id="8" w:name="_Toc32622_WPSOffice_Level2"/>
      <w:bookmarkStart w:id="9" w:name="_Toc24238_WPSOffice_Level2"/>
      <w:bookmarkStart w:id="10" w:name="_Toc20274_WPSOffice_Level2"/>
      <w:bookmarkStart w:id="11" w:name="_Toc20205_WPSOffice_Level2"/>
      <w:bookmarkStart w:id="12" w:name="_Toc14159_WPSOffice_Level2"/>
      <w:bookmarkStart w:id="13" w:name="_Toc26580_WPSOffice_Level2"/>
      <w:r>
        <w:rPr>
          <w:rFonts w:hint="eastAsia" w:ascii="黑体" w:hAnsi="ˎ̥" w:eastAsia="黑体" w:cs="宋体"/>
          <w:kern w:val="0"/>
          <w:sz w:val="32"/>
          <w:szCs w:val="32"/>
        </w:rPr>
        <w:t>第一部分  中共屯昌县委组织部部门部门概况</w:t>
      </w:r>
      <w:bookmarkEnd w:id="2"/>
      <w:bookmarkEnd w:id="3"/>
      <w:bookmarkEnd w:id="4"/>
      <w:bookmarkEnd w:id="5"/>
      <w:bookmarkEnd w:id="6"/>
      <w:bookmarkEnd w:id="7"/>
    </w:p>
    <w:p w14:paraId="7D65D00B">
      <w:pPr>
        <w:widowControl/>
        <w:shd w:val="clear" w:color="auto" w:fill="FFFFFF"/>
        <w:snapToGrid w:val="0"/>
        <w:spacing w:before="100" w:beforeAutospacing="1" w:after="100" w:afterAutospacing="1"/>
        <w:ind w:firstLine="640" w:firstLineChars="200"/>
        <w:jc w:val="left"/>
        <w:rPr>
          <w:rFonts w:hint="eastAsia" w:ascii="楷体" w:hAnsi="楷体" w:eastAsia="楷体" w:cs="楷体"/>
          <w:kern w:val="0"/>
          <w:sz w:val="32"/>
          <w:szCs w:val="32"/>
        </w:rPr>
      </w:pPr>
    </w:p>
    <w:bookmarkEnd w:id="8"/>
    <w:bookmarkEnd w:id="9"/>
    <w:bookmarkEnd w:id="10"/>
    <w:bookmarkEnd w:id="11"/>
    <w:bookmarkEnd w:id="12"/>
    <w:bookmarkEnd w:id="13"/>
    <w:p w14:paraId="3920624F">
      <w:pPr>
        <w:keepNext w:val="0"/>
        <w:keepLines w:val="0"/>
        <w:pageBreakBefore w:val="0"/>
        <w:widowControl/>
        <w:numPr>
          <w:ilvl w:val="0"/>
          <w:numId w:val="1"/>
        </w:numPr>
        <w:kinsoku/>
        <w:wordWrap/>
        <w:overflowPunct/>
        <w:topLinePunct w:val="0"/>
        <w:autoSpaceDE/>
        <w:autoSpaceDN/>
        <w:bidi w:val="0"/>
        <w:adjustRightInd/>
        <w:snapToGrid w:val="0"/>
        <w:spacing w:line="590" w:lineRule="exact"/>
        <w:ind w:firstLine="640" w:firstLineChars="200"/>
        <w:jc w:val="left"/>
        <w:textAlignment w:val="auto"/>
        <w:rPr>
          <w:rFonts w:hint="eastAsia" w:ascii="仿宋" w:hAnsi="仿宋" w:eastAsia="仿宋" w:cs="仿宋"/>
          <w:kern w:val="0"/>
          <w:sz w:val="32"/>
          <w:szCs w:val="32"/>
        </w:rPr>
      </w:pPr>
      <w:r>
        <w:rPr>
          <w:rFonts w:hint="eastAsia" w:ascii="黑体" w:hAnsi="黑体" w:eastAsia="黑体" w:cs="黑体"/>
          <w:kern w:val="0"/>
          <w:sz w:val="32"/>
          <w:szCs w:val="32"/>
          <w:lang w:eastAsia="zh-CN"/>
        </w:rPr>
        <w:t>部门职责</w:t>
      </w:r>
    </w:p>
    <w:p w14:paraId="3C107B65">
      <w:pPr>
        <w:keepNext w:val="0"/>
        <w:keepLines w:val="0"/>
        <w:pageBreakBefore w:val="0"/>
        <w:widowControl/>
        <w:numPr>
          <w:ilvl w:val="0"/>
          <w:numId w:val="0"/>
        </w:numPr>
        <w:kinsoku/>
        <w:wordWrap/>
        <w:overflowPunct/>
        <w:topLinePunct w:val="0"/>
        <w:autoSpaceDE/>
        <w:autoSpaceDN/>
        <w:bidi w:val="0"/>
        <w:adjustRightInd/>
        <w:snapToGrid w:val="0"/>
        <w:spacing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1、县委组织部</w:t>
      </w:r>
    </w:p>
    <w:p w14:paraId="5E749DC9">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（1）贯彻执行党中央和省委关于组织工作的方针政策；拟定并组织实施全县组织工作的政策、规定。</w:t>
      </w:r>
    </w:p>
    <w:p w14:paraId="1D244A91">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（2）按照干部管理权限，负责县管干部的考察调配和管理工作；指导各级领导班子的思想政治作风建设。</w:t>
      </w:r>
    </w:p>
    <w:p w14:paraId="5250E5C3">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（3）研究和指导全县基层党组织建设；协调、规划和指导全县党员教育、党员管理和党员发展工作，组织指导全县党建理论研究工作。</w:t>
      </w:r>
    </w:p>
    <w:p w14:paraId="68E78FBB">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（4）负责县管干部、后备干部和县级党群干部培训工作的规划、督查、指导。</w:t>
      </w:r>
    </w:p>
    <w:p w14:paraId="57A3FAAF">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（5）参与研究制定人才工作有关规划、协调有关部门做好优秀专家、人才的引进选拔和管理工作。</w:t>
      </w:r>
    </w:p>
    <w:p w14:paraId="7626736B">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（6）研究制定干部队伍建设规划，组织实施培养选拔年轻干部、后备干部、少数民族干部、妇女干部和非党干部工作。</w:t>
      </w:r>
    </w:p>
    <w:p w14:paraId="491977B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（7）负责干部宏观管理工作。指导干部制度改革，综合协调、指导党的机关、人大机关、政协机关、检察机关、审判机关、各民主党派机关以及群众团体机关执行《中华人民共和国公务员法》工作。</w:t>
      </w:r>
    </w:p>
    <w:p w14:paraId="21E7B50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（8）负责有关干部备案、监督、审查工作；做好党员干部教育管理工作；落实干部政策。</w:t>
      </w:r>
    </w:p>
    <w:p w14:paraId="75877A96">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（9）指导全县离休老干部的政治和生活服务工作。</w:t>
      </w:r>
    </w:p>
    <w:p w14:paraId="30CB36F3">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（10）承办县委和上级部门交办的其他工作，指导、检查各镇党委的组织工作。</w:t>
      </w:r>
    </w:p>
    <w:p w14:paraId="467DD5B3">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2、县“两新”组织工委</w:t>
      </w:r>
    </w:p>
    <w:p w14:paraId="73E32A9E">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（1）负责县委各项决策部署在非公有制经济组织和社会组织的贯彻落实，研究指导我县非公有制经济组织和社会组织党的工作，协调有关部门和单位做好非公有制经济组织和社会组织党的建设工作。</w:t>
      </w:r>
    </w:p>
    <w:p w14:paraId="104C6A0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（2）负责我县非公有制经济组织和社会组织党组织的设置、管理和活动开展，党的组织制度、党内生活制度的建设，党员的发展、教育、管理和服务工作。</w:t>
      </w:r>
    </w:p>
    <w:p w14:paraId="63B04EE3">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（3）负责县委直接联系管理的非公有制经济组织和社会组织党的建设工作、党组织代表大会（党员大会）换届选举工作、党组织设立和撤销的审批工作。</w:t>
      </w:r>
    </w:p>
    <w:p w14:paraId="71491F03">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（4）完成县委交办的其他工作。</w:t>
      </w:r>
    </w:p>
    <w:p w14:paraId="5A44EA4C">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）负责干部宏观管理工作。指导干部制度改革，综合协调、指导党的机关、人大机关、政协机关、检察机关、审判机关、各民主党派机关以及群众团体机关执行《中华人民共和国公务员法》工作。</w:t>
      </w:r>
    </w:p>
    <w:p w14:paraId="319D4707">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）负责有关干部备案、监督、审查工作；做好党员干部教育管理工作；落实干部政策。</w:t>
      </w:r>
    </w:p>
    <w:p w14:paraId="36412E1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）指导全县离休老干部的政治和生活服务工作。</w:t>
      </w:r>
    </w:p>
    <w:p w14:paraId="3419C812">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）承办县委和上级部门交办的其他工作，指导、检查各镇党委的组织工作。</w:t>
      </w:r>
    </w:p>
    <w:p w14:paraId="68524B79">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2、县“两新”组织工委</w:t>
      </w:r>
    </w:p>
    <w:p w14:paraId="776118DB">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（1）负责县委各项决策部署在非公有制经济组织和社会组织的贯彻落实，研究指导我县非公有制经济组织和社会组织党的工作，协调有关部门和单位做好非公有制经济组织和社会组织党的建设工作。</w:t>
      </w:r>
    </w:p>
    <w:p w14:paraId="7D41C105">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（2）负责我县非公有制经济组织和社会组织党组织的设置、管理和活动开展，党的组织制度、党内生活制度的建设，党员的发展、教育、管理和服务工作。</w:t>
      </w:r>
    </w:p>
    <w:p w14:paraId="69A7CBF6">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（3）负责县委直接联系管理的非公有制经济组织和社会组织党的建设工作、党组织代表大会（党员大会）换届选举工作、党组织设立和撤销的审批工作。</w:t>
      </w:r>
    </w:p>
    <w:p w14:paraId="1297DDCD">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（4）完成县委交办的其他工作。</w:t>
      </w:r>
    </w:p>
    <w:p w14:paraId="1E44854E">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bCs/>
          <w:kern w:val="0"/>
          <w:sz w:val="32"/>
          <w:szCs w:val="32"/>
        </w:rPr>
      </w:pPr>
      <w:bookmarkStart w:id="14" w:name="_Toc6572_WPSOffice_Level2"/>
      <w:bookmarkStart w:id="15" w:name="_Toc24474_WPSOffice_Level2"/>
      <w:bookmarkStart w:id="16" w:name="_Toc17796_WPSOffice_Level2"/>
      <w:bookmarkStart w:id="17" w:name="_Toc4833_WPSOffice_Level2"/>
      <w:bookmarkStart w:id="18" w:name="_Toc24059_WPSOffice_Level2"/>
      <w:r>
        <w:rPr>
          <w:rFonts w:hint="eastAsia" w:ascii="仿宋" w:hAnsi="仿宋" w:eastAsia="仿宋" w:cs="仿宋"/>
          <w:b/>
          <w:bCs/>
          <w:kern w:val="0"/>
          <w:sz w:val="32"/>
          <w:szCs w:val="32"/>
        </w:rPr>
        <w:t>二、机构设置</w:t>
      </w:r>
      <w:bookmarkEnd w:id="14"/>
      <w:bookmarkEnd w:id="15"/>
      <w:bookmarkEnd w:id="16"/>
      <w:bookmarkEnd w:id="17"/>
      <w:bookmarkEnd w:id="18"/>
    </w:p>
    <w:p w14:paraId="1A3DD857">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纳入中共屯昌县委组织部部门2019年度部门决算编制范围的二级预算单位包括：</w:t>
      </w:r>
      <w:bookmarkStart w:id="19" w:name="_Toc25738_WPSOffice_Level2"/>
      <w:bookmarkStart w:id="20" w:name="_Toc24421_WPSOffice_Level2"/>
    </w:p>
    <w:p w14:paraId="0E208C8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（一）</w:t>
      </w:r>
      <w:bookmarkEnd w:id="19"/>
      <w:bookmarkEnd w:id="20"/>
      <w:r>
        <w:rPr>
          <w:rFonts w:hint="eastAsia" w:ascii="仿宋" w:hAnsi="仿宋" w:eastAsia="仿宋" w:cs="仿宋"/>
          <w:kern w:val="0"/>
          <w:sz w:val="32"/>
          <w:szCs w:val="32"/>
        </w:rPr>
        <w:t>中共屯昌县委组织部部门本级</w:t>
      </w:r>
    </w:p>
    <w:p w14:paraId="3A838FF6">
      <w:pPr>
        <w:widowControl/>
        <w:shd w:val="clear" w:color="auto" w:fill="FFFFFF"/>
        <w:snapToGrid w:val="0"/>
        <w:spacing w:before="100" w:beforeAutospacing="1" w:after="100" w:afterAutospacing="1"/>
        <w:jc w:val="center"/>
        <w:rPr>
          <w:rFonts w:hint="eastAsia" w:ascii="黑体" w:hAnsi="ˎ̥" w:eastAsia="黑体" w:cs="宋体"/>
          <w:kern w:val="0"/>
          <w:sz w:val="32"/>
          <w:szCs w:val="32"/>
        </w:rPr>
      </w:pPr>
      <w:bookmarkStart w:id="21" w:name="_Toc15521_WPSOffice_Level1"/>
      <w:bookmarkStart w:id="22" w:name="_Toc30690_WPSOffice_Level1"/>
      <w:bookmarkStart w:id="23" w:name="_Toc6234_WPSOffice_Level1"/>
      <w:bookmarkStart w:id="24" w:name="_Toc8164_WPSOffice_Level1"/>
      <w:bookmarkStart w:id="25" w:name="_Toc28253_WPSOffice_Level1"/>
      <w:bookmarkStart w:id="26" w:name="_Toc30451_WPSOffice_Level1"/>
      <w:bookmarkStart w:id="27" w:name="_Toc8867_WPSOffice_Level2"/>
      <w:bookmarkStart w:id="28" w:name="_Toc32695_WPSOffice_Level2"/>
      <w:bookmarkStart w:id="29" w:name="_Toc6211_WPSOffice_Level2"/>
      <w:bookmarkStart w:id="30" w:name="_Toc4029_WPSOffice_Level2"/>
      <w:bookmarkStart w:id="31" w:name="_Toc11518_WPSOffice_Level2"/>
      <w:bookmarkStart w:id="32" w:name="_Toc32472_WPSOffice_Level2"/>
      <w:r>
        <w:rPr>
          <w:rFonts w:hint="eastAsia" w:ascii="黑体" w:hAnsi="ˎ̥" w:eastAsia="黑体" w:cs="宋体"/>
          <w:kern w:val="0"/>
          <w:sz w:val="32"/>
          <w:szCs w:val="32"/>
        </w:rPr>
        <w:t>第二部分  中共屯昌县委组织部部门2019年度部门决算公开报表</w:t>
      </w:r>
      <w:bookmarkEnd w:id="21"/>
      <w:bookmarkEnd w:id="22"/>
      <w:bookmarkEnd w:id="23"/>
      <w:bookmarkEnd w:id="24"/>
      <w:bookmarkEnd w:id="25"/>
      <w:bookmarkEnd w:id="26"/>
    </w:p>
    <w:p w14:paraId="034CAB4F">
      <w:pPr>
        <w:widowControl/>
        <w:shd w:val="clear" w:color="auto" w:fill="FFFFFF"/>
        <w:snapToGrid w:val="0"/>
        <w:spacing w:before="100" w:beforeAutospacing="1" w:after="100" w:afterAutospacing="1"/>
        <w:jc w:val="center"/>
        <w:rPr>
          <w:rFonts w:hint="eastAsia" w:ascii="黑体" w:hAnsi="ˎ̥" w:eastAsia="黑体" w:cs="宋体"/>
          <w:kern w:val="0"/>
          <w:sz w:val="32"/>
          <w:szCs w:val="32"/>
        </w:rPr>
      </w:pPr>
    </w:p>
    <w:p w14:paraId="3AF0CDEE">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r>
        <w:rPr>
          <w:rFonts w:hint="eastAsia" w:ascii="黑体" w:hAnsi="黑体" w:eastAsia="黑体" w:cs="黑体"/>
          <w:kern w:val="0"/>
          <w:sz w:val="32"/>
          <w:szCs w:val="32"/>
        </w:rPr>
        <w:t>一、收入支出决算批复表（见正文附件）</w:t>
      </w:r>
      <w:bookmarkEnd w:id="27"/>
      <w:bookmarkEnd w:id="28"/>
      <w:bookmarkEnd w:id="29"/>
      <w:r>
        <w:rPr>
          <w:rFonts w:hint="eastAsia" w:ascii="黑体" w:hAnsi="黑体" w:eastAsia="黑体" w:cs="黑体"/>
          <w:kern w:val="0"/>
          <w:sz w:val="32"/>
          <w:szCs w:val="32"/>
        </w:rPr>
        <w:t>。</w:t>
      </w:r>
      <w:bookmarkEnd w:id="30"/>
      <w:bookmarkEnd w:id="31"/>
      <w:bookmarkEnd w:id="32"/>
    </w:p>
    <w:p w14:paraId="07876BD9">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bookmarkStart w:id="33" w:name="_Toc26621_WPSOffice_Level2"/>
      <w:bookmarkStart w:id="34" w:name="_Toc25608_WPSOffice_Level2"/>
      <w:bookmarkStart w:id="35" w:name="_Toc23139_WPSOffice_Level2"/>
      <w:bookmarkStart w:id="36" w:name="_Toc28622_WPSOffice_Level2"/>
      <w:bookmarkStart w:id="37" w:name="_Toc30334_WPSOffice_Level2"/>
      <w:bookmarkStart w:id="38" w:name="_Toc14349_WPSOffice_Level2"/>
      <w:r>
        <w:rPr>
          <w:rFonts w:hint="eastAsia" w:ascii="黑体" w:hAnsi="黑体" w:eastAsia="黑体" w:cs="黑体"/>
          <w:kern w:val="0"/>
          <w:sz w:val="32"/>
          <w:szCs w:val="32"/>
        </w:rPr>
        <w:t>二、收入决算批复表（见正文附件）</w:t>
      </w:r>
      <w:bookmarkEnd w:id="33"/>
      <w:bookmarkEnd w:id="34"/>
      <w:bookmarkEnd w:id="35"/>
      <w:r>
        <w:rPr>
          <w:rFonts w:hint="eastAsia" w:ascii="黑体" w:hAnsi="黑体" w:eastAsia="黑体" w:cs="黑体"/>
          <w:kern w:val="0"/>
          <w:sz w:val="32"/>
          <w:szCs w:val="32"/>
        </w:rPr>
        <w:t>。</w:t>
      </w:r>
      <w:bookmarkEnd w:id="36"/>
      <w:bookmarkEnd w:id="37"/>
      <w:bookmarkEnd w:id="38"/>
    </w:p>
    <w:p w14:paraId="3584A2A2">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bookmarkStart w:id="39" w:name="_Toc3262_WPSOffice_Level2"/>
      <w:bookmarkStart w:id="40" w:name="_Toc17626_WPSOffice_Level2"/>
      <w:bookmarkStart w:id="41" w:name="_Toc17858_WPSOffice_Level2"/>
      <w:bookmarkStart w:id="42" w:name="_Toc5489_WPSOffice_Level2"/>
      <w:bookmarkStart w:id="43" w:name="_Toc14658_WPSOffice_Level2"/>
      <w:bookmarkStart w:id="44" w:name="_Toc13854_WPSOffice_Level2"/>
      <w:r>
        <w:rPr>
          <w:rFonts w:hint="eastAsia" w:ascii="黑体" w:hAnsi="黑体" w:eastAsia="黑体" w:cs="黑体"/>
          <w:kern w:val="0"/>
          <w:sz w:val="32"/>
          <w:szCs w:val="32"/>
        </w:rPr>
        <w:t>三、支出决算批复表（见正文附件）</w:t>
      </w:r>
      <w:bookmarkEnd w:id="39"/>
      <w:bookmarkEnd w:id="40"/>
      <w:bookmarkEnd w:id="41"/>
      <w:r>
        <w:rPr>
          <w:rFonts w:hint="eastAsia" w:ascii="黑体" w:hAnsi="黑体" w:eastAsia="黑体" w:cs="黑体"/>
          <w:kern w:val="0"/>
          <w:sz w:val="32"/>
          <w:szCs w:val="32"/>
        </w:rPr>
        <w:t>。</w:t>
      </w:r>
      <w:bookmarkEnd w:id="42"/>
      <w:bookmarkEnd w:id="43"/>
      <w:bookmarkEnd w:id="44"/>
    </w:p>
    <w:p w14:paraId="32C4A839">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bookmarkStart w:id="45" w:name="_Toc13701_WPSOffice_Level2"/>
      <w:bookmarkStart w:id="46" w:name="_Toc21415_WPSOffice_Level2"/>
      <w:bookmarkStart w:id="47" w:name="_Toc23591_WPSOffice_Level2"/>
      <w:bookmarkStart w:id="48" w:name="_Toc23493_WPSOffice_Level2"/>
      <w:bookmarkStart w:id="49" w:name="_Toc4265_WPSOffice_Level2"/>
      <w:bookmarkStart w:id="50" w:name="_Toc7988_WPSOffice_Level2"/>
      <w:r>
        <w:rPr>
          <w:rFonts w:hint="eastAsia" w:ascii="黑体" w:hAnsi="黑体" w:eastAsia="黑体" w:cs="黑体"/>
          <w:kern w:val="0"/>
          <w:sz w:val="32"/>
          <w:szCs w:val="32"/>
        </w:rPr>
        <w:t>四、财政拨款收入支出决算批复表（见正文附件）</w:t>
      </w:r>
      <w:bookmarkEnd w:id="45"/>
      <w:bookmarkEnd w:id="46"/>
      <w:bookmarkEnd w:id="47"/>
      <w:r>
        <w:rPr>
          <w:rFonts w:hint="eastAsia" w:ascii="黑体" w:hAnsi="黑体" w:eastAsia="黑体" w:cs="黑体"/>
          <w:kern w:val="0"/>
          <w:sz w:val="32"/>
          <w:szCs w:val="32"/>
        </w:rPr>
        <w:t>。</w:t>
      </w:r>
      <w:bookmarkEnd w:id="48"/>
      <w:bookmarkEnd w:id="49"/>
      <w:bookmarkEnd w:id="50"/>
    </w:p>
    <w:p w14:paraId="47C6E08E">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bookmarkStart w:id="51" w:name="_Toc25166_WPSOffice_Level2"/>
      <w:bookmarkStart w:id="52" w:name="_Toc7879_WPSOffice_Level2"/>
      <w:bookmarkStart w:id="53" w:name="_Toc23829_WPSOffice_Level2"/>
      <w:bookmarkStart w:id="54" w:name="_Toc22783_WPSOffice_Level2"/>
      <w:bookmarkStart w:id="55" w:name="_Toc2158_WPSOffice_Level2"/>
      <w:bookmarkStart w:id="56" w:name="_Toc13516_WPSOffice_Level2"/>
      <w:r>
        <w:rPr>
          <w:rFonts w:hint="eastAsia" w:ascii="黑体" w:hAnsi="黑体" w:eastAsia="黑体" w:cs="黑体"/>
          <w:kern w:val="0"/>
          <w:sz w:val="32"/>
          <w:szCs w:val="32"/>
        </w:rPr>
        <w:t>五、一般公共预算财政拨款收入支出决算批复表</w:t>
      </w:r>
      <w:bookmarkEnd w:id="51"/>
      <w:bookmarkEnd w:id="52"/>
      <w:bookmarkEnd w:id="53"/>
      <w:bookmarkEnd w:id="54"/>
    </w:p>
    <w:p w14:paraId="58576792">
      <w:pPr>
        <w:widowControl/>
        <w:shd w:val="clear" w:color="auto" w:fill="FFFFFF"/>
        <w:snapToGrid w:val="0"/>
        <w:spacing w:before="100" w:beforeAutospacing="1" w:after="100" w:afterAutospacing="1"/>
        <w:ind w:firstLine="1302" w:firstLineChars="407"/>
        <w:jc w:val="left"/>
        <w:rPr>
          <w:rFonts w:hint="eastAsia" w:ascii="黑体" w:hAnsi="黑体" w:eastAsia="黑体" w:cs="黑体"/>
          <w:kern w:val="0"/>
          <w:sz w:val="32"/>
          <w:szCs w:val="32"/>
        </w:rPr>
      </w:pPr>
      <w:r>
        <w:rPr>
          <w:rFonts w:hint="eastAsia" w:ascii="黑体" w:hAnsi="黑体" w:eastAsia="黑体" w:cs="黑体"/>
          <w:kern w:val="0"/>
          <w:sz w:val="32"/>
          <w:szCs w:val="32"/>
        </w:rPr>
        <w:t>（见正文附件）</w:t>
      </w:r>
      <w:bookmarkEnd w:id="55"/>
      <w:bookmarkEnd w:id="56"/>
      <w:r>
        <w:rPr>
          <w:rFonts w:hint="eastAsia" w:ascii="黑体" w:hAnsi="黑体" w:eastAsia="黑体" w:cs="黑体"/>
          <w:kern w:val="0"/>
          <w:sz w:val="32"/>
          <w:szCs w:val="32"/>
        </w:rPr>
        <w:t>。</w:t>
      </w:r>
    </w:p>
    <w:p w14:paraId="7CFA24B1">
      <w:pPr>
        <w:widowControl/>
        <w:shd w:val="clear" w:color="auto" w:fill="FFFFFF"/>
        <w:snapToGrid w:val="0"/>
        <w:spacing w:before="100" w:beforeAutospacing="1" w:after="100" w:afterAutospacing="1"/>
        <w:ind w:firstLine="645"/>
        <w:jc w:val="left"/>
        <w:rPr>
          <w:rFonts w:hint="eastAsia" w:ascii="黑体" w:hAnsi="黑体" w:eastAsia="黑体" w:cs="黑体"/>
          <w:kern w:val="0"/>
          <w:sz w:val="32"/>
          <w:szCs w:val="32"/>
        </w:rPr>
      </w:pPr>
      <w:bookmarkStart w:id="57" w:name="_Toc5343_WPSOffice_Level2"/>
      <w:bookmarkStart w:id="58" w:name="_Toc2632_WPSOffice_Level2"/>
      <w:bookmarkStart w:id="59" w:name="_Toc17283_WPSOffice_Level2"/>
      <w:bookmarkStart w:id="60" w:name="_Toc8373_WPSOffice_Level2"/>
      <w:bookmarkStart w:id="61" w:name="_Toc25362_WPSOffice_Level2"/>
      <w:bookmarkStart w:id="62" w:name="_Toc17833_WPSOffice_Level2"/>
      <w:r>
        <w:rPr>
          <w:rFonts w:hint="eastAsia" w:ascii="黑体" w:hAnsi="黑体" w:eastAsia="黑体" w:cs="黑体"/>
          <w:kern w:val="0"/>
          <w:sz w:val="32"/>
          <w:szCs w:val="32"/>
        </w:rPr>
        <w:t>六、一般公共预算财政拨款基本支出决算批复表</w:t>
      </w:r>
      <w:bookmarkEnd w:id="57"/>
      <w:bookmarkEnd w:id="58"/>
      <w:bookmarkEnd w:id="59"/>
      <w:bookmarkEnd w:id="60"/>
      <w:bookmarkEnd w:id="61"/>
      <w:bookmarkEnd w:id="62"/>
    </w:p>
    <w:p w14:paraId="643CC9B4">
      <w:pPr>
        <w:widowControl/>
        <w:shd w:val="clear" w:color="auto" w:fill="FFFFFF"/>
        <w:snapToGrid w:val="0"/>
        <w:spacing w:before="100" w:beforeAutospacing="1" w:after="100" w:afterAutospacing="1"/>
        <w:ind w:firstLine="1280" w:firstLineChars="400"/>
        <w:jc w:val="left"/>
        <w:rPr>
          <w:rFonts w:hint="eastAsia" w:ascii="黑体" w:hAnsi="黑体" w:eastAsia="黑体" w:cs="黑体"/>
          <w:kern w:val="0"/>
          <w:sz w:val="32"/>
          <w:szCs w:val="32"/>
        </w:rPr>
      </w:pPr>
      <w:r>
        <w:rPr>
          <w:rFonts w:hint="eastAsia" w:ascii="黑体" w:hAnsi="黑体" w:eastAsia="黑体" w:cs="黑体"/>
          <w:kern w:val="0"/>
          <w:sz w:val="32"/>
          <w:szCs w:val="32"/>
        </w:rPr>
        <w:t>（见正文附件）。</w:t>
      </w:r>
    </w:p>
    <w:p w14:paraId="47E43CB1">
      <w:pPr>
        <w:widowControl/>
        <w:shd w:val="clear" w:color="auto" w:fill="FFFFFF"/>
        <w:snapToGrid w:val="0"/>
        <w:spacing w:before="100" w:beforeAutospacing="1" w:after="100" w:afterAutospacing="1"/>
        <w:ind w:left="1118" w:leftChars="304" w:hanging="480" w:hangingChars="150"/>
        <w:jc w:val="left"/>
        <w:rPr>
          <w:rFonts w:hint="eastAsia" w:ascii="黑体" w:hAnsi="黑体" w:eastAsia="黑体" w:cs="黑体"/>
          <w:kern w:val="0"/>
          <w:sz w:val="32"/>
          <w:szCs w:val="32"/>
        </w:rPr>
      </w:pPr>
      <w:bookmarkStart w:id="63" w:name="_Toc6020_WPSOffice_Level2"/>
      <w:bookmarkStart w:id="64" w:name="_Toc21310_WPSOffice_Level2"/>
      <w:bookmarkStart w:id="65" w:name="_Toc13345_WPSOffice_Level2"/>
      <w:bookmarkStart w:id="66" w:name="_Toc1533_WPSOffice_Level2"/>
      <w:bookmarkStart w:id="67" w:name="_Toc5594_WPSOffice_Level2"/>
      <w:bookmarkStart w:id="68" w:name="_Toc11799_WPSOffice_Level2"/>
      <w:r>
        <w:rPr>
          <w:rFonts w:hint="eastAsia" w:ascii="黑体" w:hAnsi="黑体" w:eastAsia="黑体" w:cs="黑体"/>
          <w:kern w:val="0"/>
          <w:sz w:val="32"/>
          <w:szCs w:val="32"/>
        </w:rPr>
        <w:t>七、政府性基金预算财政拨款收入支出决算批复表</w:t>
      </w:r>
      <w:bookmarkEnd w:id="63"/>
      <w:bookmarkEnd w:id="64"/>
      <w:bookmarkEnd w:id="65"/>
      <w:bookmarkEnd w:id="66"/>
      <w:bookmarkEnd w:id="67"/>
      <w:bookmarkEnd w:id="68"/>
    </w:p>
    <w:p w14:paraId="403F733D">
      <w:pPr>
        <w:widowControl/>
        <w:shd w:val="clear" w:color="auto" w:fill="FFFFFF"/>
        <w:snapToGrid w:val="0"/>
        <w:spacing w:before="100" w:beforeAutospacing="1" w:after="100" w:afterAutospacing="1"/>
        <w:ind w:left="1277" w:leftChars="608" w:firstLine="160" w:firstLineChars="50"/>
        <w:jc w:val="left"/>
        <w:rPr>
          <w:rFonts w:hint="eastAsia" w:ascii="黑体" w:hAnsi="黑体" w:eastAsia="黑体" w:cs="黑体"/>
          <w:kern w:val="0"/>
          <w:sz w:val="32"/>
          <w:szCs w:val="32"/>
        </w:rPr>
      </w:pPr>
      <w:r>
        <w:rPr>
          <w:rFonts w:hint="eastAsia" w:ascii="黑体" w:hAnsi="黑体" w:eastAsia="黑体" w:cs="黑体"/>
          <w:kern w:val="0"/>
          <w:sz w:val="32"/>
          <w:szCs w:val="32"/>
        </w:rPr>
        <w:t>（见正文附件）。</w:t>
      </w:r>
    </w:p>
    <w:p w14:paraId="40B0752E">
      <w:pPr>
        <w:widowControl/>
        <w:shd w:val="clear" w:color="auto" w:fill="FFFFFF"/>
        <w:snapToGrid w:val="0"/>
        <w:spacing w:before="100" w:beforeAutospacing="1" w:after="100" w:afterAutospacing="1"/>
        <w:jc w:val="left"/>
        <w:rPr>
          <w:rFonts w:hint="eastAsia" w:ascii="黑体" w:hAnsi="黑体" w:eastAsia="黑体" w:cs="黑体"/>
          <w:kern w:val="0"/>
          <w:sz w:val="32"/>
          <w:szCs w:val="32"/>
        </w:rPr>
      </w:pPr>
      <w:bookmarkStart w:id="69" w:name="_Toc19961_WPSOffice_Level2"/>
      <w:bookmarkStart w:id="70" w:name="_Toc1820_WPSOffice_Level2"/>
      <w:bookmarkStart w:id="71" w:name="_Toc29886_WPSOffice_Level2"/>
      <w:bookmarkStart w:id="72" w:name="_Toc9377_WPSOffice_Level2"/>
      <w:r>
        <w:rPr>
          <w:rFonts w:hint="eastAsia" w:ascii="黑体" w:hAnsi="黑体" w:eastAsia="黑体" w:cs="黑体"/>
          <w:kern w:val="0"/>
          <w:sz w:val="32"/>
          <w:szCs w:val="32"/>
        </w:rPr>
        <w:t xml:space="preserve">    八、一般公共预算财政拨款“三公”经费支出决算</w:t>
      </w:r>
    </w:p>
    <w:p w14:paraId="0869823A">
      <w:pPr>
        <w:widowControl/>
        <w:shd w:val="clear" w:color="auto" w:fill="FFFFFF"/>
        <w:snapToGrid w:val="0"/>
        <w:spacing w:before="100" w:beforeAutospacing="1" w:after="100" w:afterAutospacing="1"/>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批复表</w:t>
      </w:r>
      <w:bookmarkEnd w:id="69"/>
      <w:bookmarkEnd w:id="70"/>
      <w:bookmarkEnd w:id="71"/>
      <w:bookmarkEnd w:id="72"/>
      <w:r>
        <w:rPr>
          <w:rFonts w:hint="eastAsia" w:ascii="黑体" w:hAnsi="黑体" w:eastAsia="黑体" w:cs="黑体"/>
          <w:kern w:val="0"/>
          <w:sz w:val="32"/>
          <w:szCs w:val="32"/>
        </w:rPr>
        <w:t>（见正文附件）。</w:t>
      </w:r>
    </w:p>
    <w:p w14:paraId="099C4FEC">
      <w:pPr>
        <w:widowControl/>
        <w:shd w:val="clear" w:color="auto" w:fill="FFFFFF"/>
        <w:snapToGrid w:val="0"/>
        <w:spacing w:before="100" w:beforeAutospacing="1" w:after="100" w:afterAutospacing="1"/>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九、政府性基金预算财政拨款“三公”经费支出决算</w:t>
      </w:r>
    </w:p>
    <w:p w14:paraId="1A66ACCD">
      <w:pPr>
        <w:widowControl/>
        <w:shd w:val="clear" w:color="auto" w:fill="FFFFFF"/>
        <w:snapToGrid w:val="0"/>
        <w:spacing w:before="100" w:beforeAutospacing="1" w:after="100" w:afterAutospacing="1"/>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批复表（见正文附件）。</w:t>
      </w:r>
    </w:p>
    <w:p w14:paraId="02042CC0">
      <w:pPr>
        <w:widowControl/>
        <w:shd w:val="clear" w:color="auto" w:fill="FFFFFF"/>
        <w:snapToGrid w:val="0"/>
        <w:spacing w:before="100" w:beforeAutospacing="1" w:after="100" w:afterAutospacing="1"/>
        <w:ind w:firstLine="640" w:firstLineChars="200"/>
        <w:jc w:val="left"/>
        <w:rPr>
          <w:rFonts w:hint="eastAsia" w:ascii="楷体" w:hAnsi="楷体" w:eastAsia="楷体" w:cs="楷体"/>
          <w:kern w:val="0"/>
          <w:sz w:val="32"/>
          <w:szCs w:val="32"/>
        </w:rPr>
      </w:pPr>
    </w:p>
    <w:p w14:paraId="7DA906DC">
      <w:pPr>
        <w:widowControl/>
        <w:shd w:val="clear" w:color="auto" w:fill="FFFFFF"/>
        <w:snapToGrid w:val="0"/>
        <w:spacing w:before="100" w:beforeAutospacing="1" w:after="100" w:afterAutospacing="1"/>
        <w:jc w:val="center"/>
        <w:rPr>
          <w:rFonts w:hint="eastAsia" w:ascii="黑体" w:hAnsi="ˎ̥" w:eastAsia="黑体" w:cs="宋体"/>
          <w:kern w:val="0"/>
          <w:sz w:val="32"/>
          <w:szCs w:val="32"/>
        </w:rPr>
      </w:pPr>
      <w:bookmarkStart w:id="73" w:name="_Toc4402_WPSOffice_Level1"/>
      <w:bookmarkStart w:id="74" w:name="_Toc27590_WPSOffice_Level1"/>
      <w:bookmarkStart w:id="75" w:name="_Toc16686_WPSOffice_Level1"/>
      <w:bookmarkStart w:id="76" w:name="_Toc31264_WPSOffice_Level1"/>
      <w:bookmarkStart w:id="77" w:name="_Toc29683_WPSOffice_Level1"/>
      <w:bookmarkStart w:id="78" w:name="_Toc28629_WPSOffice_Level1"/>
      <w:r>
        <w:rPr>
          <w:rFonts w:hint="eastAsia" w:ascii="黑体" w:hAnsi="ˎ̥" w:eastAsia="黑体" w:cs="宋体"/>
          <w:kern w:val="0"/>
          <w:sz w:val="32"/>
          <w:szCs w:val="32"/>
        </w:rPr>
        <w:t>第三部分  中共屯昌县委组织部部门2019年度部门决算情况说明</w:t>
      </w:r>
      <w:bookmarkEnd w:id="73"/>
      <w:bookmarkEnd w:id="74"/>
      <w:bookmarkEnd w:id="75"/>
      <w:bookmarkEnd w:id="76"/>
      <w:bookmarkEnd w:id="77"/>
      <w:bookmarkEnd w:id="78"/>
    </w:p>
    <w:p w14:paraId="124FEBDA">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jc w:val="left"/>
        <w:textAlignment w:val="auto"/>
        <w:rPr>
          <w:rFonts w:hint="eastAsia" w:ascii="黑体" w:hAnsi="黑体" w:eastAsia="黑体" w:cs="黑体"/>
          <w:bCs/>
          <w:kern w:val="0"/>
          <w:sz w:val="32"/>
          <w:szCs w:val="32"/>
        </w:rPr>
      </w:pPr>
    </w:p>
    <w:p w14:paraId="536D7430">
      <w:pPr>
        <w:keepNext w:val="0"/>
        <w:keepLines w:val="0"/>
        <w:pageBreakBefore w:val="0"/>
        <w:widowControl/>
        <w:numPr>
          <w:ilvl w:val="0"/>
          <w:numId w:val="2"/>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黑体" w:hAnsi="黑体" w:eastAsia="黑体" w:cs="黑体"/>
          <w:bCs/>
          <w:kern w:val="0"/>
          <w:sz w:val="32"/>
          <w:szCs w:val="32"/>
        </w:rPr>
      </w:pPr>
      <w:r>
        <w:rPr>
          <w:rFonts w:hint="eastAsia" w:ascii="黑体" w:hAnsi="黑体" w:eastAsia="黑体" w:cs="黑体"/>
          <w:bCs/>
          <w:kern w:val="0"/>
          <w:sz w:val="32"/>
          <w:szCs w:val="32"/>
        </w:rPr>
        <w:t>收入支出决算总体情况说明</w:t>
      </w:r>
    </w:p>
    <w:p w14:paraId="66E5DEA3">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xml:space="preserve"> 2019年度收、支总计1,412.09万元，与2018年度相比，收入、支出总计减少244.56万元，下降14.76%。主要原因：一</w:t>
      </w:r>
      <w:r>
        <w:rPr>
          <w:rFonts w:hint="eastAsia" w:ascii="仿宋" w:hAnsi="仿宋" w:eastAsia="仿宋" w:cs="仿宋"/>
          <w:kern w:val="0"/>
          <w:sz w:val="32"/>
          <w:szCs w:val="32"/>
          <w:lang w:eastAsia="zh-CN"/>
        </w:rPr>
        <w:t>是屯昌县乡镇干部周转房建设经费</w:t>
      </w:r>
      <w:r>
        <w:rPr>
          <w:rFonts w:hint="eastAsia" w:ascii="仿宋" w:hAnsi="仿宋" w:eastAsia="仿宋" w:cs="仿宋"/>
          <w:kern w:val="0"/>
          <w:sz w:val="32"/>
          <w:szCs w:val="32"/>
          <w:lang w:val="en-US" w:eastAsia="zh-CN"/>
        </w:rPr>
        <w:t>2019年收入65.04万，2018年596.70万，较上年减少531.66万</w:t>
      </w:r>
      <w:r>
        <w:rPr>
          <w:rFonts w:hint="eastAsia" w:ascii="仿宋" w:hAnsi="仿宋" w:eastAsia="仿宋" w:cs="仿宋"/>
          <w:kern w:val="0"/>
          <w:sz w:val="32"/>
          <w:szCs w:val="32"/>
        </w:rPr>
        <w:t>；二是村级活动场所建设经费</w:t>
      </w:r>
      <w:r>
        <w:rPr>
          <w:rFonts w:hint="eastAsia" w:ascii="仿宋" w:hAnsi="仿宋" w:eastAsia="仿宋" w:cs="仿宋"/>
          <w:kern w:val="0"/>
          <w:sz w:val="32"/>
          <w:szCs w:val="32"/>
          <w:lang w:val="en-US" w:eastAsia="zh-CN"/>
        </w:rPr>
        <w:t>2019年收入592.41万，2018年为351.09万，较上年增长241.32万；三是新增屯昌县脱贫致富电视夜校办工作经费收入40万，四是新增五好离退休党支部帮扶资金6万。</w:t>
      </w:r>
      <w:r>
        <w:rPr>
          <w:rFonts w:hint="eastAsia" w:ascii="仿宋" w:hAnsi="仿宋" w:eastAsia="仿宋" w:cs="仿宋"/>
          <w:kern w:val="0"/>
          <w:sz w:val="32"/>
          <w:szCs w:val="32"/>
        </w:rPr>
        <w:t>用事业基金弥补收支差额0.00万元。年初结转结余23.34万元，</w:t>
      </w:r>
      <w:r>
        <w:rPr>
          <w:rFonts w:hint="eastAsia" w:ascii="仿宋" w:hAnsi="仿宋" w:eastAsia="仿宋" w:cs="仿宋"/>
          <w:kern w:val="0"/>
          <w:sz w:val="32"/>
          <w:szCs w:val="32"/>
          <w:lang w:eastAsia="zh-CN"/>
        </w:rPr>
        <w:t>主要结转一</w:t>
      </w:r>
      <w:r>
        <w:rPr>
          <w:rFonts w:hint="eastAsia" w:ascii="仿宋" w:hAnsi="仿宋" w:eastAsia="仿宋" w:cs="仿宋"/>
          <w:kern w:val="0"/>
          <w:sz w:val="32"/>
          <w:szCs w:val="32"/>
        </w:rPr>
        <w:t>是</w:t>
      </w:r>
      <w:r>
        <w:rPr>
          <w:rFonts w:hint="eastAsia" w:ascii="仿宋" w:hAnsi="仿宋" w:eastAsia="仿宋" w:cs="仿宋"/>
          <w:kern w:val="0"/>
          <w:sz w:val="32"/>
          <w:szCs w:val="32"/>
          <w:lang w:eastAsia="zh-CN"/>
        </w:rPr>
        <w:t>历年基本资金结转</w:t>
      </w:r>
      <w:r>
        <w:rPr>
          <w:rFonts w:hint="eastAsia" w:ascii="仿宋" w:hAnsi="仿宋" w:eastAsia="仿宋" w:cs="仿宋"/>
          <w:kern w:val="0"/>
          <w:sz w:val="32"/>
          <w:szCs w:val="32"/>
          <w:lang w:val="en-US" w:eastAsia="zh-CN"/>
        </w:rPr>
        <w:t>15.89万，二是2019年机构改革老干局并入增加文体局拨文艺下基层演出经费、2016年家教家风教育活动经费、2017年度利用社会资源做好离退休干部服务工作示范点创建帮扶资金等6个项目结转资金7.45万</w:t>
      </w:r>
      <w:r>
        <w:rPr>
          <w:rFonts w:hint="eastAsia" w:ascii="仿宋" w:hAnsi="仿宋" w:eastAsia="仿宋" w:cs="仿宋"/>
          <w:kern w:val="0"/>
          <w:sz w:val="32"/>
          <w:szCs w:val="32"/>
        </w:rPr>
        <w:t>，较2018年度决算数增加7.45万元，增长46.88%，主要原因是</w:t>
      </w:r>
      <w:r>
        <w:rPr>
          <w:rFonts w:hint="eastAsia" w:ascii="仿宋" w:hAnsi="仿宋" w:eastAsia="仿宋" w:cs="仿宋"/>
          <w:kern w:val="0"/>
          <w:sz w:val="32"/>
          <w:szCs w:val="32"/>
          <w:lang w:val="en-US" w:eastAsia="zh-CN"/>
        </w:rPr>
        <w:t>2019年机构改革老干局并入增加文体局拨文艺下基层演出经费、2016年家教家风教育活动经费、2017年度利用社会资源做好离退休干部服务工作示范点创建帮扶资金等6个项目结转资金7.45万</w:t>
      </w:r>
      <w:r>
        <w:rPr>
          <w:rFonts w:hint="eastAsia" w:ascii="仿宋" w:hAnsi="仿宋" w:eastAsia="仿宋" w:cs="仿宋"/>
          <w:kern w:val="0"/>
          <w:sz w:val="32"/>
          <w:szCs w:val="32"/>
        </w:rPr>
        <w:t>。结余分配0万元，年末结转结余25.73万元，主要</w:t>
      </w:r>
      <w:r>
        <w:rPr>
          <w:rFonts w:hint="eastAsia" w:ascii="仿宋" w:hAnsi="仿宋" w:eastAsia="仿宋" w:cs="仿宋"/>
          <w:kern w:val="0"/>
          <w:sz w:val="32"/>
          <w:szCs w:val="32"/>
          <w:lang w:eastAsia="zh-CN"/>
        </w:rPr>
        <w:t>结转一是历年基本资金结转</w:t>
      </w:r>
      <w:r>
        <w:rPr>
          <w:rFonts w:hint="eastAsia" w:ascii="仿宋" w:hAnsi="仿宋" w:eastAsia="仿宋" w:cs="仿宋"/>
          <w:kern w:val="0"/>
          <w:sz w:val="32"/>
          <w:szCs w:val="32"/>
          <w:lang w:val="en-US" w:eastAsia="zh-CN"/>
        </w:rPr>
        <w:t>15.89万，二是2019年机构改革老干局并入增加文体局拨文艺下基层演出经费、2016年家教家风教育活动经费、  2017年度利用社会资源做好离退休干部服务工作示范点创建帮扶资金等6个项目结转资金7.45万，三是新增五好离退休党支部帮扶资金2.39万</w:t>
      </w:r>
      <w:r>
        <w:rPr>
          <w:rFonts w:hint="eastAsia" w:ascii="仿宋" w:hAnsi="仿宋" w:eastAsia="仿宋" w:cs="仿宋"/>
          <w:kern w:val="0"/>
          <w:sz w:val="32"/>
          <w:szCs w:val="32"/>
        </w:rPr>
        <w:t>，较2018年度决算数增加9.66万元，增长60.11%，主要原因是</w:t>
      </w:r>
      <w:r>
        <w:rPr>
          <w:rFonts w:hint="eastAsia" w:ascii="仿宋" w:hAnsi="仿宋" w:eastAsia="仿宋" w:cs="仿宋"/>
          <w:kern w:val="0"/>
          <w:sz w:val="32"/>
          <w:szCs w:val="32"/>
          <w:lang w:val="en-US" w:eastAsia="zh-CN"/>
        </w:rPr>
        <w:t>2019年机构改革老干局并入增加2017年度利用社会资源做好离退休干部服务工作示范点创建帮扶资金等6个项目结转资金7.45万，三是新增五好离退休党支部帮扶资金2.39万结转。</w:t>
      </w:r>
    </w:p>
    <w:p w14:paraId="0899352B">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lang w:val="en-US" w:eastAsia="zh-CN"/>
        </w:rPr>
      </w:pPr>
      <w:r>
        <w:rPr>
          <w:rFonts w:hint="eastAsia" w:ascii="黑体" w:hAnsi="黑体" w:eastAsia="黑体" w:cs="黑体"/>
          <w:bCs/>
          <w:color w:val="auto"/>
          <w:kern w:val="0"/>
          <w:sz w:val="32"/>
          <w:szCs w:val="32"/>
        </w:rPr>
        <w:t>二、收入决算情况说明</w:t>
      </w:r>
      <w:r>
        <w:rPr>
          <w:rFonts w:hint="eastAsia" w:ascii="宋体" w:hAnsi="宋体" w:eastAsia="宋体" w:cs="宋体"/>
          <w:color w:val="auto"/>
          <w:kern w:val="0"/>
          <w:sz w:val="24"/>
          <w:szCs w:val="24"/>
        </w:rPr>
        <w:br w:type="textWrapping"/>
      </w:r>
      <w:r>
        <w:rPr>
          <w:rFonts w:hint="eastAsia" w:ascii="仿宋_GB2312" w:hAnsi="ˎ̥" w:eastAsia="仿宋_GB2312" w:cs="宋体"/>
          <w:color w:val="auto"/>
          <w:kern w:val="0"/>
          <w:sz w:val="32"/>
          <w:szCs w:val="32"/>
        </w:rPr>
        <w:t xml:space="preserve">   </w:t>
      </w:r>
      <w:r>
        <w:rPr>
          <w:rFonts w:hint="eastAsia" w:ascii="仿宋" w:hAnsi="仿宋" w:eastAsia="仿宋" w:cs="仿宋"/>
          <w:kern w:val="0"/>
          <w:sz w:val="32"/>
          <w:szCs w:val="32"/>
          <w:lang w:val="en-US" w:eastAsia="zh-CN"/>
        </w:rPr>
        <w:t xml:space="preserve"> 本年收入合计1,388.75万元，其中：财政拨款收入1,385.29万元，占99.75%；上级补助收入0.00万元，占0%；事业收入0.00万元，占0%；经营收入0.00万元，占中0%；附属单位上缴收入0.00万元，占0%；其他收入3.46万元，占0.25%。</w:t>
      </w:r>
    </w:p>
    <w:p w14:paraId="7E7763EA">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三、支出决算情况说明</w:t>
      </w:r>
    </w:p>
    <w:p w14:paraId="41F8B464">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本年支出合计1,386.36万元，其中：基本支出543.34万元，占39.19%；项目支出843.01万元，占60.81%；上缴上级支出0.00万元，占0%；经营支出0.00万元，占0%；对附属单位补助支出0.00万元，占0%。</w:t>
      </w:r>
    </w:p>
    <w:p w14:paraId="54D40949">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四、财政拨款收入支出决算总体情况说明</w:t>
      </w:r>
    </w:p>
    <w:p w14:paraId="232FBCC4">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2019年度财政拨款收入、支出总计1,400.81万元。与2018年度相比，财政拨款收入、支出总计减少254.76万元，下降15.39%。主要原因：一</w:t>
      </w:r>
      <w:r>
        <w:rPr>
          <w:rFonts w:hint="eastAsia" w:ascii="仿宋" w:hAnsi="仿宋" w:eastAsia="仿宋" w:cs="仿宋"/>
          <w:kern w:val="0"/>
          <w:sz w:val="32"/>
          <w:szCs w:val="32"/>
          <w:lang w:eastAsia="zh-CN"/>
        </w:rPr>
        <w:t>是屯昌县乡镇干部周转房建设经费</w:t>
      </w:r>
      <w:r>
        <w:rPr>
          <w:rFonts w:hint="eastAsia" w:ascii="仿宋" w:hAnsi="仿宋" w:eastAsia="仿宋" w:cs="仿宋"/>
          <w:kern w:val="0"/>
          <w:sz w:val="32"/>
          <w:szCs w:val="32"/>
          <w:lang w:val="en-US" w:eastAsia="zh-CN"/>
        </w:rPr>
        <w:t>2019年收入65.04万，2018年596.70万，较上年减少531.66万</w:t>
      </w:r>
      <w:r>
        <w:rPr>
          <w:rFonts w:hint="eastAsia" w:ascii="仿宋" w:hAnsi="仿宋" w:eastAsia="仿宋" w:cs="仿宋"/>
          <w:kern w:val="0"/>
          <w:sz w:val="32"/>
          <w:szCs w:val="32"/>
        </w:rPr>
        <w:t>；二是村级活动场所建设经费</w:t>
      </w:r>
      <w:r>
        <w:rPr>
          <w:rFonts w:hint="eastAsia" w:ascii="仿宋" w:hAnsi="仿宋" w:eastAsia="仿宋" w:cs="仿宋"/>
          <w:kern w:val="0"/>
          <w:sz w:val="32"/>
          <w:szCs w:val="32"/>
          <w:lang w:val="en-US" w:eastAsia="zh-CN"/>
        </w:rPr>
        <w:t>2019年收入592.41万，2018年为351.09万，较上年增长241.32万；三是新增屯昌县脱贫致富电视夜校办工作经费收入40万</w:t>
      </w:r>
      <w:r>
        <w:rPr>
          <w:rFonts w:hint="eastAsia" w:ascii="仿宋" w:hAnsi="仿宋" w:eastAsia="仿宋" w:cs="仿宋"/>
          <w:kern w:val="0"/>
          <w:sz w:val="32"/>
          <w:szCs w:val="32"/>
        </w:rPr>
        <w:t>。</w:t>
      </w:r>
    </w:p>
    <w:p w14:paraId="231FB118">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财政拨款年初结转结余15.52万元，主要是</w:t>
      </w:r>
      <w:r>
        <w:rPr>
          <w:rFonts w:hint="eastAsia" w:ascii="仿宋" w:hAnsi="仿宋" w:eastAsia="仿宋" w:cs="仿宋"/>
          <w:kern w:val="0"/>
          <w:sz w:val="32"/>
          <w:szCs w:val="32"/>
          <w:lang w:eastAsia="zh-CN"/>
        </w:rPr>
        <w:t>历年基本资金结转</w:t>
      </w:r>
      <w:r>
        <w:rPr>
          <w:rFonts w:hint="eastAsia" w:ascii="仿宋" w:hAnsi="仿宋" w:eastAsia="仿宋" w:cs="仿宋"/>
          <w:kern w:val="0"/>
          <w:sz w:val="32"/>
          <w:szCs w:val="32"/>
          <w:lang w:val="en-US" w:eastAsia="zh-CN"/>
        </w:rPr>
        <w:t>15.52万</w:t>
      </w:r>
      <w:r>
        <w:rPr>
          <w:rFonts w:hint="eastAsia" w:ascii="仿宋" w:hAnsi="仿宋" w:eastAsia="仿宋" w:cs="仿宋"/>
          <w:kern w:val="0"/>
          <w:sz w:val="32"/>
          <w:szCs w:val="32"/>
        </w:rPr>
        <w:t>，较2018年度决算数增加0.48万元，增长3.19%，主要原因</w:t>
      </w:r>
      <w:r>
        <w:rPr>
          <w:rFonts w:hint="eastAsia" w:ascii="仿宋" w:hAnsi="仿宋" w:eastAsia="仿宋" w:cs="仿宋"/>
          <w:kern w:val="0"/>
          <w:sz w:val="32"/>
          <w:szCs w:val="32"/>
          <w:lang w:eastAsia="zh-CN"/>
        </w:rPr>
        <w:t>是新增基本资金结转</w:t>
      </w:r>
      <w:r>
        <w:rPr>
          <w:rFonts w:hint="eastAsia" w:ascii="仿宋" w:hAnsi="仿宋" w:eastAsia="仿宋" w:cs="仿宋"/>
          <w:kern w:val="0"/>
          <w:sz w:val="32"/>
          <w:szCs w:val="32"/>
        </w:rPr>
        <w:t>。</w:t>
      </w:r>
    </w:p>
    <w:p w14:paraId="6DB8F997">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财政拨款年末结转结余15.52万元，</w:t>
      </w:r>
      <w:r>
        <w:rPr>
          <w:rFonts w:hint="eastAsia" w:ascii="仿宋" w:hAnsi="仿宋" w:eastAsia="仿宋" w:cs="仿宋"/>
          <w:kern w:val="0"/>
          <w:sz w:val="32"/>
          <w:szCs w:val="32"/>
          <w:lang w:eastAsia="zh-CN"/>
        </w:rPr>
        <w:t>历年基本资金结转</w:t>
      </w:r>
      <w:r>
        <w:rPr>
          <w:rFonts w:hint="eastAsia" w:ascii="仿宋" w:hAnsi="仿宋" w:eastAsia="仿宋" w:cs="仿宋"/>
          <w:kern w:val="0"/>
          <w:sz w:val="32"/>
          <w:szCs w:val="32"/>
          <w:lang w:val="en-US" w:eastAsia="zh-CN"/>
        </w:rPr>
        <w:t>15.52万</w:t>
      </w:r>
      <w:r>
        <w:rPr>
          <w:rFonts w:hint="eastAsia" w:ascii="仿宋" w:hAnsi="仿宋" w:eastAsia="仿宋" w:cs="仿宋"/>
          <w:kern w:val="0"/>
          <w:sz w:val="32"/>
          <w:szCs w:val="32"/>
        </w:rPr>
        <w:t>，较2018年度年末决算数增加0.51万元，增长3.40%，主要原因</w:t>
      </w:r>
      <w:r>
        <w:rPr>
          <w:rFonts w:hint="eastAsia" w:ascii="仿宋" w:hAnsi="仿宋" w:eastAsia="仿宋" w:cs="仿宋"/>
          <w:kern w:val="0"/>
          <w:sz w:val="32"/>
          <w:szCs w:val="32"/>
          <w:lang w:eastAsia="zh-CN"/>
        </w:rPr>
        <w:t>是新增基本资金结转</w:t>
      </w:r>
      <w:r>
        <w:rPr>
          <w:rFonts w:hint="eastAsia" w:ascii="仿宋" w:hAnsi="仿宋" w:eastAsia="仿宋" w:cs="仿宋"/>
          <w:kern w:val="0"/>
          <w:sz w:val="32"/>
          <w:szCs w:val="32"/>
        </w:rPr>
        <w:t>。</w:t>
      </w:r>
    </w:p>
    <w:p w14:paraId="6D85BBEA">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五、一般公共预算财政拨款支出决算情况说明</w:t>
      </w:r>
    </w:p>
    <w:p w14:paraId="627CB319">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ind w:firstLine="640" w:firstLineChars="200"/>
        <w:jc w:val="left"/>
        <w:textAlignment w:val="auto"/>
        <w:rPr>
          <w:rFonts w:hint="eastAsia" w:ascii="楷体" w:hAnsi="楷体" w:eastAsia="楷体" w:cs="楷体"/>
          <w:kern w:val="0"/>
          <w:sz w:val="32"/>
          <w:szCs w:val="32"/>
        </w:rPr>
      </w:pPr>
      <w:bookmarkStart w:id="79" w:name="_Toc17398_WPSOffice_Level2"/>
      <w:bookmarkStart w:id="80" w:name="_Toc13694_WPSOffice_Level2"/>
      <w:bookmarkStart w:id="81" w:name="_Toc19665_WPSOffice_Level2"/>
      <w:bookmarkStart w:id="82" w:name="_Toc23005_WPSOffice_Level2"/>
      <w:bookmarkStart w:id="83" w:name="_Toc21737_WPSOffice_Level2"/>
      <w:bookmarkStart w:id="84" w:name="_Toc9989_WPSOffice_Level2"/>
      <w:r>
        <w:rPr>
          <w:rFonts w:hint="eastAsia" w:ascii="楷体" w:hAnsi="楷体" w:eastAsia="楷体" w:cs="楷体"/>
          <w:kern w:val="0"/>
          <w:sz w:val="32"/>
          <w:szCs w:val="32"/>
        </w:rPr>
        <w:t>（一）一般公共预算财政拨款支出决算总体情况</w:t>
      </w:r>
      <w:bookmarkEnd w:id="79"/>
      <w:bookmarkEnd w:id="80"/>
      <w:r>
        <w:rPr>
          <w:rFonts w:hint="eastAsia" w:ascii="楷体" w:hAnsi="楷体" w:eastAsia="楷体" w:cs="楷体"/>
          <w:kern w:val="0"/>
          <w:sz w:val="32"/>
          <w:szCs w:val="32"/>
        </w:rPr>
        <w:t>。</w:t>
      </w:r>
      <w:bookmarkEnd w:id="81"/>
      <w:bookmarkEnd w:id="82"/>
      <w:bookmarkEnd w:id="83"/>
      <w:bookmarkEnd w:id="84"/>
    </w:p>
    <w:p w14:paraId="49EB49E4">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2019年度一般公共预算财政拨款支出1,385.29万元，占本年支出合计的99.92%。与2018年度相比，财政拨款支出减少255.27 万元，下降 15.56%，主要原因是</w:t>
      </w:r>
      <w:r>
        <w:rPr>
          <w:rFonts w:hint="eastAsia" w:ascii="仿宋" w:hAnsi="仿宋" w:eastAsia="仿宋" w:cs="仿宋"/>
          <w:kern w:val="0"/>
          <w:sz w:val="32"/>
          <w:szCs w:val="32"/>
          <w:lang w:eastAsia="zh-CN"/>
        </w:rPr>
        <w:t>人员调出，工资支出和公用经费支出相应下降</w:t>
      </w:r>
      <w:r>
        <w:rPr>
          <w:rFonts w:hint="eastAsia" w:ascii="仿宋" w:hAnsi="仿宋" w:eastAsia="仿宋" w:cs="仿宋"/>
          <w:kern w:val="0"/>
          <w:sz w:val="32"/>
          <w:szCs w:val="32"/>
        </w:rPr>
        <w:t>。</w:t>
      </w:r>
      <w:bookmarkStart w:id="85" w:name="_Toc2711_WPSOffice_Level2"/>
      <w:bookmarkStart w:id="86" w:name="_Toc18793_WPSOffice_Level2"/>
      <w:bookmarkStart w:id="87" w:name="_Toc19535_WPSOffice_Level2"/>
      <w:bookmarkStart w:id="88" w:name="_Toc27767_WPSOffice_Level2"/>
      <w:bookmarkStart w:id="89" w:name="_Toc19075_WPSOffice_Level2"/>
      <w:bookmarkStart w:id="90" w:name="_Toc23864_WPSOffice_Level2"/>
    </w:p>
    <w:p w14:paraId="3EB73852">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楷体" w:hAnsi="楷体" w:eastAsia="楷体" w:cs="楷体"/>
          <w:kern w:val="0"/>
          <w:sz w:val="32"/>
          <w:szCs w:val="32"/>
        </w:rPr>
      </w:pPr>
      <w:r>
        <w:rPr>
          <w:rFonts w:hint="eastAsia" w:ascii="楷体" w:hAnsi="楷体" w:eastAsia="楷体" w:cs="楷体"/>
          <w:kern w:val="0"/>
          <w:sz w:val="32"/>
          <w:szCs w:val="32"/>
        </w:rPr>
        <w:t>（二）一般公共预算财政拨款支出决算结构情况</w:t>
      </w:r>
      <w:bookmarkEnd w:id="85"/>
      <w:bookmarkEnd w:id="86"/>
      <w:r>
        <w:rPr>
          <w:rFonts w:hint="eastAsia" w:ascii="楷体" w:hAnsi="楷体" w:eastAsia="楷体" w:cs="楷体"/>
          <w:kern w:val="0"/>
          <w:sz w:val="32"/>
          <w:szCs w:val="32"/>
        </w:rPr>
        <w:t>。</w:t>
      </w:r>
      <w:bookmarkEnd w:id="87"/>
      <w:bookmarkEnd w:id="88"/>
      <w:bookmarkEnd w:id="89"/>
      <w:bookmarkEnd w:id="90"/>
    </w:p>
    <w:p w14:paraId="2239B87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2019年度一般公共预算财政拨款支出1,385.29万元，主要用于以下方面：</w:t>
      </w:r>
      <w:r>
        <w:rPr>
          <w:rFonts w:hint="eastAsia" w:ascii="仿宋" w:hAnsi="仿宋" w:eastAsia="仿宋" w:cs="仿宋"/>
          <w:b/>
          <w:bCs/>
          <w:kern w:val="0"/>
          <w:sz w:val="32"/>
          <w:szCs w:val="32"/>
        </w:rPr>
        <w:t>一般公共服务（类）支出</w:t>
      </w:r>
      <w:r>
        <w:rPr>
          <w:rFonts w:hint="eastAsia" w:ascii="仿宋" w:hAnsi="仿宋" w:eastAsia="仿宋" w:cs="仿宋"/>
          <w:kern w:val="0"/>
          <w:sz w:val="32"/>
          <w:szCs w:val="32"/>
        </w:rPr>
        <w:t>1,119.28万元，占81%；</w:t>
      </w:r>
      <w:r>
        <w:rPr>
          <w:rFonts w:hint="eastAsia" w:ascii="仿宋" w:hAnsi="仿宋" w:eastAsia="仿宋" w:cs="仿宋"/>
          <w:b/>
          <w:bCs/>
          <w:kern w:val="0"/>
          <w:sz w:val="32"/>
          <w:szCs w:val="32"/>
        </w:rPr>
        <w:t>文化旅游体育与传媒支出（类）支出</w:t>
      </w:r>
      <w:r>
        <w:rPr>
          <w:rFonts w:hint="eastAsia" w:ascii="仿宋" w:hAnsi="仿宋" w:eastAsia="仿宋" w:cs="仿宋"/>
          <w:kern w:val="0"/>
          <w:sz w:val="32"/>
          <w:szCs w:val="32"/>
        </w:rPr>
        <w:t>107.35万元，占8%；</w:t>
      </w:r>
      <w:r>
        <w:rPr>
          <w:rFonts w:hint="eastAsia" w:ascii="仿宋" w:hAnsi="仿宋" w:eastAsia="仿宋" w:cs="仿宋"/>
          <w:b/>
          <w:bCs/>
          <w:kern w:val="0"/>
          <w:sz w:val="32"/>
          <w:szCs w:val="32"/>
        </w:rPr>
        <w:t>社会保障和就业支出（类）支出</w:t>
      </w:r>
      <w:r>
        <w:rPr>
          <w:rFonts w:hint="eastAsia" w:ascii="仿宋" w:hAnsi="仿宋" w:eastAsia="仿宋" w:cs="仿宋"/>
          <w:kern w:val="0"/>
          <w:sz w:val="32"/>
          <w:szCs w:val="32"/>
        </w:rPr>
        <w:t>58.51万元，占4%；</w:t>
      </w:r>
      <w:r>
        <w:rPr>
          <w:rFonts w:hint="eastAsia" w:ascii="仿宋" w:hAnsi="仿宋" w:eastAsia="仿宋" w:cs="仿宋"/>
          <w:b/>
          <w:bCs/>
          <w:kern w:val="0"/>
          <w:sz w:val="32"/>
          <w:szCs w:val="32"/>
        </w:rPr>
        <w:t>卫生健康支出（类）支出</w:t>
      </w:r>
      <w:r>
        <w:rPr>
          <w:rFonts w:hint="eastAsia" w:ascii="仿宋" w:hAnsi="仿宋" w:eastAsia="仿宋" w:cs="仿宋"/>
          <w:kern w:val="0"/>
          <w:sz w:val="32"/>
          <w:szCs w:val="32"/>
        </w:rPr>
        <w:t>68.5万元，占5% ；</w:t>
      </w:r>
      <w:r>
        <w:rPr>
          <w:rFonts w:hint="eastAsia" w:ascii="仿宋" w:hAnsi="仿宋" w:eastAsia="仿宋" w:cs="仿宋"/>
          <w:b/>
          <w:bCs/>
          <w:kern w:val="0"/>
          <w:sz w:val="32"/>
          <w:szCs w:val="32"/>
        </w:rPr>
        <w:t>住房保障（类）支出</w:t>
      </w:r>
      <w:r>
        <w:rPr>
          <w:rFonts w:hint="eastAsia" w:ascii="仿宋" w:hAnsi="仿宋" w:eastAsia="仿宋" w:cs="仿宋"/>
          <w:kern w:val="0"/>
          <w:sz w:val="32"/>
          <w:szCs w:val="32"/>
        </w:rPr>
        <w:t>31.68万元，占</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w:t>
      </w:r>
    </w:p>
    <w:p w14:paraId="0974F184">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ind w:firstLine="640" w:firstLineChars="200"/>
        <w:jc w:val="left"/>
        <w:textAlignment w:val="auto"/>
        <w:rPr>
          <w:rFonts w:hint="eastAsia" w:ascii="楷体" w:hAnsi="楷体" w:eastAsia="楷体" w:cs="楷体"/>
          <w:kern w:val="0"/>
          <w:sz w:val="32"/>
          <w:szCs w:val="32"/>
        </w:rPr>
      </w:pPr>
      <w:bookmarkStart w:id="91" w:name="_Toc29364_WPSOffice_Level2"/>
      <w:bookmarkStart w:id="92" w:name="_Toc9502_WPSOffice_Level2"/>
      <w:bookmarkStart w:id="93" w:name="_Toc25136_WPSOffice_Level2"/>
      <w:bookmarkStart w:id="94" w:name="_Toc22318_WPSOffice_Level2"/>
      <w:bookmarkStart w:id="95" w:name="_Toc21701_WPSOffice_Level2"/>
      <w:bookmarkStart w:id="96" w:name="_Toc15415_WPSOffice_Level2"/>
      <w:r>
        <w:rPr>
          <w:rFonts w:hint="eastAsia" w:ascii="楷体" w:hAnsi="楷体" w:eastAsia="楷体" w:cs="楷体"/>
          <w:kern w:val="0"/>
          <w:sz w:val="32"/>
          <w:szCs w:val="32"/>
        </w:rPr>
        <w:t>（三）一般公共预算财政拨款支出决算具体情况。</w:t>
      </w:r>
      <w:bookmarkEnd w:id="91"/>
      <w:bookmarkEnd w:id="92"/>
      <w:bookmarkEnd w:id="93"/>
      <w:bookmarkEnd w:id="94"/>
      <w:bookmarkEnd w:id="95"/>
      <w:bookmarkEnd w:id="96"/>
    </w:p>
    <w:p w14:paraId="151B452C">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2019年度财政拨款支出年初预算为926.02万元，支出决算为1,385.29万元，完成年初预算的</w:t>
      </w:r>
      <w:r>
        <w:rPr>
          <w:rFonts w:hint="eastAsia" w:ascii="仿宋" w:hAnsi="仿宋" w:eastAsia="仿宋" w:cs="仿宋"/>
          <w:kern w:val="0"/>
          <w:sz w:val="32"/>
          <w:szCs w:val="32"/>
          <w:lang w:val="en-US" w:eastAsia="zh-CN"/>
        </w:rPr>
        <w:t>149.60</w:t>
      </w:r>
      <w:r>
        <w:rPr>
          <w:rFonts w:hint="eastAsia" w:ascii="仿宋" w:hAnsi="仿宋" w:eastAsia="仿宋" w:cs="仿宋"/>
          <w:kern w:val="0"/>
          <w:sz w:val="32"/>
          <w:szCs w:val="32"/>
        </w:rPr>
        <w:t>%。其中：</w:t>
      </w:r>
    </w:p>
    <w:p w14:paraId="351F2626">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ind w:firstLine="640" w:firstLineChars="200"/>
        <w:jc w:val="left"/>
        <w:textAlignment w:val="auto"/>
        <w:rPr>
          <w:rFonts w:hint="eastAsia" w:ascii="仿宋_GB2312" w:hAnsi="ˎ̥" w:eastAsia="仿宋_GB2312" w:cs="宋体"/>
          <w:b/>
          <w:kern w:val="0"/>
          <w:sz w:val="32"/>
          <w:szCs w:val="32"/>
        </w:rPr>
      </w:pPr>
      <w:r>
        <w:rPr>
          <w:rFonts w:hint="eastAsia" w:ascii="仿宋_GB2312" w:hAnsi="ˎ̥" w:eastAsia="仿宋_GB2312" w:cs="宋体"/>
          <w:kern w:val="0"/>
          <w:sz w:val="32"/>
          <w:szCs w:val="32"/>
        </w:rPr>
        <w:t>1.</w:t>
      </w:r>
      <w:r>
        <w:rPr>
          <w:rFonts w:hint="eastAsia" w:ascii="仿宋_GB2312" w:hAnsi="ˎ̥" w:eastAsia="仿宋_GB2312" w:cs="宋体"/>
          <w:b/>
          <w:kern w:val="0"/>
          <w:sz w:val="32"/>
          <w:szCs w:val="32"/>
        </w:rPr>
        <w:t>一般公共服务（类）</w:t>
      </w:r>
    </w:p>
    <w:p w14:paraId="39447CA6">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年初预算为748.99万元，支出决算为1119.26万元，完成年初预算的149.43%。决算数大于预算数的主要原因</w:t>
      </w:r>
      <w:r>
        <w:rPr>
          <w:rFonts w:hint="eastAsia" w:ascii="仿宋" w:hAnsi="仿宋" w:eastAsia="仿宋" w:cs="仿宋"/>
          <w:kern w:val="0"/>
          <w:sz w:val="32"/>
          <w:szCs w:val="32"/>
          <w:lang w:eastAsia="zh-CN"/>
        </w:rPr>
        <w:t>一是</w:t>
      </w:r>
      <w:r>
        <w:rPr>
          <w:rFonts w:hint="eastAsia" w:ascii="仿宋" w:hAnsi="仿宋" w:eastAsia="仿宋" w:cs="仿宋"/>
          <w:kern w:val="0"/>
          <w:sz w:val="32"/>
          <w:szCs w:val="32"/>
          <w:lang w:val="en-US" w:eastAsia="zh-CN"/>
        </w:rPr>
        <w:t>2019年度发放2018年度公务员考核奖励绩效</w:t>
      </w:r>
      <w:r>
        <w:rPr>
          <w:rFonts w:hint="eastAsia" w:ascii="仿宋" w:hAnsi="仿宋" w:eastAsia="仿宋" w:cs="仿宋"/>
          <w:kern w:val="0"/>
          <w:sz w:val="32"/>
          <w:szCs w:val="32"/>
        </w:rPr>
        <w:t>；二是</w:t>
      </w:r>
      <w:r>
        <w:rPr>
          <w:rFonts w:hint="eastAsia" w:ascii="仿宋" w:hAnsi="仿宋" w:eastAsia="仿宋" w:cs="仿宋"/>
          <w:kern w:val="0"/>
          <w:sz w:val="32"/>
          <w:szCs w:val="32"/>
          <w:lang w:eastAsia="zh-CN"/>
        </w:rPr>
        <w:t>追加</w:t>
      </w:r>
      <w:r>
        <w:rPr>
          <w:rFonts w:hint="eastAsia" w:ascii="仿宋" w:hAnsi="仿宋" w:eastAsia="仿宋" w:cs="仿宋"/>
          <w:kern w:val="0"/>
          <w:sz w:val="32"/>
          <w:szCs w:val="32"/>
          <w:lang w:val="en-US" w:eastAsia="zh-CN"/>
        </w:rPr>
        <w:t>屯昌县脱贫致富电视夜校办工作经费等项目支出</w:t>
      </w:r>
      <w:r>
        <w:rPr>
          <w:rFonts w:hint="eastAsia" w:ascii="仿宋" w:hAnsi="仿宋" w:eastAsia="仿宋" w:cs="仿宋"/>
          <w:kern w:val="0"/>
          <w:sz w:val="32"/>
          <w:szCs w:val="32"/>
        </w:rPr>
        <w:t>。</w:t>
      </w:r>
    </w:p>
    <w:p w14:paraId="6C76D03B">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ind w:firstLine="643" w:firstLineChars="200"/>
        <w:jc w:val="left"/>
        <w:textAlignment w:val="auto"/>
        <w:rPr>
          <w:rFonts w:hint="eastAsia" w:ascii="仿宋_GB2312" w:hAnsi="ˎ̥" w:eastAsia="仿宋_GB2312" w:cs="宋体"/>
          <w:b/>
          <w:bCs/>
          <w:kern w:val="0"/>
          <w:sz w:val="32"/>
          <w:szCs w:val="32"/>
        </w:rPr>
      </w:pPr>
      <w:r>
        <w:rPr>
          <w:rFonts w:hint="eastAsia" w:ascii="仿宋_GB2312" w:hAnsi="ˎ̥" w:eastAsia="仿宋_GB2312" w:cs="宋体"/>
          <w:b/>
          <w:bCs/>
          <w:kern w:val="0"/>
          <w:sz w:val="32"/>
          <w:szCs w:val="32"/>
        </w:rPr>
        <w:t>2. 文化旅游体育与传媒支出（类）</w:t>
      </w:r>
    </w:p>
    <w:p w14:paraId="7828B191">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年初预算为42.1万元，支出决算为107.35万元，完成年初预算的254.99%。决算数大于预算数的主要原因</w:t>
      </w:r>
      <w:r>
        <w:rPr>
          <w:rFonts w:hint="eastAsia" w:ascii="仿宋" w:hAnsi="仿宋" w:eastAsia="仿宋" w:cs="仿宋"/>
          <w:kern w:val="0"/>
          <w:sz w:val="32"/>
          <w:szCs w:val="32"/>
          <w:lang w:eastAsia="zh-CN"/>
        </w:rPr>
        <w:t>是</w:t>
      </w:r>
      <w:r>
        <w:rPr>
          <w:rFonts w:hint="eastAsia" w:ascii="仿宋" w:hAnsi="仿宋" w:eastAsia="仿宋" w:cs="仿宋"/>
          <w:kern w:val="0"/>
          <w:sz w:val="32"/>
          <w:szCs w:val="32"/>
          <w:lang w:val="en-US" w:eastAsia="zh-CN"/>
        </w:rPr>
        <w:t>2019年度</w:t>
      </w:r>
      <w:r>
        <w:rPr>
          <w:rFonts w:hint="eastAsia" w:ascii="仿宋" w:hAnsi="仿宋" w:eastAsia="仿宋" w:cs="仿宋"/>
          <w:kern w:val="0"/>
          <w:sz w:val="32"/>
          <w:szCs w:val="32"/>
          <w:lang w:eastAsia="zh-CN"/>
        </w:rPr>
        <w:t>追加</w:t>
      </w:r>
      <w:r>
        <w:rPr>
          <w:rFonts w:hint="eastAsia" w:ascii="仿宋" w:hAnsi="仿宋" w:eastAsia="仿宋" w:cs="仿宋"/>
          <w:kern w:val="0"/>
          <w:sz w:val="32"/>
          <w:szCs w:val="32"/>
        </w:rPr>
        <w:t>公共文化服务体系建设专项资金预算</w:t>
      </w:r>
      <w:r>
        <w:rPr>
          <w:rFonts w:hint="eastAsia" w:ascii="仿宋" w:hAnsi="仿宋" w:eastAsia="仿宋" w:cs="仿宋"/>
          <w:kern w:val="0"/>
          <w:sz w:val="32"/>
          <w:szCs w:val="32"/>
          <w:lang w:eastAsia="zh-CN"/>
        </w:rPr>
        <w:t>支出</w:t>
      </w:r>
      <w:r>
        <w:rPr>
          <w:rFonts w:hint="eastAsia" w:ascii="仿宋" w:hAnsi="仿宋" w:eastAsia="仿宋" w:cs="仿宋"/>
          <w:kern w:val="0"/>
          <w:sz w:val="32"/>
          <w:szCs w:val="32"/>
        </w:rPr>
        <w:t>。</w:t>
      </w:r>
    </w:p>
    <w:p w14:paraId="12592F30">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bCs/>
          <w:kern w:val="0"/>
          <w:sz w:val="32"/>
          <w:szCs w:val="32"/>
        </w:rPr>
      </w:pPr>
      <w:r>
        <w:rPr>
          <w:rFonts w:hint="eastAsia" w:ascii="仿宋" w:hAnsi="仿宋" w:eastAsia="仿宋" w:cs="仿宋"/>
          <w:b/>
          <w:bCs/>
          <w:kern w:val="0"/>
          <w:sz w:val="32"/>
          <w:szCs w:val="32"/>
        </w:rPr>
        <w:t>3. 社会保障和就业支出（类）</w:t>
      </w:r>
    </w:p>
    <w:p w14:paraId="43D64A71">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lang w:eastAsia="zh-CN"/>
        </w:rPr>
      </w:pPr>
      <w:r>
        <w:rPr>
          <w:rFonts w:hint="eastAsia" w:ascii="仿宋" w:hAnsi="仿宋" w:eastAsia="仿宋" w:cs="仿宋"/>
          <w:kern w:val="0"/>
          <w:sz w:val="32"/>
          <w:szCs w:val="32"/>
        </w:rPr>
        <w:t>年初预算为54.55万元，支出决算为58.51万元，完成年初预算的107.26%。决算数大于预算数的主要原因是追加预算</w:t>
      </w:r>
      <w:r>
        <w:rPr>
          <w:rFonts w:hint="eastAsia" w:ascii="仿宋" w:hAnsi="仿宋" w:eastAsia="仿宋" w:cs="仿宋"/>
          <w:kern w:val="0"/>
          <w:sz w:val="32"/>
          <w:szCs w:val="32"/>
          <w:lang w:eastAsia="zh-CN"/>
        </w:rPr>
        <w:t>。</w:t>
      </w:r>
    </w:p>
    <w:p w14:paraId="54F7107E">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bCs/>
          <w:kern w:val="0"/>
          <w:sz w:val="32"/>
          <w:szCs w:val="32"/>
        </w:rPr>
      </w:pPr>
      <w:r>
        <w:rPr>
          <w:rFonts w:hint="eastAsia" w:ascii="仿宋" w:hAnsi="仿宋" w:eastAsia="仿宋" w:cs="仿宋"/>
          <w:b/>
          <w:bCs/>
          <w:kern w:val="0"/>
          <w:sz w:val="32"/>
          <w:szCs w:val="32"/>
        </w:rPr>
        <w:t>4. 卫生健康支出（类）</w:t>
      </w:r>
    </w:p>
    <w:p w14:paraId="683B75E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年初预算为46.75万元，支出决算为68.49万元，完成年初预算的146.50%。决算数大于预算数的主要原因：</w:t>
      </w:r>
      <w:r>
        <w:rPr>
          <w:rFonts w:hint="eastAsia" w:ascii="仿宋" w:hAnsi="仿宋" w:eastAsia="仿宋" w:cs="仿宋"/>
          <w:kern w:val="0"/>
          <w:sz w:val="32"/>
          <w:szCs w:val="32"/>
          <w:lang w:val="en-US" w:eastAsia="zh-CN"/>
        </w:rPr>
        <w:t>2019年度发放离休人员年终一次性生活补贴</w:t>
      </w:r>
      <w:r>
        <w:rPr>
          <w:rFonts w:hint="eastAsia" w:ascii="仿宋" w:hAnsi="仿宋" w:eastAsia="仿宋" w:cs="仿宋"/>
          <w:kern w:val="0"/>
          <w:sz w:val="32"/>
          <w:szCs w:val="32"/>
        </w:rPr>
        <w:t>。</w:t>
      </w:r>
    </w:p>
    <w:p w14:paraId="15C63264">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bCs/>
          <w:kern w:val="0"/>
          <w:sz w:val="32"/>
          <w:szCs w:val="32"/>
        </w:rPr>
      </w:pPr>
      <w:r>
        <w:rPr>
          <w:rFonts w:hint="eastAsia" w:ascii="仿宋" w:hAnsi="仿宋" w:eastAsia="仿宋" w:cs="仿宋"/>
          <w:b/>
          <w:bCs/>
          <w:kern w:val="0"/>
          <w:sz w:val="32"/>
          <w:szCs w:val="32"/>
        </w:rPr>
        <w:t>5. 卫生健康支出（类）</w:t>
      </w:r>
    </w:p>
    <w:p w14:paraId="610672EF">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年初预算为33.63万元，支出决算为31.68万元，完成年初预算的94.20%。决算数小于预算数的主要原因：</w:t>
      </w:r>
      <w:r>
        <w:rPr>
          <w:rFonts w:hint="eastAsia" w:ascii="仿宋" w:hAnsi="仿宋" w:eastAsia="仿宋" w:cs="仿宋"/>
          <w:kern w:val="0"/>
          <w:sz w:val="32"/>
          <w:szCs w:val="32"/>
          <w:lang w:eastAsia="zh-CN"/>
        </w:rPr>
        <w:t>人员调出公务员医疗补助和医疗费相应下降。</w:t>
      </w:r>
    </w:p>
    <w:p w14:paraId="13D5D2B3">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六、一般公共预算财政拨款基本支出决算情况说明。</w:t>
      </w:r>
    </w:p>
    <w:p w14:paraId="3692AD67">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2019年度财政拨款基本支出 543万元，其中：人员经费478.75万元，主要包括：基本工资102.98万元、津贴补贴149.56万元、奖金65.59万元、社会保障缴费</w:t>
      </w:r>
      <w:r>
        <w:rPr>
          <w:rFonts w:hint="eastAsia" w:ascii="仿宋" w:hAnsi="仿宋" w:eastAsia="仿宋" w:cs="仿宋"/>
          <w:kern w:val="0"/>
          <w:sz w:val="32"/>
          <w:szCs w:val="32"/>
          <w:lang w:val="en-US" w:eastAsia="zh-CN"/>
        </w:rPr>
        <w:t>104.93万元</w:t>
      </w:r>
      <w:r>
        <w:rPr>
          <w:rFonts w:hint="eastAsia" w:ascii="仿宋" w:hAnsi="仿宋" w:eastAsia="仿宋" w:cs="仿宋"/>
          <w:kern w:val="0"/>
          <w:sz w:val="32"/>
          <w:szCs w:val="32"/>
        </w:rPr>
        <w:t>、伙食补助费0.00万元、绩效工资4.52万元、其他工资福利支出0万元等、离休费13.99万元、退休费0.00万元、退职（役）费0.00万元、抚恤金0.00万元、生活补助0.00万元、救济费0.00万元、医疗费5.5万元、助学金0.00万元、奖励金0.00万元、生产补贴0.00万元、住房公积金31.68万元、提租补贴0.00万元、购房补贴0.00万元、其他对个人和家庭的补助支出0.00万元等。公用经费64.25万元，主要包括：办公费10.26万元、印刷费2.18万元、咨询费0.00万元、手续费0.00万元、水费0.00万元、电费0.00万元、邮电费4.88万元、取暖费0.00、物业管理费0.00、差旅费11.85、因公出国（境）费用0.00万元、维修（护）费0.25万元、租赁费0.00万元、会议费0.00万元、培训费0.03万元、公务接待费0.34万元、专用材料费0.00万元、被装购置费0.00万元、专用燃料费0.00万元、劳务费0.60万元、委托业务费0.13万元、工会经费1.19万元、福利费0.00万元、公务用车运行维护费2.46万元、其他交通费用20.22万元、税金及附加费用0.00万元、其他商品和服务支出6.47万元</w:t>
      </w:r>
      <w:r>
        <w:rPr>
          <w:rFonts w:hint="eastAsia" w:ascii="仿宋" w:hAnsi="仿宋" w:eastAsia="仿宋" w:cs="仿宋"/>
          <w:kern w:val="0"/>
          <w:sz w:val="32"/>
          <w:szCs w:val="32"/>
          <w:lang w:eastAsia="zh-CN"/>
        </w:rPr>
        <w:t>，办公设备购置</w:t>
      </w:r>
      <w:r>
        <w:rPr>
          <w:rFonts w:hint="eastAsia" w:ascii="仿宋" w:hAnsi="仿宋" w:eastAsia="仿宋" w:cs="仿宋"/>
          <w:kern w:val="0"/>
          <w:sz w:val="32"/>
          <w:szCs w:val="32"/>
          <w:lang w:val="en-US" w:eastAsia="zh-CN"/>
        </w:rPr>
        <w:t>3.39万元</w:t>
      </w:r>
      <w:r>
        <w:rPr>
          <w:rFonts w:hint="eastAsia" w:ascii="仿宋" w:hAnsi="仿宋" w:eastAsia="仿宋" w:cs="仿宋"/>
          <w:kern w:val="0"/>
          <w:sz w:val="32"/>
          <w:szCs w:val="32"/>
        </w:rPr>
        <w:t>。</w:t>
      </w:r>
    </w:p>
    <w:p w14:paraId="3A4C5AD5">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七、政府性基金预算财政拨款收入支出决算情况说明</w:t>
      </w:r>
    </w:p>
    <w:p w14:paraId="7D0CFF7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（一）2019年度政府性基金预算财政拨款收入0.00万元，本单位无政府性资金收入。（二）2019年度政府性基金预算财政拨款支出0.00万元，本年度无政府性资金支出。</w:t>
      </w:r>
    </w:p>
    <w:p w14:paraId="019CB33E">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 xml:space="preserve">（三）2019年度政府性基金预算财政拨款支出年初预算为0万元，支出决算为0.00万元，本单位无政府性资金预算。 </w:t>
      </w:r>
    </w:p>
    <w:p w14:paraId="54DBA212">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lang w:eastAsia="zh-CN"/>
        </w:rPr>
        <w:t>八、</w:t>
      </w:r>
      <w:r>
        <w:rPr>
          <w:rFonts w:hint="eastAsia" w:ascii="黑体" w:hAnsi="黑体" w:eastAsia="黑体" w:cs="黑体"/>
          <w:bCs/>
          <w:kern w:val="0"/>
          <w:sz w:val="32"/>
          <w:szCs w:val="32"/>
        </w:rPr>
        <w:t>一般公共预算财政拨款“三公”经费支出决算情况说明</w:t>
      </w:r>
    </w:p>
    <w:p w14:paraId="6C86698E">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(一)一般公共预算财政拨款“三公”经费支出决算总体情况说明。</w:t>
      </w:r>
    </w:p>
    <w:p w14:paraId="6A167C47">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 xml:space="preserve"> 2019年度一般公共预算财政拨款“三公”经费支出预算为2</w:t>
      </w:r>
      <w:r>
        <w:rPr>
          <w:rFonts w:hint="eastAsia" w:ascii="仿宋" w:hAnsi="仿宋" w:eastAsia="仿宋" w:cs="仿宋"/>
          <w:kern w:val="0"/>
          <w:sz w:val="32"/>
          <w:szCs w:val="32"/>
          <w:lang w:val="en-US" w:eastAsia="zh-CN"/>
        </w:rPr>
        <w:t xml:space="preserve"> </w:t>
      </w:r>
      <w:r>
        <w:rPr>
          <w:rFonts w:hint="eastAsia" w:ascii="仿宋" w:hAnsi="仿宋" w:eastAsia="仿宋" w:cs="仿宋"/>
          <w:kern w:val="0"/>
          <w:sz w:val="32"/>
          <w:szCs w:val="32"/>
        </w:rPr>
        <w:t>1万元，支出决算为4.55万元，完成预算的21.67%。</w:t>
      </w:r>
    </w:p>
    <w:p w14:paraId="08D50408">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（二）一般公共预算“三公”经费财政拨款支出决算具体情况说明。</w:t>
      </w:r>
    </w:p>
    <w:p w14:paraId="6D0E7955">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2019年度一般公共预算财政拨款“三公”经费支出决算中，因公出国（境）费支出决算0.00万元，占0%；公务用车购置及运行费支出决算2.82万元，占61.98%；公务接待费支出决算1.72万元，占37.80%。具体情况如下：</w:t>
      </w:r>
    </w:p>
    <w:p w14:paraId="1DF1EFBB">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kern w:val="0"/>
          <w:sz w:val="32"/>
          <w:szCs w:val="32"/>
        </w:rPr>
      </w:pPr>
      <w:r>
        <w:rPr>
          <w:rFonts w:hint="eastAsia" w:ascii="仿宋" w:hAnsi="仿宋" w:eastAsia="仿宋" w:cs="仿宋"/>
          <w:b/>
          <w:bCs/>
          <w:kern w:val="0"/>
          <w:sz w:val="32"/>
          <w:szCs w:val="32"/>
        </w:rPr>
        <w:t>1.因公出国（境）费支出</w:t>
      </w:r>
      <w:r>
        <w:rPr>
          <w:rFonts w:hint="eastAsia" w:ascii="仿宋" w:hAnsi="仿宋" w:eastAsia="仿宋" w:cs="仿宋"/>
          <w:kern w:val="0"/>
          <w:sz w:val="32"/>
          <w:szCs w:val="32"/>
        </w:rPr>
        <w:t>0.00万元。全年安排因公出国（境）团组中共屯昌县委组织部0个，因公出国（境）0人次。开支内容包括：本年度没有因公出国（境）事项发生。</w:t>
      </w:r>
    </w:p>
    <w:p w14:paraId="485AE7E6">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bCs/>
          <w:kern w:val="0"/>
          <w:sz w:val="32"/>
          <w:szCs w:val="32"/>
        </w:rPr>
        <w:t>因公出国（境）费支出</w:t>
      </w:r>
      <w:r>
        <w:rPr>
          <w:rFonts w:hint="eastAsia" w:ascii="仿宋" w:hAnsi="仿宋" w:eastAsia="仿宋" w:cs="仿宋"/>
          <w:b w:val="0"/>
          <w:bCs w:val="0"/>
          <w:kern w:val="0"/>
          <w:sz w:val="32"/>
          <w:szCs w:val="32"/>
        </w:rPr>
        <w:t>决算比预算数增加0万元，增长0%。当年度没有因公出国（境）费预算，也没有因公出国（境）事项发生。</w:t>
      </w:r>
    </w:p>
    <w:p w14:paraId="5CF694B4">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bCs/>
          <w:kern w:val="0"/>
          <w:sz w:val="32"/>
          <w:szCs w:val="32"/>
        </w:rPr>
        <w:t>2.公务用车购置及运行费支出</w:t>
      </w:r>
      <w:r>
        <w:rPr>
          <w:rFonts w:hint="eastAsia" w:ascii="仿宋" w:hAnsi="仿宋" w:eastAsia="仿宋" w:cs="仿宋"/>
          <w:b w:val="0"/>
          <w:bCs w:val="0"/>
          <w:kern w:val="0"/>
          <w:sz w:val="32"/>
          <w:szCs w:val="32"/>
        </w:rPr>
        <w:t>2.82万元。其中：</w:t>
      </w:r>
    </w:p>
    <w:p w14:paraId="6EEBBBE7">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公务用车购置支出0.00万元，全年购置公务用车中共0辆，年末公务用车保有量2辆。</w:t>
      </w:r>
    </w:p>
    <w:p w14:paraId="671F1936">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bCs/>
          <w:kern w:val="0"/>
          <w:sz w:val="32"/>
          <w:szCs w:val="32"/>
        </w:rPr>
        <w:t>公务用车运行维护费支出</w:t>
      </w:r>
      <w:r>
        <w:rPr>
          <w:rFonts w:hint="eastAsia" w:ascii="仿宋" w:hAnsi="仿宋" w:eastAsia="仿宋" w:cs="仿宋"/>
          <w:b w:val="0"/>
          <w:bCs w:val="0"/>
          <w:kern w:val="0"/>
          <w:sz w:val="32"/>
          <w:szCs w:val="32"/>
        </w:rPr>
        <w:t>2.82万元，主要用于扶贫工作事项加油、公车保险、维修支出。</w:t>
      </w:r>
    </w:p>
    <w:p w14:paraId="18DA7BA2">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公务用车购置及运行费支出决算比预算数减少12.18万元，下降81.2%。扶贫工作用油支出减少，扶贫主要是差旅支出。</w:t>
      </w:r>
    </w:p>
    <w:p w14:paraId="1BB8EF06">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bCs/>
          <w:kern w:val="0"/>
          <w:sz w:val="32"/>
          <w:szCs w:val="32"/>
          <w:lang w:val="en-US" w:eastAsia="zh-CN"/>
        </w:rPr>
        <w:t>3.</w:t>
      </w:r>
      <w:r>
        <w:rPr>
          <w:rFonts w:hint="eastAsia" w:ascii="仿宋" w:hAnsi="仿宋" w:eastAsia="仿宋" w:cs="仿宋"/>
          <w:b/>
          <w:bCs/>
          <w:kern w:val="0"/>
          <w:sz w:val="32"/>
          <w:szCs w:val="32"/>
        </w:rPr>
        <w:t>公务接待费支出</w:t>
      </w:r>
      <w:r>
        <w:rPr>
          <w:rFonts w:hint="eastAsia" w:ascii="仿宋" w:hAnsi="仿宋" w:eastAsia="仿宋" w:cs="仿宋"/>
          <w:b w:val="0"/>
          <w:bCs w:val="0"/>
          <w:kern w:val="0"/>
          <w:sz w:val="32"/>
          <w:szCs w:val="32"/>
        </w:rPr>
        <w:t>1.72万元，其中：</w:t>
      </w:r>
    </w:p>
    <w:p w14:paraId="4C1D6C5B">
      <w:pPr>
        <w:keepNext w:val="0"/>
        <w:keepLines w:val="0"/>
        <w:pageBreakBefore w:val="0"/>
        <w:widowControl/>
        <w:kinsoku/>
        <w:wordWrap/>
        <w:overflowPunct/>
        <w:topLinePunct w:val="0"/>
        <w:autoSpaceDE/>
        <w:autoSpaceDN/>
        <w:bidi w:val="0"/>
        <w:adjustRightInd/>
        <w:snapToGrid w:val="0"/>
        <w:spacing w:line="590" w:lineRule="exact"/>
        <w:ind w:right="0" w:rightChars="0" w:firstLine="640"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公务接待费支出决算比预算数减4.28万元，下降中71.33%。主要原因是当年度接待事项减少。</w:t>
      </w:r>
      <w:r>
        <w:rPr>
          <w:rFonts w:hint="eastAsia" w:ascii="仿宋" w:hAnsi="仿宋" w:eastAsia="仿宋" w:cs="仿宋"/>
          <w:b/>
          <w:bCs/>
          <w:kern w:val="0"/>
          <w:sz w:val="32"/>
          <w:szCs w:val="32"/>
        </w:rPr>
        <w:t>国内接待费支出</w:t>
      </w:r>
      <w:r>
        <w:rPr>
          <w:rFonts w:hint="eastAsia" w:ascii="仿宋" w:hAnsi="仿宋" w:eastAsia="仿宋" w:cs="仿宋"/>
          <w:b w:val="0"/>
          <w:bCs w:val="0"/>
          <w:kern w:val="0"/>
          <w:sz w:val="32"/>
          <w:szCs w:val="32"/>
        </w:rPr>
        <w:t>1.72万元，国内公务接待16批次，接待182人次；主要用于</w:t>
      </w:r>
      <w:r>
        <w:rPr>
          <w:rFonts w:hint="eastAsia" w:ascii="仿宋" w:hAnsi="仿宋" w:eastAsia="仿宋" w:cs="仿宋"/>
          <w:b w:val="0"/>
          <w:bCs w:val="0"/>
          <w:kern w:val="0"/>
          <w:sz w:val="32"/>
          <w:szCs w:val="32"/>
          <w:lang w:eastAsia="zh-CN"/>
        </w:rPr>
        <w:t>接待省老干部活动中心交流用餐和市县机关工委交流用餐支出</w:t>
      </w:r>
      <w:r>
        <w:rPr>
          <w:rFonts w:hint="eastAsia" w:ascii="仿宋" w:hAnsi="仿宋" w:eastAsia="仿宋" w:cs="仿宋"/>
          <w:b w:val="0"/>
          <w:bCs w:val="0"/>
          <w:kern w:val="0"/>
          <w:sz w:val="32"/>
          <w:szCs w:val="32"/>
        </w:rPr>
        <w:t>。</w:t>
      </w:r>
    </w:p>
    <w:p w14:paraId="169538A6">
      <w:pPr>
        <w:keepNext w:val="0"/>
        <w:keepLines w:val="0"/>
        <w:pageBreakBefore w:val="0"/>
        <w:widowControl/>
        <w:kinsoku/>
        <w:wordWrap/>
        <w:overflowPunct/>
        <w:topLinePunct w:val="0"/>
        <w:autoSpaceDE/>
        <w:autoSpaceDN/>
        <w:bidi w:val="0"/>
        <w:adjustRightInd/>
        <w:snapToGrid w:val="0"/>
        <w:spacing w:line="590" w:lineRule="exact"/>
        <w:ind w:right="0" w:rightChars="0" w:firstLine="643" w:firstLineChars="200"/>
        <w:jc w:val="left"/>
        <w:textAlignment w:val="auto"/>
        <w:outlineLvl w:val="9"/>
        <w:rPr>
          <w:rFonts w:hint="eastAsia" w:ascii="仿宋" w:hAnsi="仿宋" w:eastAsia="仿宋" w:cs="仿宋"/>
          <w:b w:val="0"/>
          <w:bCs w:val="0"/>
          <w:kern w:val="0"/>
          <w:sz w:val="32"/>
          <w:szCs w:val="32"/>
        </w:rPr>
      </w:pPr>
      <w:r>
        <w:rPr>
          <w:rFonts w:hint="eastAsia" w:ascii="仿宋" w:hAnsi="仿宋" w:eastAsia="仿宋" w:cs="仿宋"/>
          <w:b/>
          <w:bCs/>
          <w:kern w:val="0"/>
          <w:sz w:val="32"/>
          <w:szCs w:val="32"/>
        </w:rPr>
        <w:t>国（境）外接待费支出</w:t>
      </w:r>
      <w:r>
        <w:rPr>
          <w:rFonts w:hint="eastAsia" w:ascii="仿宋" w:hAnsi="仿宋" w:eastAsia="仿宋" w:cs="仿宋"/>
          <w:b w:val="0"/>
          <w:bCs w:val="0"/>
          <w:kern w:val="0"/>
          <w:sz w:val="32"/>
          <w:szCs w:val="32"/>
        </w:rPr>
        <w:t>0万元，国（境）外公务接待0批次，接</w:t>
      </w:r>
      <w:r>
        <w:rPr>
          <w:rFonts w:hint="eastAsia" w:ascii="仿宋" w:hAnsi="仿宋" w:eastAsia="仿宋" w:cs="仿宋"/>
          <w:b w:val="0"/>
          <w:bCs w:val="0"/>
          <w:kern w:val="0"/>
          <w:sz w:val="32"/>
          <w:szCs w:val="32"/>
          <w:lang w:eastAsia="zh-CN"/>
        </w:rPr>
        <w:t>待</w:t>
      </w:r>
      <w:r>
        <w:rPr>
          <w:rFonts w:hint="eastAsia" w:ascii="仿宋" w:hAnsi="仿宋" w:eastAsia="仿宋" w:cs="仿宋"/>
          <w:b w:val="0"/>
          <w:bCs w:val="0"/>
          <w:kern w:val="0"/>
          <w:sz w:val="32"/>
          <w:szCs w:val="32"/>
        </w:rPr>
        <w:t xml:space="preserve">0人次； </w:t>
      </w:r>
    </w:p>
    <w:p w14:paraId="178355E1">
      <w:pPr>
        <w:widowControl/>
        <w:shd w:val="clear" w:color="auto" w:fill="FFFFFF"/>
        <w:snapToGrid w:val="0"/>
        <w:spacing w:before="100" w:beforeAutospacing="1" w:after="100" w:afterAutospacing="1"/>
        <w:ind w:firstLine="627" w:firstLineChars="196"/>
        <w:jc w:val="left"/>
        <w:rPr>
          <w:rFonts w:hint="eastAsia" w:ascii="仿宋_GB2312" w:hAnsi="ˎ̥" w:eastAsia="楷体_GB2312" w:cs="宋体"/>
          <w:kern w:val="0"/>
          <w:sz w:val="32"/>
          <w:szCs w:val="32"/>
        </w:rPr>
      </w:pPr>
      <w:r>
        <w:rPr>
          <w:rFonts w:hint="eastAsia" w:ascii="黑体" w:hAnsi="黑体" w:eastAsia="黑体" w:cs="黑体"/>
          <w:bCs/>
          <w:kern w:val="0"/>
          <w:sz w:val="32"/>
          <w:szCs w:val="32"/>
          <w:lang w:eastAsia="zh-CN"/>
        </w:rPr>
        <w:t>九、政府性基金预算财政拨款“三公”经费支出决算情况说明</w:t>
      </w:r>
    </w:p>
    <w:p w14:paraId="0C640828">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2019年度政府性基金预算财政拨款“三公”经费支出合计0.00万元。其中：因公出国（境）费支出决算0.00万元，占0%；公务用车购置及运行费支出决算0.00万元，占0%；公务接待费支出决算0.00万元，占0%。</w:t>
      </w:r>
    </w:p>
    <w:p w14:paraId="25F2D79D">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lang w:eastAsia="zh-CN"/>
        </w:rPr>
      </w:pPr>
      <w:r>
        <w:rPr>
          <w:rFonts w:hint="eastAsia" w:ascii="黑体" w:hAnsi="黑体" w:eastAsia="黑体" w:cs="黑体"/>
          <w:bCs/>
          <w:kern w:val="0"/>
          <w:sz w:val="32"/>
          <w:szCs w:val="32"/>
          <w:lang w:eastAsia="zh-CN"/>
        </w:rPr>
        <w:t>十、预算绩效情况说明。</w:t>
      </w:r>
    </w:p>
    <w:p w14:paraId="582AA992">
      <w:pPr>
        <w:widowControl/>
        <w:shd w:val="clear" w:color="auto" w:fill="FFFFFF"/>
        <w:snapToGrid w:val="0"/>
        <w:spacing w:before="100" w:beforeAutospacing="1" w:after="100" w:afterAutospacing="1" w:line="578" w:lineRule="exact"/>
        <w:ind w:firstLine="643" w:firstLineChars="200"/>
        <w:jc w:val="left"/>
        <w:rPr>
          <w:rFonts w:hint="eastAsia" w:ascii="楷体" w:hAnsi="楷体" w:eastAsia="楷体" w:cs="楷体"/>
          <w:b/>
          <w:kern w:val="0"/>
          <w:sz w:val="32"/>
          <w:szCs w:val="32"/>
        </w:rPr>
      </w:pPr>
      <w:r>
        <w:rPr>
          <w:rFonts w:hint="eastAsia" w:ascii="楷体" w:hAnsi="楷体" w:eastAsia="楷体" w:cs="楷体"/>
          <w:b/>
          <w:kern w:val="0"/>
          <w:sz w:val="32"/>
          <w:szCs w:val="32"/>
        </w:rPr>
        <w:t>（一）绩效管理工作开展情况。</w:t>
      </w:r>
    </w:p>
    <w:p w14:paraId="5B780BBF">
      <w:pPr>
        <w:keepNext w:val="0"/>
        <w:keepLines w:val="0"/>
        <w:pageBreakBefore w:val="0"/>
        <w:kinsoku/>
        <w:wordWrap/>
        <w:overflowPunct/>
        <w:topLinePunct w:val="0"/>
        <w:autoSpaceDE/>
        <w:autoSpaceDN/>
        <w:bidi w:val="0"/>
        <w:adjustRightInd/>
        <w:snapToGrid/>
        <w:spacing w:line="600" w:lineRule="exact"/>
        <w:ind w:left="0" w:leftChars="0" w:right="0" w:rightChars="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为进一步加强部门责任意识，强化财政支出绩效理念，规范财政资金管理，提高资金使用绩效，根据</w:t>
      </w:r>
      <w:r>
        <w:rPr>
          <w:rFonts w:hint="eastAsia" w:ascii="仿宋_GB2312" w:hAnsi="仿宋_GB2312" w:eastAsia="仿宋_GB2312" w:cs="仿宋_GB2312"/>
          <w:sz w:val="32"/>
          <w:szCs w:val="32"/>
          <w:lang w:eastAsia="zh-CN"/>
        </w:rPr>
        <w:t>县财政局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关于开展2019年预算项目绩效自评的通知</w:t>
      </w:r>
      <w:r>
        <w:rPr>
          <w:rFonts w:hint="eastAsia" w:ascii="仿宋_GB2312" w:hAnsi="仿宋_GB2312" w:eastAsia="仿宋_GB2312" w:cs="仿宋_GB2312"/>
          <w:sz w:val="32"/>
          <w:szCs w:val="32"/>
        </w:rPr>
        <w:t>》（屯财监〔20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号）要求，我部专门成立财政资金绩效评价工作小组，理论科安排专人做好“</w:t>
      </w:r>
      <w:r>
        <w:rPr>
          <w:rFonts w:hint="eastAsia" w:ascii="仿宋_GB2312" w:hAnsi="仿宋_GB2312" w:eastAsia="仿宋_GB2312" w:cs="仿宋_GB2312"/>
          <w:sz w:val="32"/>
          <w:szCs w:val="32"/>
          <w:lang w:val="en-US" w:eastAsia="zh-CN"/>
        </w:rPr>
        <w:t>2019年</w:t>
      </w:r>
      <w:r>
        <w:rPr>
          <w:rFonts w:hint="eastAsia" w:ascii="仿宋_GB2312" w:hAnsi="仿宋_GB2312" w:eastAsia="仿宋_GB2312" w:cs="仿宋_GB2312"/>
          <w:sz w:val="32"/>
          <w:szCs w:val="32"/>
        </w:rPr>
        <w:t>《屯昌党建》电视专栏制作项目”绩效评价工作。</w:t>
      </w:r>
    </w:p>
    <w:p w14:paraId="08D5CC4A">
      <w:pPr>
        <w:widowControl/>
        <w:numPr>
          <w:ilvl w:val="0"/>
          <w:numId w:val="3"/>
        </w:numPr>
        <w:shd w:val="clear" w:color="auto" w:fill="FFFFFF"/>
        <w:snapToGrid w:val="0"/>
        <w:spacing w:before="100" w:beforeAutospacing="1" w:after="100" w:afterAutospacing="1" w:line="578" w:lineRule="exact"/>
        <w:ind w:firstLine="643" w:firstLineChars="200"/>
        <w:jc w:val="left"/>
        <w:rPr>
          <w:rFonts w:hint="eastAsia" w:ascii="楷体" w:hAnsi="楷体" w:eastAsia="楷体" w:cs="楷体"/>
          <w:b/>
          <w:kern w:val="0"/>
          <w:sz w:val="32"/>
          <w:szCs w:val="32"/>
        </w:rPr>
      </w:pPr>
      <w:r>
        <w:rPr>
          <w:rFonts w:hint="eastAsia" w:ascii="楷体" w:hAnsi="楷体" w:eastAsia="楷体" w:cs="楷体"/>
          <w:b/>
          <w:kern w:val="0"/>
          <w:sz w:val="32"/>
          <w:szCs w:val="32"/>
        </w:rPr>
        <w:t>部门决算中项目绩效自评结果。</w:t>
      </w:r>
    </w:p>
    <w:p w14:paraId="35A6A982">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楷体" w:hAnsi="楷体" w:eastAsia="楷体" w:cs="楷体"/>
          <w:sz w:val="32"/>
          <w:szCs w:val="32"/>
        </w:rPr>
      </w:pPr>
      <w:r>
        <w:rPr>
          <w:rFonts w:hint="eastAsia" w:ascii="楷体" w:hAnsi="楷体" w:eastAsia="楷体" w:cs="楷体"/>
          <w:sz w:val="32"/>
          <w:szCs w:val="32"/>
        </w:rPr>
        <w:t>（一）项目绩效目标完成情况分析</w:t>
      </w:r>
    </w:p>
    <w:p w14:paraId="6087C0D1">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b w:val="0"/>
          <w:i w:val="0"/>
          <w:caps w:val="0"/>
          <w:color w:val="000000"/>
          <w:spacing w:val="0"/>
          <w:sz w:val="32"/>
          <w:szCs w:val="32"/>
        </w:rPr>
      </w:pPr>
      <w:r>
        <w:rPr>
          <w:rFonts w:hint="eastAsia" w:ascii="仿宋_GB2312" w:hAnsi="仿宋_GB2312" w:eastAsia="仿宋_GB2312" w:cs="仿宋_GB2312"/>
          <w:sz w:val="32"/>
          <w:szCs w:val="32"/>
        </w:rPr>
        <w:t>将项目支出后的实际状况与绩效目标对比，从项目的经济性、效率性、效益性和可持续性等方面进行量化、具体分</w:t>
      </w:r>
      <w:r>
        <w:rPr>
          <w:rFonts w:hint="eastAsia" w:ascii="仿宋_GB2312" w:hAnsi="仿宋_GB2312" w:eastAsia="仿宋_GB2312" w:cs="仿宋_GB2312"/>
          <w:b w:val="0"/>
          <w:i w:val="0"/>
          <w:caps w:val="0"/>
          <w:color w:val="000000"/>
          <w:spacing w:val="0"/>
          <w:sz w:val="32"/>
          <w:szCs w:val="32"/>
          <w:shd w:val="clear" w:color="auto" w:fill="FFFFFF"/>
          <w:vertAlign w:val="baseline"/>
        </w:rPr>
        <w:t>析。我单位的项目绩效目标全部完成，项目等级为优（92分）。具体如下：</w:t>
      </w:r>
    </w:p>
    <w:p w14:paraId="2808E22D">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1.项目的经济性分析</w:t>
      </w:r>
    </w:p>
    <w:p w14:paraId="2BE2C85C">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（1）项目成本（预算）控制情况：项目支出主要</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rPr>
        <w:t>拍摄《屯昌党建》电视专栏，每期节目合约40分钟，摄制费2500元每期，全年12期共3万元，所有资金使用严格按照有关财务制度执行，并经核算站严格审核使用。</w:t>
      </w:r>
    </w:p>
    <w:p w14:paraId="7F05E153">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（2）项目成本（预算）节约情况：项目支出过程中均按照厉行节约原则完成。</w:t>
      </w:r>
    </w:p>
    <w:p w14:paraId="382B6FCF">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2.项目的效率性分析</w:t>
      </w:r>
    </w:p>
    <w:p w14:paraId="68D87953">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（1）项目的实施进度：全部按时完成该项目。</w:t>
      </w:r>
    </w:p>
    <w:p w14:paraId="52BFCBC2">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（2）项目完成质量：在规定的时间内项目全部按时完成。</w:t>
      </w:r>
    </w:p>
    <w:p w14:paraId="5DD30160">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3.项目的效益性分析</w:t>
      </w:r>
    </w:p>
    <w:p w14:paraId="1B696D99">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（1）项目预期目标完成程度：3万元的项目资金已全部支付到位。</w:t>
      </w:r>
    </w:p>
    <w:p w14:paraId="7E0C1060">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（2）项目实施对经济和社会的影响：为县委县政府以及</w:t>
      </w:r>
      <w:r>
        <w:rPr>
          <w:rFonts w:hint="eastAsia" w:ascii="仿宋_GB2312" w:hAnsi="仿宋_GB2312" w:eastAsia="仿宋_GB2312" w:cs="仿宋_GB2312"/>
          <w:sz w:val="32"/>
          <w:szCs w:val="32"/>
          <w:lang w:eastAsia="zh-CN"/>
        </w:rPr>
        <w:t>我部</w:t>
      </w:r>
      <w:r>
        <w:rPr>
          <w:rFonts w:hint="eastAsia" w:ascii="仿宋_GB2312" w:hAnsi="仿宋_GB2312" w:eastAsia="仿宋_GB2312" w:cs="仿宋_GB2312"/>
          <w:sz w:val="32"/>
          <w:szCs w:val="32"/>
        </w:rPr>
        <w:t>提供可靠的决策依据，使</w:t>
      </w:r>
      <w:r>
        <w:rPr>
          <w:rFonts w:hint="eastAsia" w:ascii="仿宋_GB2312" w:hAnsi="仿宋_GB2312" w:eastAsia="仿宋_GB2312" w:cs="仿宋_GB2312"/>
          <w:sz w:val="32"/>
          <w:szCs w:val="32"/>
          <w:lang w:eastAsia="zh-CN"/>
        </w:rPr>
        <w:t>党建电视专栏成为党员干部群众学习理论和专研的课堂</w:t>
      </w:r>
      <w:r>
        <w:rPr>
          <w:rFonts w:hint="eastAsia" w:ascii="仿宋_GB2312" w:hAnsi="仿宋_GB2312" w:eastAsia="仿宋_GB2312" w:cs="仿宋_GB2312"/>
          <w:sz w:val="32"/>
          <w:szCs w:val="32"/>
        </w:rPr>
        <w:t>。</w:t>
      </w:r>
    </w:p>
    <w:p w14:paraId="2E44767D">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4.项目的可持续性分析</w:t>
      </w:r>
    </w:p>
    <w:p w14:paraId="5EF0950F">
      <w:pPr>
        <w:keepNext w:val="0"/>
        <w:keepLines w:val="0"/>
        <w:pageBreakBefore w:val="0"/>
        <w:kinsoku/>
        <w:wordWrap/>
        <w:overflowPunct/>
        <w:topLinePunct w:val="0"/>
        <w:autoSpaceDE/>
        <w:autoSpaceDN/>
        <w:bidi w:val="0"/>
        <w:adjustRightInd/>
        <w:snapToGrid/>
        <w:spacing w:line="600" w:lineRule="exact"/>
        <w:ind w:right="0" w:rightChars="0"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《屯昌党建》电视专栏制作工作是</w:t>
      </w:r>
      <w:r>
        <w:rPr>
          <w:rFonts w:hint="eastAsia" w:ascii="仿宋_GB2312" w:hAnsi="仿宋_GB2312" w:eastAsia="仿宋_GB2312" w:cs="仿宋_GB2312"/>
          <w:sz w:val="32"/>
          <w:szCs w:val="32"/>
          <w:lang w:eastAsia="zh-CN"/>
        </w:rPr>
        <w:t>党建工作</w:t>
      </w:r>
      <w:r>
        <w:rPr>
          <w:rFonts w:hint="eastAsia" w:ascii="仿宋_GB2312" w:hAnsi="仿宋_GB2312" w:eastAsia="仿宋_GB2312" w:cs="仿宋_GB2312"/>
          <w:sz w:val="32"/>
          <w:szCs w:val="32"/>
        </w:rPr>
        <w:t>的重要组成部分，</w:t>
      </w:r>
      <w:r>
        <w:rPr>
          <w:rFonts w:hint="eastAsia" w:ascii="仿宋_GB2312" w:hAnsi="仿宋_GB2312" w:eastAsia="仿宋_GB2312" w:cs="仿宋_GB2312"/>
          <w:i w:val="0"/>
          <w:caps w:val="0"/>
          <w:color w:val="191919"/>
          <w:spacing w:val="0"/>
          <w:sz w:val="32"/>
          <w:szCs w:val="32"/>
          <w:shd w:val="clear" w:color="auto" w:fill="FFFFFF"/>
        </w:rPr>
        <w:t>《</w:t>
      </w:r>
      <w:r>
        <w:rPr>
          <w:rFonts w:hint="eastAsia" w:ascii="仿宋_GB2312" w:hAnsi="仿宋_GB2312" w:eastAsia="仿宋_GB2312" w:cs="仿宋_GB2312"/>
          <w:i w:val="0"/>
          <w:caps w:val="0"/>
          <w:color w:val="191919"/>
          <w:spacing w:val="0"/>
          <w:sz w:val="32"/>
          <w:szCs w:val="32"/>
          <w:shd w:val="clear" w:color="auto" w:fill="FFFFFF"/>
          <w:lang w:eastAsia="zh-CN"/>
        </w:rPr>
        <w:t>屯昌</w:t>
      </w:r>
      <w:r>
        <w:rPr>
          <w:rFonts w:hint="eastAsia" w:ascii="仿宋_GB2312" w:hAnsi="仿宋_GB2312" w:eastAsia="仿宋_GB2312" w:cs="仿宋_GB2312"/>
          <w:i w:val="0"/>
          <w:caps w:val="0"/>
          <w:color w:val="191919"/>
          <w:spacing w:val="0"/>
          <w:sz w:val="32"/>
          <w:szCs w:val="32"/>
          <w:shd w:val="clear" w:color="auto" w:fill="FFFFFF"/>
        </w:rPr>
        <w:t>党建》是为进一步加强我县党建宣传工作、拓展党员教育阵地开办的党建电视栏目，它的产生与发展，实现了党建宣传工作的有效突破，扩大了党员教育的辐射面和影响力，为宣传贯彻党的十九大精神和</w:t>
      </w:r>
      <w:bookmarkStart w:id="121" w:name="_GoBack"/>
      <w:bookmarkEnd w:id="121"/>
      <w:r>
        <w:rPr>
          <w:rFonts w:hint="eastAsia" w:ascii="仿宋_GB2312" w:hAnsi="仿宋_GB2312" w:eastAsia="仿宋_GB2312" w:cs="仿宋_GB2312"/>
          <w:i w:val="0"/>
          <w:caps w:val="0"/>
          <w:color w:val="191919"/>
          <w:spacing w:val="0"/>
          <w:sz w:val="32"/>
          <w:szCs w:val="32"/>
          <w:shd w:val="clear" w:color="auto" w:fill="FFFFFF"/>
        </w:rPr>
        <w:t>习近平新时代</w:t>
      </w:r>
      <w:r>
        <w:rPr>
          <w:rFonts w:hint="eastAsia" w:ascii="仿宋_GB2312" w:hAnsi="仿宋_GB2312" w:eastAsia="仿宋_GB2312" w:cs="仿宋_GB2312"/>
          <w:i w:val="0"/>
          <w:caps w:val="0"/>
          <w:color w:val="191919"/>
          <w:spacing w:val="0"/>
          <w:sz w:val="32"/>
          <w:szCs w:val="32"/>
          <w:shd w:val="clear" w:color="auto" w:fill="FFFFFF"/>
          <w:lang w:val="en-US" w:eastAsia="zh-CN"/>
        </w:rPr>
        <w:t>中国特色</w:t>
      </w:r>
      <w:r>
        <w:rPr>
          <w:rFonts w:hint="eastAsia" w:ascii="仿宋_GB2312" w:hAnsi="仿宋_GB2312" w:eastAsia="仿宋_GB2312" w:cs="仿宋_GB2312"/>
          <w:i w:val="0"/>
          <w:caps w:val="0"/>
          <w:color w:val="191919"/>
          <w:spacing w:val="0"/>
          <w:sz w:val="32"/>
          <w:szCs w:val="32"/>
          <w:shd w:val="clear" w:color="auto" w:fill="FFFFFF"/>
        </w:rPr>
        <w:t>社会主义思想、报道党建信息和工作动态、宣传基层党组织的工作经验和优秀共产党员的先进事迹提供了重要载体，在全县党的建设中发挥了重要作用。</w:t>
      </w:r>
    </w:p>
    <w:p w14:paraId="5AD157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left"/>
        <w:textAlignment w:val="baseline"/>
        <w:outlineLvl w:val="9"/>
        <w:rPr>
          <w:rFonts w:hint="eastAsia" w:ascii="楷体" w:hAnsi="楷体" w:eastAsia="楷体" w:cs="楷体"/>
          <w:sz w:val="32"/>
          <w:szCs w:val="32"/>
        </w:rPr>
      </w:pPr>
      <w:r>
        <w:rPr>
          <w:rFonts w:hint="eastAsia" w:ascii="楷体" w:hAnsi="楷体" w:eastAsia="楷体" w:cs="楷体"/>
          <w:b w:val="0"/>
          <w:i w:val="0"/>
          <w:caps w:val="0"/>
          <w:color w:val="000000"/>
          <w:spacing w:val="0"/>
          <w:sz w:val="32"/>
          <w:szCs w:val="32"/>
          <w:shd w:val="clear" w:color="auto" w:fill="FFFFFF"/>
          <w:vertAlign w:val="baseline"/>
          <w:lang w:val="en-US" w:eastAsia="zh-CN"/>
        </w:rPr>
        <w:t>（二）</w:t>
      </w:r>
      <w:r>
        <w:rPr>
          <w:rFonts w:hint="eastAsia" w:ascii="楷体" w:hAnsi="楷体" w:eastAsia="楷体" w:cs="楷体"/>
          <w:b w:val="0"/>
          <w:i w:val="0"/>
          <w:caps w:val="0"/>
          <w:color w:val="000000"/>
          <w:spacing w:val="0"/>
          <w:sz w:val="32"/>
          <w:szCs w:val="32"/>
          <w:shd w:val="clear" w:color="auto" w:fill="FFFFFF"/>
          <w:vertAlign w:val="baseline"/>
        </w:rPr>
        <w:t>项目绩效目标未完成原因分析</w:t>
      </w:r>
    </w:p>
    <w:p w14:paraId="2C1C68D8">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项目绩效目标全部达成，不存在未完成原因分析。</w:t>
      </w:r>
    </w:p>
    <w:p w14:paraId="76EB7A5E">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综合评价情况及评价结论（见上附相关评分表）</w:t>
      </w:r>
    </w:p>
    <w:p w14:paraId="2B6A14B8">
      <w:pPr>
        <w:keepNext w:val="0"/>
        <w:keepLines w:val="0"/>
        <w:pageBreakBefore w:val="0"/>
        <w:kinsoku/>
        <w:wordWrap/>
        <w:overflowPunct/>
        <w:topLinePunct w:val="0"/>
        <w:autoSpaceDE/>
        <w:autoSpaceDN/>
        <w:bidi w:val="0"/>
        <w:adjustRightInd/>
        <w:snapToGrid/>
        <w:spacing w:line="600" w:lineRule="exact"/>
        <w:ind w:right="0" w:rightChars="0" w:firstLine="640" w:firstLineChars="200"/>
        <w:rPr>
          <w:rFonts w:hint="eastAsia" w:ascii="楷体" w:hAnsi="楷体" w:eastAsia="楷体" w:cs="楷体"/>
          <w:b/>
          <w:kern w:val="0"/>
          <w:sz w:val="32"/>
          <w:szCs w:val="32"/>
        </w:rPr>
      </w:pPr>
      <w:r>
        <w:rPr>
          <w:rFonts w:hint="eastAsia" w:ascii="仿宋_GB2312" w:hAnsi="仿宋_GB2312" w:eastAsia="仿宋_GB2312" w:cs="仿宋_GB2312"/>
          <w:sz w:val="32"/>
          <w:szCs w:val="32"/>
        </w:rPr>
        <w:t>经按“财政支出绩效评价指标体系”进行综合评价，本项目综合得分92分，综合评价等次为“优”。各项评分结果见上附相关评分表。</w:t>
      </w:r>
    </w:p>
    <w:p w14:paraId="0B00BC2E">
      <w:pPr>
        <w:widowControl/>
        <w:shd w:val="clear" w:color="auto" w:fill="FFFFFF"/>
        <w:snapToGrid w:val="0"/>
        <w:spacing w:before="100" w:beforeAutospacing="1" w:after="100" w:afterAutospacing="1" w:line="578" w:lineRule="exact"/>
        <w:ind w:firstLine="643" w:firstLineChars="200"/>
        <w:jc w:val="left"/>
        <w:rPr>
          <w:rFonts w:hint="eastAsia" w:ascii="楷体" w:hAnsi="楷体" w:eastAsia="楷体" w:cs="楷体"/>
          <w:b/>
          <w:kern w:val="0"/>
          <w:sz w:val="32"/>
          <w:szCs w:val="32"/>
        </w:rPr>
      </w:pPr>
      <w:r>
        <w:rPr>
          <w:rFonts w:hint="eastAsia" w:ascii="楷体" w:hAnsi="楷体" w:eastAsia="楷体" w:cs="楷体"/>
          <w:b/>
          <w:kern w:val="0"/>
          <w:sz w:val="32"/>
          <w:szCs w:val="32"/>
        </w:rPr>
        <w:t>（三）重点项目绩效评价情况（如有）。</w:t>
      </w:r>
    </w:p>
    <w:p w14:paraId="11D0B695">
      <w:pPr>
        <w:widowControl/>
        <w:shd w:val="clear" w:color="auto" w:fill="FFFFFF"/>
        <w:snapToGrid w:val="0"/>
        <w:spacing w:before="100" w:beforeAutospacing="1" w:after="100" w:afterAutospacing="1" w:line="578" w:lineRule="exact"/>
        <w:ind w:firstLine="1600" w:firstLineChars="500"/>
        <w:jc w:val="left"/>
        <w:rPr>
          <w:rFonts w:hint="eastAsia" w:ascii="仿宋_GB2312" w:hAnsi="宋体" w:eastAsia="仿宋_GB2312" w:cs="宋体"/>
          <w:kern w:val="0"/>
          <w:sz w:val="32"/>
          <w:szCs w:val="32"/>
          <w:shd w:val="clear" w:color="auto" w:fill="FFFFFF"/>
        </w:rPr>
      </w:pPr>
      <w:r>
        <w:rPr>
          <w:rFonts w:hint="eastAsia" w:ascii="仿宋_GB2312" w:hAnsi="宋体" w:eastAsia="仿宋_GB2312" w:cs="宋体"/>
          <w:kern w:val="0"/>
          <w:sz w:val="32"/>
          <w:szCs w:val="32"/>
          <w:shd w:val="clear" w:color="auto" w:fill="FFFFFF"/>
        </w:rPr>
        <w:t>无</w:t>
      </w:r>
    </w:p>
    <w:p w14:paraId="4A10AF5A">
      <w:pPr>
        <w:widowControl/>
        <w:shd w:val="clear" w:color="auto" w:fill="FFFFFF"/>
        <w:snapToGrid w:val="0"/>
        <w:spacing w:before="100" w:beforeAutospacing="1" w:after="100" w:afterAutospacing="1" w:line="578" w:lineRule="exact"/>
        <w:ind w:firstLine="643" w:firstLineChars="200"/>
        <w:jc w:val="left"/>
        <w:rPr>
          <w:rFonts w:hint="eastAsia" w:ascii="楷体" w:hAnsi="楷体" w:eastAsia="楷体" w:cs="楷体"/>
          <w:b/>
          <w:kern w:val="0"/>
          <w:sz w:val="32"/>
          <w:szCs w:val="32"/>
        </w:rPr>
      </w:pPr>
      <w:r>
        <w:rPr>
          <w:rFonts w:hint="eastAsia" w:ascii="楷体" w:hAnsi="楷体" w:eastAsia="楷体" w:cs="楷体"/>
          <w:b/>
          <w:kern w:val="0"/>
          <w:sz w:val="32"/>
          <w:szCs w:val="32"/>
        </w:rPr>
        <w:t>（四）其他以部门为主体开展的项目绩效评价报告（如有）。</w:t>
      </w:r>
    </w:p>
    <w:p w14:paraId="3E8B1D5B">
      <w:pPr>
        <w:widowControl/>
        <w:shd w:val="clear" w:color="auto" w:fill="FFFFFF"/>
        <w:snapToGrid w:val="0"/>
        <w:spacing w:before="100" w:beforeAutospacing="1" w:after="100" w:afterAutospacing="1" w:line="578" w:lineRule="exact"/>
        <w:ind w:firstLine="1600" w:firstLineChars="500"/>
        <w:jc w:val="left"/>
        <w:rPr>
          <w:rFonts w:hint="eastAsia" w:ascii="楷体" w:hAnsi="楷体" w:eastAsia="楷体" w:cs="楷体"/>
          <w:kern w:val="0"/>
          <w:sz w:val="32"/>
          <w:szCs w:val="32"/>
        </w:rPr>
      </w:pPr>
      <w:r>
        <w:rPr>
          <w:rFonts w:hint="eastAsia" w:ascii="楷体" w:hAnsi="楷体" w:eastAsia="楷体" w:cs="楷体"/>
          <w:kern w:val="0"/>
          <w:sz w:val="32"/>
          <w:szCs w:val="32"/>
        </w:rPr>
        <w:t>无</w:t>
      </w:r>
    </w:p>
    <w:p w14:paraId="6BD103BE">
      <w:pPr>
        <w:widowControl/>
        <w:shd w:val="clear" w:color="auto" w:fill="FFFFFF"/>
        <w:snapToGrid w:val="0"/>
        <w:spacing w:before="100" w:beforeAutospacing="1" w:after="100" w:afterAutospacing="1"/>
        <w:ind w:firstLine="627" w:firstLineChars="196"/>
        <w:jc w:val="left"/>
        <w:rPr>
          <w:rFonts w:hint="eastAsia" w:ascii="黑体" w:hAnsi="黑体" w:eastAsia="黑体" w:cs="黑体"/>
          <w:bCs/>
          <w:kern w:val="0"/>
          <w:sz w:val="32"/>
          <w:szCs w:val="32"/>
          <w:lang w:eastAsia="zh-CN"/>
        </w:rPr>
      </w:pPr>
      <w:r>
        <w:rPr>
          <w:rFonts w:hint="eastAsia" w:ascii="黑体" w:hAnsi="黑体" w:eastAsia="黑体" w:cs="黑体"/>
          <w:bCs/>
          <w:kern w:val="0"/>
          <w:sz w:val="32"/>
          <w:szCs w:val="32"/>
          <w:lang w:eastAsia="zh-CN"/>
        </w:rPr>
        <w:t>十一、其他重要事项情况说明。</w:t>
      </w:r>
    </w:p>
    <w:p w14:paraId="2F88F3FA">
      <w:pPr>
        <w:widowControl/>
        <w:shd w:val="clear" w:color="auto" w:fill="FFFFFF"/>
        <w:snapToGrid w:val="0"/>
        <w:spacing w:before="100" w:beforeAutospacing="1" w:after="100" w:afterAutospacing="1"/>
        <w:ind w:firstLine="643" w:firstLineChars="200"/>
        <w:jc w:val="left"/>
        <w:rPr>
          <w:rFonts w:hint="eastAsia" w:ascii="楷体" w:hAnsi="楷体" w:eastAsia="楷体" w:cs="楷体"/>
          <w:b/>
          <w:kern w:val="0"/>
          <w:sz w:val="32"/>
          <w:szCs w:val="32"/>
        </w:rPr>
      </w:pPr>
      <w:bookmarkStart w:id="97" w:name="_Toc15262_WPSOffice_Level2"/>
      <w:bookmarkStart w:id="98" w:name="_Toc18325_WPSOffice_Level2"/>
      <w:bookmarkStart w:id="99" w:name="_Toc32639_WPSOffice_Level2"/>
      <w:bookmarkStart w:id="100" w:name="_Toc23598_WPSOffice_Level2"/>
      <w:bookmarkStart w:id="101" w:name="_Toc15565_WPSOffice_Level2"/>
      <w:bookmarkStart w:id="102" w:name="_Toc5978_WPSOffice_Level2"/>
      <w:r>
        <w:rPr>
          <w:rFonts w:hint="eastAsia" w:ascii="楷体" w:hAnsi="楷体" w:eastAsia="楷体" w:cs="楷体"/>
          <w:b/>
          <w:kern w:val="0"/>
          <w:sz w:val="32"/>
          <w:szCs w:val="32"/>
        </w:rPr>
        <w:t>（一）机关运行经费支出情况。</w:t>
      </w:r>
      <w:bookmarkEnd w:id="97"/>
      <w:bookmarkEnd w:id="98"/>
      <w:bookmarkEnd w:id="99"/>
      <w:bookmarkEnd w:id="100"/>
      <w:bookmarkEnd w:id="101"/>
      <w:bookmarkEnd w:id="102"/>
    </w:p>
    <w:p w14:paraId="48B334DE">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2019年度中共屯昌县委组织部部门（单位）机关运行经费64.25万元（为部门决算中行政单位和参公事业单位使用一般公共预算财政拨款安排的基本支出中的日常公用经费支出，事业单位没有机关运行经费支出），比年初预算增加12.87万元，增长25.05%。主要原因是</w:t>
      </w:r>
      <w:r>
        <w:rPr>
          <w:rFonts w:hint="eastAsia" w:ascii="仿宋_GB2312" w:hAnsi="ˎ̥" w:eastAsia="仿宋_GB2312" w:cs="宋体"/>
          <w:kern w:val="0"/>
          <w:sz w:val="32"/>
          <w:szCs w:val="32"/>
          <w:lang w:val="en-US" w:eastAsia="zh-CN"/>
        </w:rPr>
        <w:t>2019年度机构改革老干部活动中心并入增加机关运行经费</w:t>
      </w:r>
      <w:r>
        <w:rPr>
          <w:rFonts w:hint="eastAsia" w:ascii="仿宋_GB2312" w:hAnsi="ˎ̥" w:eastAsia="仿宋_GB2312" w:cs="宋体"/>
          <w:kern w:val="0"/>
          <w:sz w:val="32"/>
          <w:szCs w:val="32"/>
        </w:rPr>
        <w:t>。</w:t>
      </w:r>
    </w:p>
    <w:p w14:paraId="553E7F31">
      <w:pPr>
        <w:widowControl/>
        <w:shd w:val="clear" w:color="auto" w:fill="FFFFFF"/>
        <w:snapToGrid w:val="0"/>
        <w:spacing w:before="100" w:beforeAutospacing="1" w:after="100" w:afterAutospacing="1"/>
        <w:ind w:firstLine="643" w:firstLineChars="200"/>
        <w:jc w:val="left"/>
        <w:rPr>
          <w:rFonts w:hint="eastAsia" w:ascii="楷体" w:hAnsi="楷体" w:eastAsia="楷体" w:cs="楷体"/>
          <w:b/>
          <w:kern w:val="0"/>
          <w:sz w:val="32"/>
          <w:szCs w:val="32"/>
        </w:rPr>
      </w:pPr>
      <w:bookmarkStart w:id="103" w:name="_Toc25333_WPSOffice_Level2"/>
      <w:bookmarkStart w:id="104" w:name="_Toc30383_WPSOffice_Level2"/>
      <w:bookmarkStart w:id="105" w:name="_Toc23966_WPSOffice_Level2"/>
      <w:bookmarkStart w:id="106" w:name="_Toc13084_WPSOffice_Level2"/>
      <w:bookmarkStart w:id="107" w:name="_Toc3131_WPSOffice_Level2"/>
      <w:bookmarkStart w:id="108" w:name="_Toc32689_WPSOffice_Level2"/>
      <w:r>
        <w:rPr>
          <w:rFonts w:hint="eastAsia" w:ascii="楷体" w:hAnsi="楷体" w:eastAsia="楷体" w:cs="楷体"/>
          <w:b/>
          <w:kern w:val="0"/>
          <w:sz w:val="32"/>
          <w:szCs w:val="32"/>
        </w:rPr>
        <w:t>（二）政府采购支出情况。</w:t>
      </w:r>
      <w:bookmarkEnd w:id="103"/>
      <w:bookmarkEnd w:id="104"/>
      <w:bookmarkEnd w:id="105"/>
      <w:bookmarkEnd w:id="106"/>
      <w:bookmarkEnd w:id="107"/>
      <w:bookmarkEnd w:id="108"/>
    </w:p>
    <w:p w14:paraId="40943209">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highlight w:val="none"/>
        </w:rPr>
      </w:pPr>
      <w:r>
        <w:rPr>
          <w:rFonts w:hint="eastAsia" w:ascii="仿宋_GB2312" w:hAnsi="ˎ̥" w:eastAsia="仿宋_GB2312" w:cs="宋体"/>
          <w:kern w:val="0"/>
          <w:sz w:val="32"/>
          <w:szCs w:val="32"/>
        </w:rPr>
        <w:t>2019年度中共屯昌县委组织部部门（单位）政府采购支出总额9.64万元，其中：政府采购货物支出9.64万元、政府采购工程支出0.00万元、政府采购服务支出0.00万元。授予中小企业合同金额0.00万元，占政府采购支出总额的0.00%，其中：授予小微企业合同金额0.00万元，占政府采购支出总额的0.00%。</w:t>
      </w:r>
    </w:p>
    <w:p w14:paraId="5A82D180">
      <w:pPr>
        <w:widowControl/>
        <w:shd w:val="clear" w:color="auto" w:fill="FFFFFF"/>
        <w:snapToGrid w:val="0"/>
        <w:spacing w:before="100" w:beforeAutospacing="1" w:after="100" w:afterAutospacing="1"/>
        <w:ind w:firstLine="643" w:firstLineChars="200"/>
        <w:jc w:val="left"/>
        <w:rPr>
          <w:rFonts w:hint="eastAsia" w:ascii="楷体" w:hAnsi="楷体" w:eastAsia="楷体" w:cs="楷体"/>
          <w:b/>
          <w:kern w:val="0"/>
          <w:sz w:val="32"/>
          <w:szCs w:val="32"/>
          <w:highlight w:val="none"/>
        </w:rPr>
      </w:pPr>
      <w:bookmarkStart w:id="109" w:name="_Toc6016_WPSOffice_Level2"/>
      <w:bookmarkStart w:id="110" w:name="_Toc527_WPSOffice_Level2"/>
      <w:bookmarkStart w:id="111" w:name="_Toc15129_WPSOffice_Level2"/>
      <w:bookmarkStart w:id="112" w:name="_Toc29584_WPSOffice_Level2"/>
      <w:bookmarkStart w:id="113" w:name="_Toc19989_WPSOffice_Level2"/>
      <w:bookmarkStart w:id="114" w:name="_Toc10902_WPSOffice_Level2"/>
      <w:r>
        <w:rPr>
          <w:rFonts w:hint="eastAsia" w:ascii="楷体" w:hAnsi="楷体" w:eastAsia="楷体" w:cs="楷体"/>
          <w:b/>
          <w:kern w:val="0"/>
          <w:sz w:val="32"/>
          <w:szCs w:val="32"/>
          <w:highlight w:val="none"/>
        </w:rPr>
        <w:t>（三）国有资产占用情况。</w:t>
      </w:r>
      <w:bookmarkEnd w:id="109"/>
      <w:bookmarkEnd w:id="110"/>
      <w:bookmarkEnd w:id="111"/>
      <w:bookmarkEnd w:id="112"/>
      <w:bookmarkEnd w:id="113"/>
      <w:bookmarkEnd w:id="114"/>
    </w:p>
    <w:p w14:paraId="3A579B4F">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截至2019年度12月31日，本部门占用房屋面积</w:t>
      </w:r>
      <w:r>
        <w:rPr>
          <w:rFonts w:hint="eastAsia" w:ascii="仿宋_GB2312" w:hAnsi="ˎ̥" w:eastAsia="仿宋_GB2312" w:cs="宋体"/>
          <w:kern w:val="0"/>
          <w:sz w:val="32"/>
          <w:szCs w:val="32"/>
          <w:lang w:val="en-US" w:eastAsia="zh-CN"/>
        </w:rPr>
        <w:t>1104</w:t>
      </w:r>
      <w:r>
        <w:rPr>
          <w:rFonts w:hint="eastAsia" w:ascii="仿宋_GB2312" w:hAnsi="ˎ̥" w:eastAsia="仿宋_GB2312" w:cs="宋体"/>
          <w:kern w:val="0"/>
          <w:sz w:val="32"/>
          <w:szCs w:val="32"/>
        </w:rPr>
        <w:t>平方米，其中：办公用房</w:t>
      </w:r>
      <w:r>
        <w:rPr>
          <w:rFonts w:hint="eastAsia" w:ascii="仿宋_GB2312" w:hAnsi="ˎ̥" w:eastAsia="仿宋_GB2312" w:cs="宋体"/>
          <w:kern w:val="0"/>
          <w:sz w:val="32"/>
          <w:szCs w:val="32"/>
          <w:lang w:val="en-US" w:eastAsia="zh-CN"/>
        </w:rPr>
        <w:t>1104</w:t>
      </w:r>
      <w:r>
        <w:rPr>
          <w:rFonts w:hint="eastAsia" w:ascii="仿宋_GB2312" w:hAnsi="ˎ̥" w:eastAsia="仿宋_GB2312" w:cs="宋体"/>
          <w:kern w:val="0"/>
          <w:sz w:val="32"/>
          <w:szCs w:val="32"/>
        </w:rPr>
        <w:t>平方米，业务用房</w:t>
      </w:r>
      <w:r>
        <w:rPr>
          <w:rFonts w:hint="eastAsia" w:ascii="仿宋_GB2312" w:hAnsi="ˎ̥" w:eastAsia="仿宋_GB2312" w:cs="宋体"/>
          <w:kern w:val="0"/>
          <w:sz w:val="32"/>
          <w:szCs w:val="32"/>
          <w:lang w:val="en-US" w:eastAsia="zh-CN"/>
        </w:rPr>
        <w:t>0</w:t>
      </w:r>
      <w:r>
        <w:rPr>
          <w:rFonts w:hint="eastAsia" w:ascii="仿宋_GB2312" w:hAnsi="ˎ̥" w:eastAsia="仿宋_GB2312" w:cs="宋体"/>
          <w:kern w:val="0"/>
          <w:sz w:val="32"/>
          <w:szCs w:val="32"/>
        </w:rPr>
        <w:t>平方米，其他（不含构筑物）</w:t>
      </w:r>
      <w:r>
        <w:rPr>
          <w:rFonts w:hint="eastAsia" w:ascii="仿宋_GB2312" w:hAnsi="ˎ̥" w:eastAsia="仿宋_GB2312" w:cs="宋体"/>
          <w:kern w:val="0"/>
          <w:sz w:val="32"/>
          <w:szCs w:val="32"/>
          <w:lang w:val="en-US" w:eastAsia="zh-CN"/>
        </w:rPr>
        <w:t>0</w:t>
      </w:r>
      <w:r>
        <w:rPr>
          <w:rFonts w:hint="eastAsia" w:ascii="仿宋_GB2312" w:hAnsi="ˎ̥" w:eastAsia="仿宋_GB2312" w:cs="宋体"/>
          <w:kern w:val="0"/>
          <w:sz w:val="32"/>
          <w:szCs w:val="32"/>
        </w:rPr>
        <w:t>平方米。</w:t>
      </w:r>
    </w:p>
    <w:p w14:paraId="7FD103F2">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本部门共有车辆2辆，其中：从车辆种类说明：轿车2辆、越野车0辆、小型载客汽车0辆、大中型载客汽车0辆、其他用车0辆。从车辆使用情况说明：副部（省）级及以上领导用车0辆、主要领导干部用车0辆、机要通信用车0辆、应急保障用车2辆、执法执勤用车0辆、特种专业技术用车0辆、离退休干部用车0辆、其他用车0辆。</w:t>
      </w:r>
    </w:p>
    <w:p w14:paraId="04A393B2">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单位价值50万元（含）以上通用设备0台（套），单价100万元（含）以上专用设备0台（套）。</w:t>
      </w:r>
    </w:p>
    <w:p w14:paraId="54CDF2ED">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年末在建工程3744万元。</w:t>
      </w:r>
    </w:p>
    <w:p w14:paraId="3A1810D0">
      <w:pPr>
        <w:widowControl/>
        <w:shd w:val="clear" w:color="auto" w:fill="FFFFFF"/>
        <w:snapToGrid w:val="0"/>
        <w:spacing w:before="100" w:beforeAutospacing="1" w:after="100" w:afterAutospacing="1" w:line="578" w:lineRule="exact"/>
        <w:ind w:firstLine="640" w:firstLineChars="200"/>
        <w:jc w:val="left"/>
        <w:rPr>
          <w:rFonts w:hint="eastAsia" w:ascii="仿宋_GB2312" w:hAnsi="ˎ̥" w:eastAsia="仿宋_GB2312" w:cs="宋体"/>
          <w:kern w:val="0"/>
          <w:sz w:val="32"/>
          <w:szCs w:val="32"/>
        </w:rPr>
      </w:pPr>
    </w:p>
    <w:p w14:paraId="69DF32E8">
      <w:pPr>
        <w:widowControl/>
        <w:shd w:val="clear" w:color="auto" w:fill="FFFFFF"/>
        <w:snapToGrid w:val="0"/>
        <w:spacing w:before="100" w:beforeAutospacing="1" w:after="100" w:afterAutospacing="1"/>
        <w:jc w:val="center"/>
        <w:rPr>
          <w:rFonts w:hint="eastAsia" w:ascii="黑体" w:hAnsi="ˎ̥" w:eastAsia="黑体" w:cs="宋体"/>
          <w:kern w:val="0"/>
          <w:sz w:val="32"/>
          <w:szCs w:val="32"/>
        </w:rPr>
      </w:pPr>
      <w:bookmarkStart w:id="115" w:name="_Toc8874_WPSOffice_Level1"/>
      <w:bookmarkStart w:id="116" w:name="_Toc4398_WPSOffice_Level1"/>
      <w:bookmarkStart w:id="117" w:name="_Toc15425_WPSOffice_Level1"/>
      <w:bookmarkStart w:id="118" w:name="_Toc8808_WPSOffice_Level1"/>
      <w:bookmarkStart w:id="119" w:name="_Toc11039_WPSOffice_Level1"/>
      <w:bookmarkStart w:id="120" w:name="_Toc17580_WPSOffice_Level1"/>
      <w:r>
        <w:rPr>
          <w:rFonts w:hint="eastAsia" w:ascii="黑体" w:hAnsi="ˎ̥" w:eastAsia="黑体" w:cs="宋体"/>
          <w:kern w:val="0"/>
          <w:sz w:val="32"/>
          <w:szCs w:val="32"/>
        </w:rPr>
        <w:t>第四部分  名词解释</w:t>
      </w:r>
      <w:bookmarkEnd w:id="115"/>
      <w:bookmarkEnd w:id="116"/>
      <w:bookmarkEnd w:id="117"/>
      <w:bookmarkEnd w:id="118"/>
      <w:bookmarkEnd w:id="119"/>
      <w:bookmarkEnd w:id="120"/>
    </w:p>
    <w:p w14:paraId="18B39EC4">
      <w:pPr>
        <w:widowControl/>
        <w:shd w:val="clear" w:color="auto" w:fill="FFFFFF"/>
        <w:snapToGrid w:val="0"/>
        <w:spacing w:before="100" w:beforeAutospacing="1" w:after="100" w:afterAutospacing="1"/>
        <w:jc w:val="center"/>
        <w:rPr>
          <w:rFonts w:hint="eastAsia" w:ascii="黑体" w:hAnsi="ˎ̥" w:eastAsia="黑体" w:cs="宋体"/>
          <w:kern w:val="0"/>
          <w:sz w:val="32"/>
          <w:szCs w:val="32"/>
        </w:rPr>
      </w:pPr>
    </w:p>
    <w:p w14:paraId="503D5987">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一、财政拨款收入：指本级财政当年拨付的资金。</w:t>
      </w:r>
    </w:p>
    <w:p w14:paraId="74A32B54">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二、事业收入：指事业单位开展专业业务活动及辅助活动取得的收入。</w:t>
      </w:r>
    </w:p>
    <w:p w14:paraId="4C600B2F">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三、经营收入：指事业单位在专业业务活动及其辅助活动之外开展非独立核算经营活动取得的收入。</w:t>
      </w:r>
    </w:p>
    <w:p w14:paraId="47ED6A3A">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四、其他收入：指除上述“财政拨款收入”“事业收入”“经营收入”等以外的收入。</w:t>
      </w:r>
    </w:p>
    <w:p w14:paraId="567B1F8A">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14:paraId="14F12DA2">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六、年初结转和结余：指以前年度尚未完成、结转到本年按有关规定继续使用的资金。</w:t>
      </w:r>
    </w:p>
    <w:p w14:paraId="1B8A4EA0">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七、结余分配：指事业单位按规定提取的职工福利基金、事业基金和缴纳的所得税，以及建设单位按规定应交回的基本建设竣工项目结余资金。</w:t>
      </w:r>
    </w:p>
    <w:p w14:paraId="047B6ACF">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八、年末结转和结余：指本年度或以前年度预算安排、因客观条件发生变化无法按原计划实施，需要延迟到以后年度按有关规定继续使用的资金。</w:t>
      </w:r>
    </w:p>
    <w:p w14:paraId="58608F6A">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九、基本支出：指为保障机构正常运转、完成日常工作任务而发生的人员支出和公用支出。</w:t>
      </w:r>
    </w:p>
    <w:p w14:paraId="796266A8">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十、项目支出：指在基本支出之外为完成特定行政任务和事业发展目标所发生的支出。</w:t>
      </w:r>
    </w:p>
    <w:p w14:paraId="730B8E3F">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十一、经营支出：指事业单位在专业业务活动及其辅助活动之外开展非独立核算经营活动发生的支出。</w:t>
      </w:r>
    </w:p>
    <w:p w14:paraId="55F9B9B7">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889D5BB">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3CA1960">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r>
        <w:rPr>
          <w:rFonts w:hint="eastAsia" w:ascii="仿宋_GB2312" w:hAnsi="ˎ̥" w:eastAsia="仿宋_GB2312" w:cs="宋体"/>
          <w:kern w:val="0"/>
          <w:sz w:val="32"/>
          <w:szCs w:val="32"/>
        </w:rPr>
        <w:t>十四、（支出功能分类的名词解释，各部门（单位）根据实际支出情况填列，可参阅财政部印发的《2019年政府收支分类科目》）</w:t>
      </w:r>
    </w:p>
    <w:p w14:paraId="0BA54F80">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p>
    <w:p w14:paraId="1D1614BB">
      <w:pPr>
        <w:keepNext w:val="0"/>
        <w:keepLines w:val="0"/>
        <w:pageBreakBefore w:val="0"/>
        <w:widowControl/>
        <w:shd w:val="clear" w:color="auto" w:fill="FFFFFF"/>
        <w:kinsoku/>
        <w:wordWrap/>
        <w:overflowPunct/>
        <w:topLinePunct w:val="0"/>
        <w:autoSpaceDE/>
        <w:autoSpaceDN/>
        <w:bidi w:val="0"/>
        <w:adjustRightInd/>
        <w:snapToGrid w:val="0"/>
        <w:spacing w:before="100" w:beforeAutospacing="1" w:after="100" w:afterAutospacing="1" w:line="590" w:lineRule="exact"/>
        <w:ind w:firstLine="640" w:firstLineChars="200"/>
        <w:jc w:val="left"/>
        <w:textAlignment w:val="auto"/>
        <w:rPr>
          <w:rFonts w:hint="eastAsia" w:ascii="仿宋_GB2312" w:hAnsi="ˎ̥" w:eastAsia="仿宋_GB2312" w:cs="宋体"/>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82C9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DBF88E">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CDBF88E">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B028A"/>
    <w:multiLevelType w:val="singleLevel"/>
    <w:tmpl w:val="B18B028A"/>
    <w:lvl w:ilvl="0" w:tentative="0">
      <w:start w:val="1"/>
      <w:numFmt w:val="chineseCounting"/>
      <w:suff w:val="nothing"/>
      <w:lvlText w:val="%1、"/>
      <w:lvlJc w:val="left"/>
      <w:rPr>
        <w:rFonts w:hint="eastAsia"/>
      </w:rPr>
    </w:lvl>
  </w:abstractNum>
  <w:abstractNum w:abstractNumId="1">
    <w:nsid w:val="5F8E6096"/>
    <w:multiLevelType w:val="singleLevel"/>
    <w:tmpl w:val="5F8E6096"/>
    <w:lvl w:ilvl="0" w:tentative="0">
      <w:start w:val="1"/>
      <w:numFmt w:val="chineseCounting"/>
      <w:suff w:val="nothing"/>
      <w:lvlText w:val="%1、"/>
      <w:lvlJc w:val="left"/>
    </w:lvl>
  </w:abstractNum>
  <w:abstractNum w:abstractNumId="2">
    <w:nsid w:val="5F8E939D"/>
    <w:multiLevelType w:val="singleLevel"/>
    <w:tmpl w:val="5F8E939D"/>
    <w:lvl w:ilvl="0" w:tentative="0">
      <w:start w:val="2"/>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D81"/>
    <w:rsid w:val="003E1BE9"/>
    <w:rsid w:val="00507D81"/>
    <w:rsid w:val="006E2C64"/>
    <w:rsid w:val="030B7DCE"/>
    <w:rsid w:val="08516BC6"/>
    <w:rsid w:val="08DC5BC7"/>
    <w:rsid w:val="0BE81BBB"/>
    <w:rsid w:val="0FAF0964"/>
    <w:rsid w:val="10D6359F"/>
    <w:rsid w:val="122F5C53"/>
    <w:rsid w:val="151356B3"/>
    <w:rsid w:val="18AF613D"/>
    <w:rsid w:val="18DE6360"/>
    <w:rsid w:val="1A2D3DFD"/>
    <w:rsid w:val="1E7E4052"/>
    <w:rsid w:val="1F0540A5"/>
    <w:rsid w:val="2AFA210B"/>
    <w:rsid w:val="2E6E6FF6"/>
    <w:rsid w:val="301D07C7"/>
    <w:rsid w:val="30C1203C"/>
    <w:rsid w:val="33047B37"/>
    <w:rsid w:val="35877EA5"/>
    <w:rsid w:val="368B1559"/>
    <w:rsid w:val="36A47BCB"/>
    <w:rsid w:val="3ADC16D7"/>
    <w:rsid w:val="3CCC7D93"/>
    <w:rsid w:val="3D673A39"/>
    <w:rsid w:val="3DC9600A"/>
    <w:rsid w:val="41750763"/>
    <w:rsid w:val="432404D7"/>
    <w:rsid w:val="467579EB"/>
    <w:rsid w:val="47D36537"/>
    <w:rsid w:val="482C79D4"/>
    <w:rsid w:val="4DE7448D"/>
    <w:rsid w:val="4EB02DBB"/>
    <w:rsid w:val="510F3EE4"/>
    <w:rsid w:val="51883D3C"/>
    <w:rsid w:val="519E4464"/>
    <w:rsid w:val="51F21855"/>
    <w:rsid w:val="52D14E2A"/>
    <w:rsid w:val="59D9705E"/>
    <w:rsid w:val="5B7846C4"/>
    <w:rsid w:val="61EA2860"/>
    <w:rsid w:val="62E4730F"/>
    <w:rsid w:val="6590069E"/>
    <w:rsid w:val="6A844590"/>
    <w:rsid w:val="6FB26162"/>
    <w:rsid w:val="71005E60"/>
    <w:rsid w:val="71F41EBB"/>
    <w:rsid w:val="71FA4AF7"/>
    <w:rsid w:val="75A354DE"/>
    <w:rsid w:val="76FE7C25"/>
    <w:rsid w:val="779A5C97"/>
    <w:rsid w:val="78D411BC"/>
    <w:rsid w:val="7AB32FE6"/>
    <w:rsid w:val="7C922B38"/>
    <w:rsid w:val="7E1B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spacing w:before="100" w:beforeAutospacing="1" w:after="100" w:afterAutospacing="1"/>
      <w:jc w:val="left"/>
    </w:pPr>
    <w:rPr>
      <w:rFonts w:ascii="Calibri" w:hAnsi="Calibri"/>
      <w:kern w:val="0"/>
      <w:sz w:val="24"/>
    </w:rPr>
  </w:style>
  <w:style w:type="paragraph" w:customStyle="1" w:styleId="7">
    <w:name w:val="List Paragraph"/>
    <w:basedOn w:val="1"/>
    <w:qFormat/>
    <w:uiPriority w:val="34"/>
    <w:pPr>
      <w:widowControl/>
      <w:ind w:firstLine="420" w:firstLineChars="200"/>
      <w:jc w:val="left"/>
    </w:pPr>
    <w:rPr>
      <w:rFonts w:ascii="宋体" w:hAnsi="宋体" w:eastAsia="宋体" w:cs="宋体"/>
      <w:kern w:val="0"/>
      <w:sz w:val="24"/>
      <w:szCs w:val="24"/>
    </w:rPr>
  </w:style>
  <w:style w:type="paragraph" w:customStyle="1" w:styleId="8">
    <w:name w:val="wpsoffice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
    <w:name w:val="wpsoffice2"/>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7668</Words>
  <Characters>8583</Characters>
  <Lines>52</Lines>
  <Paragraphs>14</Paragraphs>
  <TotalTime>49</TotalTime>
  <ScaleCrop>false</ScaleCrop>
  <LinksUpToDate>false</LinksUpToDate>
  <CharactersWithSpaces>8676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2020-10-19T10:12:00Z</dcterms:created>
  <dc:creator>lenovo</dc:creator>
  <cp:lastModifiedBy>小强</cp:lastModifiedBy>
  <cp:lastPrinted>2020-10-20T03:48:00Z</cp:lastPrinted>
  <dcterms:modified xsi:type="dcterms:W3CDTF">2025-01-15T02:57:25Z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eyJoZGlkIjoiMzkyYWM3MTM3ODYzMjc5ZmRiNWQxOTE5NmMzNmNlYWIiLCJ1c2VySWQiOiI2MTEwMzEyODIifQ==</vt:lpwstr>
  </property>
  <property fmtid="{D5CDD505-2E9C-101B-9397-08002B2CF9AE}" pid="4" name="ICV">
    <vt:lpwstr>FFB5A8E810744D3A9C50D294A98B1A56_12</vt:lpwstr>
  </property>
</Properties>
</file>