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center"/>
        <w:textAlignment w:val="auto"/>
        <w:rPr>
          <w:rStyle w:val="6"/>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kern w:val="0"/>
          <w:sz w:val="44"/>
          <w:szCs w:val="44"/>
        </w:rPr>
        <w:t>《</w:t>
      </w:r>
      <w:r>
        <w:rPr>
          <w:rFonts w:hint="eastAsia" w:ascii="方正小标宋_GBK" w:hAnsi="方正小标宋_GBK" w:eastAsia="方正小标宋_GBK" w:cs="方正小标宋_GBK"/>
          <w:b w:val="0"/>
          <w:bCs/>
          <w:kern w:val="0"/>
          <w:sz w:val="44"/>
          <w:szCs w:val="44"/>
          <w:lang w:eastAsia="zh-CN"/>
        </w:rPr>
        <w:t>屯昌县</w:t>
      </w:r>
      <w:r>
        <w:rPr>
          <w:rStyle w:val="6"/>
          <w:rFonts w:hint="eastAsia" w:ascii="方正小标宋_GBK" w:hAnsi="方正小标宋_GBK" w:eastAsia="方正小标宋_GBK" w:cs="方正小标宋_GBK"/>
          <w:b w:val="0"/>
          <w:bCs/>
          <w:color w:val="000000"/>
          <w:sz w:val="44"/>
          <w:szCs w:val="44"/>
          <w:lang w:eastAsia="zh-CN"/>
        </w:rPr>
        <w:t>木色湖片区开发边界内控制性</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default" w:ascii="仿宋_GB2312" w:hAnsi="仿宋_GB2312" w:eastAsia="仿宋_GB2312" w:cs="仿宋_GB2312"/>
          <w:b w:val="0"/>
          <w:bCs/>
          <w:kern w:val="0"/>
          <w:sz w:val="44"/>
          <w:szCs w:val="44"/>
          <w:lang w:val="en-US" w:eastAsia="zh-CN"/>
        </w:rPr>
      </w:pPr>
      <w:r>
        <w:rPr>
          <w:rStyle w:val="6"/>
          <w:rFonts w:hint="eastAsia" w:ascii="方正小标宋_GBK" w:hAnsi="方正小标宋_GBK" w:eastAsia="方正小标宋_GBK" w:cs="方正小标宋_GBK"/>
          <w:b w:val="0"/>
          <w:bCs/>
          <w:color w:val="000000"/>
          <w:sz w:val="44"/>
          <w:szCs w:val="44"/>
          <w:lang w:eastAsia="zh-CN"/>
        </w:rPr>
        <w:t>详细规划</w:t>
      </w:r>
      <w:r>
        <w:rPr>
          <w:rFonts w:hint="eastAsia" w:ascii="方正小标宋_GBK" w:hAnsi="方正小标宋_GBK" w:eastAsia="方正小标宋_GBK" w:cs="方正小标宋_GBK"/>
          <w:b w:val="0"/>
          <w:bCs/>
          <w:kern w:val="0"/>
          <w:sz w:val="44"/>
          <w:szCs w:val="44"/>
        </w:rPr>
        <w:t>》简介</w:t>
      </w:r>
      <w:bookmarkStart w:id="2" w:name="_GoBack"/>
      <w:bookmarkEnd w:id="2"/>
      <w:bookmarkStart w:id="0" w:name="_Toc102029504"/>
      <w:bookmarkStart w:id="1" w:name="_Toc207609379"/>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kern w:val="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一、</w:t>
      </w:r>
      <w:r>
        <w:rPr>
          <w:rFonts w:hint="eastAsia" w:ascii="黑体" w:hAnsi="黑体" w:eastAsia="黑体" w:cs="黑体"/>
          <w:b w:val="0"/>
          <w:bCs/>
          <w:kern w:val="0"/>
          <w:sz w:val="32"/>
          <w:szCs w:val="32"/>
        </w:rPr>
        <w:t>规划范围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根据《屯昌县总体规划（空间类2015-2030）》确定的开发边界与《屯昌县木色湖省级风景名胜区总体规划（2021-2035 年）（修编）》中划定的木色湖风景名胜区界线，将两个边界重叠的区域和现状不利于开发的区域进行扣除，剩余空间的边界作为本次规划的规划范围，总面积约为393.63公顷。</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二、规划定位</w:t>
      </w:r>
    </w:p>
    <w:bookmarkEnd w:id="0"/>
    <w:bookmarkEnd w:id="1"/>
    <w:p>
      <w:pPr>
        <w:pStyle w:val="7"/>
        <w:keepNext w:val="0"/>
        <w:keepLines w:val="0"/>
        <w:pageBreakBefore w:val="0"/>
        <w:tabs>
          <w:tab w:val="right" w:leader="dot" w:pos="7200"/>
        </w:tabs>
        <w:kinsoku/>
        <w:wordWrap/>
        <w:overflowPunct/>
        <w:topLinePunct w:val="0"/>
        <w:autoSpaceDE/>
        <w:autoSpaceDN/>
        <w:bidi w:val="0"/>
        <w:adjustRightInd/>
        <w:snapToGrid/>
        <w:spacing w:after="156" w:line="60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本规划将</w:t>
      </w:r>
      <w:r>
        <w:rPr>
          <w:rFonts w:hint="eastAsia" w:ascii="仿宋_GB2312" w:hAnsi="仿宋_GB2312" w:eastAsia="仿宋_GB2312" w:cs="仿宋_GB2312"/>
          <w:sz w:val="32"/>
          <w:szCs w:val="32"/>
          <w:lang w:eastAsia="zh-CN"/>
        </w:rPr>
        <w:t>木色湖片区定位为海南中部山湖型旅游度假区、屯昌运动康养旅游消费中心和木色湖省级风景名胜区综合配套服务区。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三、规模容量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用地规模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规划范围面积共393.63公顷（约合5904.4</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亩），其中建设用地规模控制在215.56公顷，占规划范围面积54.76%。城市建设用地211.08公顷，开发建设总量控制在107.6</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万平方米，可开发用地平均容积率控制在0.51。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人口规模：规划区内总人口规模约为16300人，其中</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居住与长期康养度假总人口约为8300人；酒店过夜游客约为3300人；旅游服务人口约为4200人；村庄人口约为500人。规划区纳入城市建设用地平衡人口约为15800人，包括居住及长期度假人口、旅游接待及服务旅游人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四、功能分区</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确定五大功能区，包括木色湖商业综合配套服务区、木色湖康体运动服务功能区、蒙贡康养休闲及商业综合配套服务区、木色湖休闲度假配套区以及鹿场康养休闲服务区，并协同木色湖省级风景名胜区景区构建区域完整功能分区布局。</w:t>
      </w:r>
    </w:p>
    <w:p>
      <w:pPr>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木色湖商业综合配套服务区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位于海榆中线南侧，该区以商业餐饮、旅游消费、体育培训等功能为主，主要设置康养社区、生态度假村、风情商业街、青少年体育竞技培训基地等旅游消费休闲项目，并结合滨水及公园等开敞空间，打造服务设施齐全的滨水休闲度假基地。</w:t>
      </w:r>
    </w:p>
    <w:p>
      <w:pPr>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木色湖康体运动服务功能区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位于海榆中线北侧，环木色湖周边区域，具有独特的滨水景观资源，该区以休闲度假、康体运动、娱乐服务等功能为主，主要设置运动康体娱乐中心、木色湖五星级酒店、生态康体度假村、康养社区、体育休闲度假村等康体度假项目。</w:t>
      </w:r>
    </w:p>
    <w:p>
      <w:pPr>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蒙贡康养休闲及商业综合配套服务区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位于规划区中部，位于蒙贡水库及周边区域，该区以度假康养、休闲娱乐、商业餐饮等功能为主，主要设置生态养生度假村、蒙贡运动康体娱乐中心、半山美食山庄等项目，结合水库、林地资源，打造生态良好的生态养生度假空间。</w:t>
      </w:r>
    </w:p>
    <w:p>
      <w:pPr>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木色湖休闲观光度假配套区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位于木色湖水库北侧，该区以旅游度假、木色湖观光等功能为主，主要建设体育休闲度假村、体育休闲公园等休闲度假项目。</w:t>
      </w:r>
    </w:p>
    <w:p>
      <w:pPr>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鹿场康养休闲服务区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位于木色湖西南侧，该区以旅游度假、鹿场观光、娱乐休闲为等功能为主,主要建设体育洗选度假村、鹿苑风情美食街、鹿场小镇、鹿文化展示中心、鹿苑休闲娱乐中心等项目，结合鹿文化、水库风光，打造资源丰富的休闲观光度假空间。</w:t>
      </w:r>
    </w:p>
    <w:p>
      <w:pPr>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木色湖省级风景名胜区景区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以木色湖省级风景名胜区为范围的生态游览区，该区以特别保存、风景游览、风景恢复、旅游服务等功能为主。</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val="en-US" w:eastAsia="zh-CN"/>
        </w:rPr>
        <w:t>五、单元规划</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统筹考虑湖泊水系、道路分割、用地功能等因素，将规划区划分成 A、B、C、D、E、F、G、H、J 九个规划控制单元。</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（一）A控制单元控制内容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本单元总面积为24.71公顷，其他发展用地面积为8.83公顷。该区域尚未明确具体发展方向，因此建议地类保留现状外，其他规划用地建议地类为留白用地，作为未来的弹性发展空间。</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本单元内A07地类为防护绿地，总用地面积为0.08公顷，功能上以防护为主，注重安全和生态原则，兼顾观赏性。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（二）B控制单元控制内容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本单元总面积为31.25公顷，其他发展用地面积为8.57公顷，总建设量4.88万平方米。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（三）C控制单元控制内容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本单元总面积为27.72公顷，其他发展用地面积为23.66公顷，总建设量9.21万平方米。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（四）D控制单元控制内容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89.47公顷，二类城镇住宅用地面积为9.39公顷。居住用地总建设量为2.82（11.27）万平方米，地块绿地率不低于50%，本单元内的农村宅基地建设量不计入居住总建设量统计，农村宅基地的建设应严格按照《海南省村庄规划管理条例》等相关规定执行。本单元其他发展用地面积为29.97公顷，总建设量16.06万平方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D03、D04地块内虚线为现状保留的水系控制线，建议开发商在开发地块的时候保留。</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35KV、110KV高压电力线及走廊控制线范围为高压电力线路分别向两侧各偏移10米、12.5米，总宽度分别为20米、25米。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（五）E控制单元控制内容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本单元总面积为62.54公顷，二类城镇住宅用地面积为7.74公顷。居住用地总建设量为2.94（9.29）万平方米，单个地块绿地率不低于40%。本单元其他发展用地面积为15.75公顷，总建设量9.45万平方米。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本单元内E02、E04、EO5、E07、EO9、E11地类为防护绿地，总用地面积为1.94公顷，功能上以防护为主。注重安全和生态原则，兼顾观赏性。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35KV、110KV高压电力线及走廊控制线范围为高压电力线路分别向两侧各偏移10米、12.5米，总宽度分别为20米、25米。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（六）F控制单元控制内容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本单元总面积为32.85公顷，社会停车场用地面积为0.35公顷，兼作应急避难的场所，停车场硬化部分建议使用透水工程的铺装。本单元其他发展用地面积为16.55公顷，总建设量9.93万平方米。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内F15地类为公园绿地，总用地面积为0.83公顷，建设时要充分考虑游憩、休闲、生态和景观等功能需求。F06、F07、F09、F11、F12、F13地类为防护绿地，总用地面积为3.15公顷，功能上以防护为主，注重安全和生态原则，兼顾观赏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110KV高压电力线及走廊控制线范围为高压电力线路向两侧各偏移12.5米，总宽度为25米。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（七）G控制单元控制内容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本单元总面积为32.62公顷，二类城镇住宅用地面积为3.56公顷，居住用地总建设量为4.27万平方米，单个地块绿地率不低于40%。本单元其他发展用地面积为14.02公顷，总建设量9.03万平方米。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110KV高压电力线及走廊控制线范围为高压电力线路向两侧各偏移12.5米，总宽度为25米。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（八）H控制单元控制内容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本单元总面积为32.40公顷，其他发展用地面积为10.58公顷，总建设量5.83万平方米。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（九）J控制单元控制内容</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本单元总面积为60.07公顷，农村宅基地面积为3.13公顷，建筑高度不超过 12米。本单元通信用地面积为0.12公顷，建设量1238平方米，容积率≤1.0。本单元J12、J14地块为科研用地，总用地面积为6.22公顷，其建设量不高于3.73万平方米。本单元其他发展用地面积为20.79公顷，总建设量12.75万平方米。本单元内J16地块为排水用地，用地面积为210平方米。本单元内J17地块为供电用地，用地面积为300平方米。</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本单元内J02、J04、J05、J06、J10地类为防护绿地，总用地面积为2.36公顷，功能上以防护为主，注重安全和生态原则，兼顾观赏性。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六、地块规划</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（一）居住用地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居住用地包括二类城镇住宅用地（070102）、城镇社区服务设施用地（0702）、农村宅基地（0703）。用地面积共 25.52 公顷，占建设用地的11.84%。</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1.二类城镇住宅用地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类城镇住宅用地主要位于海榆中线南侧，靠近枫木互通与木色湖东侧区域，结合不同的景观资源，形成不同风情的高档度假居住小区。二类城镇住宅用地内拟建设度假社区、度假公寓、高档住宅以及配套设施等。用地面积20.70公顷，占建设用地的9.60%。本片区内二类城镇住宅用地的主要对象是度假型居住人口。靠近酒店区域的二类城镇住宅用地以酒店式管理模式为主，为业主提供全方位的星级服务；其它二类城镇住宅用地可根据具体情况发展分时度假或普通居住模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2.城镇社区服务设施用地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城镇社区服务设施用地主要位于康养居住区内，面积为0.34公顷，占建设用地的0.16%。</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3.农村宅基地用地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农村宅基地用地主要为加总村和南吕农场十六队，面积为4.48公顷，占建设用地的2.08%。</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（二）科研用地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科研用地主要位于鹿场观光休闲区北侧，主要建设国家种子保存库等科研项目。用地面积共6.22公顷，占建设用地的2.89%。</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（三）商业服务业用地/公共管理与公共服务设施用地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商业服务业用地/公共管理与公共服务设施用地包括零售商业用地/文化混合用地（090101/0803）、旅馆/零售商业/体育混合用地（090104/090101/0805）等类型。用地面积共16.06公顷，占建设用地的7.45%。</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1.零售商业用地/文化混合用地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规划区内的零售商业用地/文化混合用地主要位于鹿场康养休闲服务区。80%建筑面积为零售商业用地，20%建筑面积为文化用地。用地面积2.86公顷。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2.旅馆/零售商业/体育混合用地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旅馆/零售商业/体育混合用地主要位于木色湖康体运动服务功能区。50%建筑面积为零售商业用地，30%建筑面积为旅馆用地，20%建筑为体育用地。用地面积13.20公顷。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（四）商业服务业用地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商业服务业用地包括零售商业用地（090101）、零售商 业/餐饮混合用地（090101/090103）、旅馆用地（090104）、零售商业/旅馆混合用地（090101/090104）、餐饮/旅馆混合用地（090103/090104）、旅馆/零售商业混合用地（090104/090101）、娱乐康体/零售商业混合用地（0903/090101）等类型。用地面积共123.83公顷，占建设用地的57.45%。</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1.零售商业用地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规划区内的零售商业用地主要位于鹿场康养休闲服务区和木色湖商业综合配套服务区。用地面积9.38公顷。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2.零售商业/餐饮混合用地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规划区内的零售商业/餐饮混合用地主要位于鹿场康养休闲服务区、木色湖商业综合配套服务区和蒙贡康养休闲及商业综合配套服务区。70%建筑面积为零售商业用地，30%建筑面积为餐饮用地。用地面积23.15公顷。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3.旅馆用地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旅馆用地主要位于木色湖水库与蒙贡水库周边。主要建设滨湖度假酒店与高端商务酒店等设施。用地面积35.79公顷。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4.零售商业/旅馆混合用地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零售商业/旅馆混合用地主要布置在规划区南部，海榆中线公路南侧区域。70%建筑面积为零售商业用地，30%建筑面积为旅馆用地。用地面积5.74公顷。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5.餐饮/旅馆混合用地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餐饮/旅馆混合用地主要布置在规划区南部，海榆中线公路南侧区域。60%建筑面积为餐饮用地，40%建筑面积为旅馆用地。用地面积15.15公顷。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6.旅馆/零售商业混合用地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旅馆/零售商业混合用地主要位于蒙贡康养休闲及商业综合配套服务区、木色湖商业综合配套服务区和木色湖休闲观光度假区。70%建筑面积为旅馆用地，30%建筑面积为零售商业用地。用地面积29.83公顷。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7.娱乐康体/零售商业混合用地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娱乐康体/零售商业混合用地主要布置在木色湖水库东侧。80%建筑面积为娱乐康体用地，20%建筑面积为零售商业用地。用地面积4.79公顷。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（五）交通运输用地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包括规划区内公路用地（1202）、城镇道路用地（1207）、社会停车场用地（120803）。用地面积24.25公顷，占建设用地的11.25%。</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1.公路用地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公路用地为穿过规划区内的海榆中线公路。用地面积3.97公顷。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2.城镇道路用地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规划区内所有市政道路和道路绿化。用地面积19.93公顷。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3.社会停车场用地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规划区内的社会停车场用地位于南部生态公园旁，主要规划建设社会停车场，为外来旅游车辆提供停车服务。用地面积0.35公顷。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（六）公用设施用地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公用设施用地包括排水用地（1302）、供电用地（1303）、通信用地（1306）、环卫用地（1309）等类型，用地面积共2.44公顷，占建设用地的1.13%。</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1.排水用地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规划区内的排水用地位于规划区东南部，主要为现状枫木污水处理厂。用地面积1.39公顷。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2.供电用地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规划区内的排水用地位于规划区南部，海榆中线南侧，主要规划建设一处35KV变电站和几处开闭所。用地面积0.81公顷。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3.通信用地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规划区内的通信用地位于原枫木鹿场西南角，主要规划建设一处电信接入机房。用地面积0.12公顷。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4.环卫用地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规划区内的环卫用地位于规划区东南部，主要规划建设一处垃圾转运站。用地面积0.12公顷。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（七）绿地与开敞空间用地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绿地与开敞空间用地包括公园绿地（1401）与防护绿地（1402），用地面积共8.41公顷，占建设用地的3.90%。</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1.公园绿地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规划区内的公园绿地位于海榆中线南侧，木色湖东侧区域，主要为用地之间的水系带状公园。用地面积0.83公顷。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2.防护绿地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规划区内的防护绿地位于规划区南部与海榆中线公路两侧，主要为海榆中线与建设用地相邻的区域。用地面积7.58公顷。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（八）留白用地</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规划三块留白用地位于蒙贡水库北侧，用地面积8.83公顷，占建设用地的4.10%。为蒙贡水库区域未来的发展预留战略空间。</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各级管理部门应加强留白用地的管理，实施总量控制和动态优化管理，为蒙贡水库区域长远发展预留高质量发展空间。应根据战略留白用地内建筑物、构筑物情况，按实地留白用地和规划留白用地加强分类管控。对于无建筑物、构筑物的实地留白用地，应结合实际实施临时绿化并挂牌公示，“以绿看地”，严格管控。对于存在建筑物、构筑物的规划留白用地，应加强管控，合法建设可暂时予以保留，除用于保障民生需求外，不得随意改变用途或进行改扩建；违法建设予以严厉打击，并纳入拆违计划限期拆除。</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留白用地产业准入管理要求：规划区留白用地的产业准入清单根据地块所处位置及实际建设需求，参照《产业结构调整指导目录（2019 年本）》（国家发展改革委令 2019 年第 29 号）中的鼓励类产业，《鼓励外商投资产业目录（2019 年版）》（国家发展改革委、商务部令 2019 年第 27 号）中的产业，以及《海南自由贸易港鼓励类产业目录（2020 年本）》中的相关产业制定。</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留白用地产业负面清单管理要求：规划区留白用地的产业负面清单参照《海南省产业准入禁止限制目录（2019 年版）》（琼发改产业〔2019〕1043 号）中的禁止限制类产业和《海南自由贸易港外商投资准入特别管理措施（负面清单）（2020 年版）》中的相关产业。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七、景观系统规划</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规划从整体生态环境和场地风貌特征等多角度出发，并协调木色湖省级风景名胜区共同形成 “一环、一轴、多区 、 多点”的总体景观风貌结构。</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“一环”：即围绕木色湖水库为中心的环木色湖风景环。</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“一轴”：即以海榆中线公路为主体的海榆中线道路景观轴。</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多区”：包括规划区内五个景观风貌区和木色湖省级风景名胜区，分别为门户度假小镇风貌区、旅游休闲运动风貌区、蒙贡康养度假风貌区、鹿场观光休闲风貌区、休闲观光度假风貌区、木色湖省级风景名胜区生态风貌区。</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“多点”：指依据景观、景点等要素分布在规划区内的多个景观节点。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b w:val="0"/>
          <w:bCs/>
          <w:sz w:val="32"/>
          <w:szCs w:val="32"/>
          <w:lang w:val="en-US" w:eastAsia="zh-CN"/>
        </w:rPr>
      </w:pPr>
      <w:r>
        <w:rPr>
          <w:rFonts w:hint="eastAsia" w:ascii="黑体" w:hAnsi="黑体" w:eastAsia="黑体" w:cs="黑体"/>
          <w:b w:val="0"/>
          <w:bCs/>
          <w:kern w:val="0"/>
          <w:sz w:val="32"/>
          <w:szCs w:val="32"/>
          <w:lang w:val="en-US" w:eastAsia="zh-CN"/>
        </w:rPr>
        <w:t>八、产业发展规划</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木色湖省级风景名胜区产品项目以“行、游、娱” 性质为主，规划区作为木色湖省级风景名胜区的旅游配套区产品体系以“吃、住、购”性质为主，与景区产品形成互补。</w:t>
      </w:r>
    </w:p>
    <w:p>
      <w:pPr>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基础支撑产品：景区配套+旅游度假+保健疗养</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以景区配套产业为核心，设置游客接待中心、商业综合体、风情美食街以及度假酒店等旅游配套服务设施。以康体养生度假为中心，建设生态绿道、体育健身路径、休闲广场以及旅游商圈，构建游客休闲健身和游览观光的网络，创建健身旅游特色。</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（二）衍生关联产业：乡村旅游+鹿苑文娱+运动培训</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将加总村、枫木村打造成为美丽乡村，发展乡村旅游产品；推动文化与体育的融合发展，移动互联网与新型科技结合，依托枫木鹿场，打造鹿苑文娱的新体验；完善水上运动培训体系，加强水上运动人才的国际培养与合作，为当地产业提供职业培训平台。</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九、旅游服务设施规划</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综合考虑游览观光和旅游度假功能的需要，旅游服务设施采取分散和集中相结合的布局模式，有利于土地的综合利用。坚持以园内游、园外住为思路，本次规划旅游服务设施主要按旅行、游览、餐饮、住宿、购物、娱乐、文化、康养和其他等九类相关设施进行布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十、居民点建设规划</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规划区内现状村庄总人口为410人。规划以现状为基础、综合考虑多规合一确定的村庄建设用地，将规划区内村庄分为集聚提升类村庄、基础整治类村庄两类。</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规划区根据功能板块的不同，划分为两个居住区：</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颐和居住区：位于规划区北部。主要为木色湖康体度假区的居民和度假游客提供居住和社区综合服务。用地面积为9.39公顷，以多层住宅为主，目前还未开展建设。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康养居住区：位于规划区南部。作为规划区重要的居住配套，主要为木色湖休闲度假区区的居民和度假游客提供居住和社区综合服务。用地面积为11.31公顷，以多层住宅为主，该居住区目前仅完成部分建设。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十一、城市设计引导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hint="eastAsia" w:ascii="楷体_GB2312" w:hAnsi="楷体_GB2312" w:eastAsia="楷体_GB2312" w:cs="楷体_GB2312"/>
          <w:b w:val="0"/>
          <w:bCs/>
          <w:kern w:val="0"/>
          <w:sz w:val="32"/>
          <w:szCs w:val="32"/>
          <w:lang w:val="en-US" w:eastAsia="zh-CN"/>
        </w:rPr>
      </w:pPr>
      <w:r>
        <w:rPr>
          <w:rFonts w:hint="eastAsia" w:ascii="楷体_GB2312" w:hAnsi="楷体_GB2312" w:eastAsia="楷体_GB2312" w:cs="楷体_GB2312"/>
          <w:b w:val="0"/>
          <w:bCs/>
          <w:kern w:val="0"/>
          <w:sz w:val="32"/>
          <w:szCs w:val="32"/>
          <w:lang w:val="en-US" w:eastAsia="zh-CN"/>
        </w:rPr>
        <w:t>（一）建筑高度</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规划区内建筑高度按 3 级高度区间进行控制。</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一级控制区：以低层建筑为主，建筑限高为H≤12米。</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二级控制区：以低层、多层建筑为主，建筑限高为12米≤H≤24 米。</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kern w:val="2"/>
          <w:sz w:val="32"/>
          <w:szCs w:val="32"/>
          <w:lang w:val="en-US" w:eastAsia="zh-CN" w:bidi="ar-SA"/>
        </w:rPr>
        <w:t>三级控制区：以多层为主，建筑限高为18 米≤H≤24 米。</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0"/>
          <w:sz w:val="32"/>
          <w:szCs w:val="32"/>
          <w:lang w:val="en-US" w:eastAsia="zh-CN"/>
        </w:rPr>
        <w:t>（二）开发建设强度</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规划区内设定3类开发建设强度分区：超低强度区、低强度区以及中低强度区，其中以低强度区为主。</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超低强度区（FAR≤0.3）：主要为临近木色湖水库的度假村地块和已出让的居住地块内。</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低强度区（0.3≤FAR≤0.6）：分布于规划区内大部分区域。</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中低强度区（0.6＜FAR≤1.2）：主要为鹿场旧址地块、娱乐康体中心地块、规划新增居住地块、城镇社区服务设施地块以及已出让且批准规划条件的G02和G03地块。</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2"/>
          <w:sz w:val="32"/>
          <w:szCs w:val="32"/>
          <w:lang w:val="en-US" w:eastAsia="zh-CN" w:bidi="ar-SA"/>
        </w:rPr>
        <w:t>十二、</w:t>
      </w:r>
      <w:r>
        <w:rPr>
          <w:rFonts w:hint="eastAsia" w:ascii="黑体" w:hAnsi="黑体" w:eastAsia="黑体" w:cs="黑体"/>
          <w:b w:val="0"/>
          <w:bCs/>
          <w:kern w:val="0"/>
          <w:sz w:val="32"/>
          <w:szCs w:val="32"/>
          <w:lang w:val="en-US" w:eastAsia="zh-CN" w:bidi="ar-SA"/>
        </w:rPr>
        <w:t>道路交通规划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（一）对外交通</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规划区有两条主要对外联系道路，中线高速通过（枫木互通），另一条海榆中线（G224）国道从规划区内由东至南穿过，将海榆中线进入规划区路段，应设计车辆慢行减速提示牌，设计车速控制为40 km/h。</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（二）内部交通</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规划将区内车行道路分为主路、次路、支路三个等级。</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1.区内主路</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区内主路分别为四种断面形式，其中（A-A、C-C、D-D）道路断面兼顾电瓶车道一并设计：</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A断面，道路红线宽24米，其中中央分隔带宽3米，两侧机动车道各宽7米，两侧人行道各宽3.5米（含树池）。</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B-B断面，道路红线宽18米，机动车道12米双向两车道，两侧人行道各宽3米（含树池）。</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C-C断面，道路红线宽14米，机动车道8米双向两车道，两侧人行道各宽3米（含树池）。</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D-D断面，道路红线宽11.5米，机动车道8米双向两车道，单侧人行道宽3米（含树池）</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2.区内次路</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C-C断面，道路红线宽14米，机动车道8米双向两车道，两侧人行道各宽3米（含树池）。</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E-E断面，道路红线宽12米，机动车道8米双向两车道，两侧人行道各宽2米。</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3.区内支路</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F-F断面，道路红线宽11米，机动车道7米双向两车道，两侧人行道各宽2米。</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G-G断面，道路红线宽9米，机动车道7米双向两车道，两侧人行道各宽2米(其中另一侧结合地块退线空间布置)。</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H-H断面，道路红线宽7米，双向两车道，两侧人行道各宽2米(结合地块退线空间布置)。</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I-I断面，道路红线宽7米，双向两车道。</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（三）停车场规划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1.公共停车场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区内规划社会公共停车场1处，总用地面积约0.35公顷。</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2.配建停车场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其它办公、居住、商业商务、旅馆、娱乐康体服务设施、植物园等设施和功能区域的停车场应按照海南省有关规定配置停车位，以满足酒店、度假住宅自有车辆、自驾游客车辆和临时停车需求为主。</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（四）游览交通规划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1.观光电瓶车游览线路</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电瓶车道结合景区内的部分主要道路设计，在景区设置3个电瓶车起始站，11个主要电瓶车停靠点，实行定时发车、逢站停靠、循环往返的运行模式。</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2.环木色湖游览步道</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串联木色湖周边景点，以休闲、游赏为主要游览步道，道路宽度控制2.0m以上。</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3.步行游览线路</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结合规划区内地形地貌以及独有的资源条件，利用现状并打通原有山路，串联各个景点，以徒步为主的步行游览线路，道路宽度可控制在2.0m以上。</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4.水上游览线路</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在木色湖沿岸共布置4处游船码头，并开辟水上游船观光游览航线。</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5.一般游览线路</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主要结合北部景区的支路与观光电瓶车游览线路以及步行游览线路为主的游览线路，游步道道路宽度控制0.8-2.0m之间。</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十三、竖向规划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道路坡度设计标准参照国家的相关规定，区内主、次干道纵坡不大于5%，区内支路和小区道路纵坡不大于8%，所有道路纵坡不小于3‰。</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规划区场地地形整体呈西北高、东南低。规划结合现状地形和用地布局，在充分考虑满足防洪、分散排水的功能需求的基础上，尽量不对现状地形进行大的改造，减少填挖土石方，降低工程造价。</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场地标高原则上应高于道路标高。当地形条件限制造成场地标高低于道路标高时，其高差应控制在0.5米以内，以保证场地支线管能与干管顺接。</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十四、市政工程规划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（一）给水工程</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规划区内最高日用水量约为0.41万吨/日。根据《屯昌县总体规划（空间类2015-2030）》和《屯昌供水“十三五”规划》的规划，雷公滩水厂供水规模为2.5万吨/日。</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消防供水与生活供水共用一个供水系统，室外给水管径不小于DN100，市政消火栓主要沿市政道路布置。</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配水管网主要采用环状＋枝状管网方式，管道沿车行道路或建设用地边缘埋设，尽量使管道顺直，以减少管道弯曲系数、缩短供水距离、减少水头损失。给水管网按最大秒流量进行平差计算，最不利点要求水压0.28兆帕。</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（二）排水工程</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规划区排水体制为雨、污分流制。</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1.污水工程规划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规划区最高日产生污水量约0.35万吨/日。污水收集与处理规划区的污水经污水管网收集排入枫木污水处理厂处理，规划远期处理规模为1.4万吨/日。</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设4座污水泵站加压后排入镇区污水处理厂，以及4座小型一体化污水处理设施，污水处理达到《城镇污水处理厂污染物排放标准》(GB18918-2002)一级A类要求，可回用作为浇洒景观绿地和补充景观水体等用途，或排放到附近的水体。</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规划区内污水管网采用枝状结构，管道采用重力管道沿道路铺设。</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2.雨水工程规划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根据地形、道路坡向、雨水干管及水体（或排洪沟）的位置来布置雨水管道就近排放。雨水管道在道路西、北侧布置；在竖向布置上，雨水管道的覆土深度应尽量控制在1.2～2.5m之间。</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雨水管沟流态为满流。雨水管道(非金属)最大设计流速为5m/s，最小设计流速为0.75m/s。雨水明渠最大设计流速粘土为1.2m/s,草皮护面为1.6m/s,浆砌块石为3.0m/s，混凝土为 4.0m/s；雨水明渠最小设计流速为0.4m/s。</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管沟断面小于等于1.2m的雨水管道材料采用承插钢筋混凝土排水管，断面大于1.2m的采用钢筋砼底板、盖板，浆砌块石渠壁结构，水泥砂浆抹面暗沟。</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在排水系统中的雨水口、河道自排口及在雨水支管接入市政总管的检查井加装垃圾拦截器，减少面源污染且不影响排水功能，方可排入附近的水体。</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（三）电力工程</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实际用电最大负荷约32MW。依据《屯昌县总体规划（空间类2015-2030）》、《屯昌县“十四五”配电网规划滚动修编》，规划区的用电由现状35KV枫木变电站，以及3座水电站负责供电。规划结合建设用地规模用电量计算，规划将现状枫木35KV升级为110KV变电站，并为远期扩大变电站预留用电面积，规划装机容量为2X40 MVA，以满足和保障供电需求。</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规划区设4座10KV开闭所为本区进行中低压配电。</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单座开闭所转供容量10MVA，4座10KV开闭所间用10KV 联络线连接成环网，互为备用，保证供电安全。</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共建筑集中区域设箱式公用变压器配电。对用电质量和用电安全保障要求高的单位内部修建配电房进行配电，电房宜进线两回路、设变压器两台以上，以满足“N-1”的安全准则。为了减少线损以及保证电压稳定，每个低压配电半径控制在250米以内。</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规划区电缆均埋设在沿道路的电缆沟或管道内，各期道路建设时，应同时完成电缆的铺设，并适当留有余量，避免重复开挖。功能区内部可采用排管管道电缆或直埋电缆。</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电力通道沿线每隔30～50米左右应设电缆井，根据电缆沿线连接的需要，在交叉处、转角处、分支处均应设电缆检查井，电缆管线每隔150米～200米左右需分枝到对面区域，其两侧应设检查井（人井）。</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kern w:val="2"/>
          <w:sz w:val="32"/>
          <w:szCs w:val="32"/>
          <w:lang w:val="en-US" w:eastAsia="zh-CN" w:bidi="ar-SA"/>
        </w:rPr>
        <w:t>（四）电讯工程规划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根据规划人口计算，规划区总固定电话主线为0.98万线，移动电话用户为1.96万户，宽带用户数0.65万户，有线电视用户0.54万户。</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保留西南侧现状综合接入机房，另规划在东南侧规划一座综合接入机房与邮政支局合建，为规划区提供通信与邮政业务服务。推进通讯网、广播电视网、互联网的“三网融合”工程，开展中国移动、中国联通、中国电信三网基站和通信线缆通道的共建工作，建设全面覆盖信息网络、数字化、智能管理的网络景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建设通讯宏基站，在现有4G通讯网络的基础上尽快建立传输速率快、通话与视频质量高、稳定可靠的5G通讯网络，要求边缘数据传输速率要大于144kbps，并且必须做到本区域室内与室外的全面无缝覆盖。</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通信线路均直接敷设在通信管道内，规划干线通信管道容量为12孔，支线通信管道容量为6-12孔。</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规划区内采用交接箱配线，每个交接箱容量以1200～3600对为宜。</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（五）燃气工程规划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规划区用气量Qy=118万标立方米/年，平均3221标立方米/日。</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燃气由枫木燃气气化站提供管道燃气供应。规划区燃气供气采用中、低压两级供气系统。支管进入地块后，各个用气单位、功能区设中低压调压室或用箱式调压器将中压燃气按规定调成低压后再送至各个燃气用户，管道末端压力不小于0.005Mpa。</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规划区内中压燃气管道采用钢管或铸铁管，管网计算按高峰小时用气量计算。管网布置采用环状管网方式，沿区内主要道路铺设在道路的西侧或北侧。</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（六）管线综合平面布局</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雨水、污水管线安排在非机动车道或车行道下，给水、通信、燃气管线安排在人行道或非机动车道下。给水管、电力线原则上在道路东侧或者南侧敷设，通信、燃气管线原则上在道路西侧或者北侧敷设；工程管线均与道路中心线平行，从道路红线向道路中心线方向平行布置的顺序：通信、电力、燃气﹑供热、给水﹑雨水﹑污水、再生水管线。</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2.管线垂直方向布置次序</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管线应当按照以下规定避让：</w:t>
      </w:r>
    </w:p>
    <w:p>
      <w:pPr>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临时管线避让永久管线；</w:t>
      </w:r>
    </w:p>
    <w:p>
      <w:pPr>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小管线避让大管线；</w:t>
      </w:r>
    </w:p>
    <w:p>
      <w:pPr>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压力管线避让重力自流管线；</w:t>
      </w:r>
    </w:p>
    <w:p>
      <w:pPr>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可弯曲管线避让不可弯曲管线；</w:t>
      </w:r>
    </w:p>
    <w:p>
      <w:pPr>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分支管线避让主干管线；</w:t>
      </w:r>
    </w:p>
    <w:p>
      <w:pPr>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技术要求低的管线避让技术要求高的管线。</w:t>
      </w:r>
    </w:p>
    <w:p>
      <w:pPr>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环卫工程规划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规划区远期产生垃圾量为 19.6 吨/日。木色湖水库建设区、蒙贡水库建设区，餐饮街附近以及区内各旅游服务设施用地内，自建垃圾收集点。由小型垃圾收集车统一收集后送至规划区垃圾转运站。</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生活垃圾采用分类收集方式，果皮箱一般沿着街道两边人行道放置，设置间隔一般为：商业街间隔25—50米，其他开发建设区域以及游客集中区域，垃圾箱按每隔60至80米一个的标准进行布置，主要游览道路100米左右，一般游览道路200—400米。</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在规划区东南部区域建1座垃圾转运站，应配置密闭式、压缩式垃圾清运车，从根本上解决垃圾运输途中的二次污染。规划区产生的垃圾通过垃圾转运站送往屯昌县生活垃圾处理场进行处理。</w:t>
      </w:r>
    </w:p>
    <w:p>
      <w:pPr>
        <w:pageBreakBefore w:val="0"/>
        <w:numPr>
          <w:ilvl w:val="0"/>
          <w:numId w:val="4"/>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综合防灾规划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（一）消防工程规划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本规划区由枫木镇一级普通消防站提供消防保障服务。消防用水和生活用水共用同一套给水系统，建设用地区域的消火栓间距要求不超过 120 米，每个消火栓保护半径均控制在 150 米范围之内。连接消火栓的给水管道管径不小于 DN100。规划区内河流、景观水池均可以作为消防的辅助水源。利用现状的水系，分别在木色水库建和蒙贡水库周边设置消防取水口。</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景区内的主要道路分等级作为疏散、抢险救灾通道，并联通中线高速公路作为快速应急救援通道。规划区内公园绿地以及空旷地区作为应急避难场所。</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（二）森林防火规划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加强组织领导，建立健全森林护林防火组织机构。建立健全风景区护林防火制度，完善森林防火工程建设。</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（三）防洪措施规划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木色水库、蒙贡水库边上的建设用地设计高程应在相应水库的设计洪水位线以上，且留有0.5米以上的余量，便于涝水排出。根据本县水务部门对木色水库、蒙贡水库防洪堤的设防要求，在水库沿岸的建设地段，加强防洪堤建设，确保水库堤防安全，避免造成游客、居民等伤害和损失。</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各类建设项目有涉及到跨河、穿河、穿堤、临河的桥梁、构建物，敷设管道、电缆、码头、道路、排水等工程建设方案应征求相关水行政主管部门的意见，如其工程建设方案未经有关水行政主管部门根据防洪要求审查同意的，建设单位不得开工建设。</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（四）水库泄洪通道规划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木色水库、蒙贡水库下游泄洪通道堤围脚外20-50米以内区域为护堤地，从设计洪水位线向外延伸50米以内区域为河道岸线安全保护区。泄洪通道区域周边建设用地必须后退河道及泄洪通道30米以上，避开行洪区域，河段应保持自然排洪状态。对泄洪道沿岸进行必要的控制，严禁修建构筑物、开挖鱼塘、种植乔木等有碍泄洪的一切活动。</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（五）截洪沟规划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在工程设计和建设阶段，应根据实地调查的山坡土质、坡度、植被及径流计算，综合分析可能产生冲蚀的危害，设置截洪沟。</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（六）地质灾害规划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实行工程建设项目地质灾害危险性评估制度，规划建设用地避开山体崩塌、滑坡、泥石流等地质灾害区。坚持预防为主原则，加强生态保护，禁止开山采石、乱砍滥伐行为，维持地形地貌与地质的稳定性。规划道路尽量利用现有道路，建筑要求根据地形修建，不大动土方，避免人为因素引发山体滑坡和塌方。</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规划的建设用地应远离冲沟、陡坎的缓坡上，避开危险区域。存在危险的路段与区域必须采用生物治理措施、工程治理措施，或两者相结合的措施进行加固治理。</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存在有可能发生地质灾害的景点和游览路线上，必须采取相应的防治措施以确保游客安全。并宣传普及地质环境保护和地质灾害防治知识。</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地质灾害易发区内进行工程建设应当在可行性研究阶段进行地质灾害危险性评估，并将评估结果作为可行性研究报告的组成部分；可行性研究报告未包含地质灾害危险性评估结果的，不得批准其可行性研究报告。</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地质灾害危险性评估单位进行评估时，应当对建设工程遭受地质灾害危害的可能性和该工程建设中、建成后引发地质灾害的可能性做出评价，提出具体的预防治理措施，并对评估结果负责。</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（七）防风，防雷雨规划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规划要求规划区内所有新建建筑均要考虑抗台风设计，并对抗风能力不强的建筑进行加固。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建立气象信息接收终端，并在景区入口处等醒目的位置设置雷电预警信息告示牌，将气象部门发布的雷雨信息在告示牌处进行公布，提醒游客注意防范雷电。</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建(构)筑物、弱电设施的防雷装置要严格按照相关设计规范要求配备齐全。对于新建项目的防雷装置要严格按照《防雷减灾管理办法》的程序要求运作，设计图纸经过审查合格后方可施工；施工中从基础接地体到防雷接闪器及过电压保护装置等都要按照图纸要求安装；工程竣工后要经过验收，合格后方可投入使用。</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（八）防震规划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本区地震烈度为6度区，属于应设防的地震等级。规划区内的公园绿地及空旷地可作为应急疏散场所。</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（九）人防规划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在保证掩蔽所服务半径的情况下，结合本区大型公建地下室集中设置甲类二等人员掩蔽所。人防设施应按《人民防空地下室设计规范》(GB50038-2005)规定进行建设，掩蔽所在平面布置、结构选型、通风防潮、给水排水和供电照明等方面，应按照平战结合的原则，采取相应措施使其确保战备效益的前提下，充分发挥社会效益和经济效益，人员掩蔽所面积按1.0平米/人配置。</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十六、生态环境保护规划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（一）大气环境质量控制</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规划区执行的环境空气功能区二类区标准。环境空气污染物基本浓度排放按二级浓度限值控制。</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（二）水环境质量保护</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内临近木色水库、蒙贡水库的周边建设用地，按照《海南省河道和水工程管理保护范围标准》管理要求，规划用地均退河湖管理范围线外建设，禁止将生活垃圾、生活污水，直接排入水体，污染、破坏水环境等行为，违者由相应部门进行追究处罚。</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为了保障木色水库、蒙贡水库的水质质量，严控规划区内的污水排放，严格执行雨污分流排水体制，规划区内建设用地所产生的污水通过污水管网收集后排至污水处理厂处理，另外，木色水库北部与蒙贡水库北部周边的建设用地，由于地势高差的原因，需单独建设小型污水一体化处理设施，污水处理达到《城镇污水处理厂污染物排放标准》(GB18918-2002)一级A类要求，可回用作为浇洒景观绿地和补充景观水体等用途，或排放到附近的水体。</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在敏感地段建立水质安全预警系统，定期发布水质监测信息，保证水体水质稳定达到规定要求。同时对游船进行定时检测，防治游船对河流水体造成污染，完善环卫系统，加强环境整治。</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河湖水系周边的村庄、建设用地和景点需设垃圾果皮箱以及公厕，避免垃圾污染水源，并加强周边村庄环境卫生的整治与环境卫生宣传。</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（三）水库保护规划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木色湖水库保护管控要求：依据屯昌县河道管理范围线的规划，在木色水库划定的水库管理范围线内，除必要保护水体和防洪工程设施建设需要外，对于建设桥梁、码头和其他拦河、跨河、临河等建筑物，铺设跨河管道、缆线应当符合国家规定要求。严禁擅自建设各类排污设施，堆放、倾倒、掩埋或排放污染水体的物质，危害水源安全的活动。</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蒙贡水库保护管控要求：蒙贡水库属于小型水库，根据《海南省河道和水工程管理保护范围标准》，按水库设计洪水位线向外延伸 50 米为水库的保护范围线，不得在保护范围内进行建设。</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（四）环境质量控制划定</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规划区声环境功能区划为2类区。白天执行60分贝，夜间执行50分贝。</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（五）林地保护规划</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严禁采伐、破坏规划区内的林地，加强植被资源保护，协调好与周围村民的关系，普及生态环境保护宣传教育，提高村民意识，避免村民因砍柴、放牧、烧田坎等对植被造成的破坏。对规划区内修建造成周围植被的破坏，建路、修建旅游度假设施而对环境造成的破坏应及时通过造林绿化进行修复。</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十七、总体管控规划</w:t>
      </w:r>
    </w:p>
    <w:p>
      <w:pPr>
        <w:pageBreakBefore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城市道路红线控制</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道路红线按规划确定，依法定程序批准后，不得随意调整和更改，在实施过程中如确需调整，应按规划有关程序审查批准后方可进行调整。</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任何单位和个人不得占用城市红线进行建设，城市红线内各种标志、广告牌等经规划行政主管部门审查批准后方可设置。</w:t>
      </w:r>
    </w:p>
    <w:p>
      <w:pPr>
        <w:pageBreakBefore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城市绿线控制</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城市绿线范围内的公园绿地、防护绿地、居住区绿地、附属绿地、道路绿地等，必须按照《城市用地分类与规划建设用地标准（GB50137—2011）》等标准，进行绿地建设。城市绿线内的用地，不得改作他用，不得违反法律法规、强制性标准以及批准的规划进行开发建设。有关部门不得违反规定，批准在城市绿线范围内进行建设。因建设或者其它特殊情况，需要临时占用城市绿线内用地的，必须依法办理相关审批手续。在城市绿线范围内，不符合规划要求的建筑物、构筑物及其它设施应当限期迁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任何单位和个人不得在城市绿地范围内进行拦河截溪、取土采石、设置垃圾堆场、排放污水以及其它对生态环境构成破坏的活动。</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近期不进行绿化建设的规划绿地范围内的建设活动，应当进行生态环境影响分析，并按照《中华人民共和国城乡规划法（2019 修正）》的规定，予以严格控制。</w:t>
      </w:r>
    </w:p>
    <w:p>
      <w:pPr>
        <w:pageBreakBefore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城市蓝线控制</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严格控制新城边界形态，不得随意扩展侵占水体。在蓝线控制区内的陆域内不得建设除防洪排涝必须的设施以外的任何其它建（构）筑物。任何单位和个人不得向水体排污、投放垃圾。</w:t>
      </w:r>
    </w:p>
    <w:p>
      <w:pPr>
        <w:pageBreakBefore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城市黄线控制</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在城市黄线内进行建设活动，应当贯彻安全、高效、经济的方针，处理好近远期关系，根据城市发展的实际需要，分期有序实施。</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城市黄线范围内禁止进行下列活动：违反城市规划要求，进行建筑物、构筑物及其它设施的建设；违反国家有关技术标准和规范进行建设；未经批准，改装、迁移或拆毁原有城市基础设施；其它损坏城市基础设施或影响城市基础设施安全和正常运转的行为。</w:t>
      </w:r>
    </w:p>
    <w:p>
      <w:pPr>
        <w:pageBreakBefore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禁止建设区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面积为36.65公顷，约占规划区总面积的9.31%。主要为二级林地、滩涂、基本农田、国道（G224）两侧绿化防护带等用地、水库退界控制线范围及高压电力线走廊范围。</w:t>
      </w:r>
    </w:p>
    <w:p>
      <w:pPr>
        <w:pageBreakBefore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限制建设区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面积为149.99公顷，约占规划区总面积的38.10%。主要为三级林地、自然保留地等用地。这些区域开发时需采取一定的工程措施改善建设条件，且只能在不破坏生态环境的基础上进行适度开发。</w:t>
      </w:r>
    </w:p>
    <w:p>
      <w:pPr>
        <w:pageBreakBefore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适宜建设区</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面积为206.99公顷，约占规划区总面积的52.58%。主要为规划建设用地、村庄建设用地等。这些区域用地工程环境较为优越，能适应各项建设需要。</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十八、公示图纸目录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1.区位分析图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2.现状综合分析图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3.区域功能协调及分区图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4.地块管控用地规划图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5.道路交通规划图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6.道路断面规划图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7.景点及区域游赏协调规划图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8.区域游览交通协调规划图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9.区域公共及旅游服务设施协调规划图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10.居民点管控及协调发展规划图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11.景观风貌分析图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12.道路工程规划图1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13.道路工程规划图2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14.给水工程规划图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15.污水工程规划图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16.雨水工程规划图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17.电力工程规划图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18.电信工程规划图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19.燃气工程规划图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20.管线综合断面图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21.综合防灾规划图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22.环境保护规划图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23.空间管制规划图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24.绿线界定图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25.蓝线界定图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26.黄线界定图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27.开发强度控制规划图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28.建筑密度控制图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29.建筑高度控制图</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88B1A"/>
    <w:multiLevelType w:val="singleLevel"/>
    <w:tmpl w:val="F6D88B1A"/>
    <w:lvl w:ilvl="0" w:tentative="0">
      <w:start w:val="1"/>
      <w:numFmt w:val="chineseCounting"/>
      <w:suff w:val="nothing"/>
      <w:lvlText w:val="（%1）"/>
      <w:lvlJc w:val="left"/>
      <w:rPr>
        <w:rFonts w:hint="eastAsia"/>
      </w:rPr>
    </w:lvl>
  </w:abstractNum>
  <w:abstractNum w:abstractNumId="1">
    <w:nsid w:val="04BA350C"/>
    <w:multiLevelType w:val="singleLevel"/>
    <w:tmpl w:val="04BA350C"/>
    <w:lvl w:ilvl="0" w:tentative="0">
      <w:start w:val="1"/>
      <w:numFmt w:val="chineseCounting"/>
      <w:suff w:val="nothing"/>
      <w:lvlText w:val="（%1）"/>
      <w:lvlJc w:val="left"/>
      <w:rPr>
        <w:rFonts w:hint="eastAsia"/>
      </w:rPr>
    </w:lvl>
  </w:abstractNum>
  <w:abstractNum w:abstractNumId="2">
    <w:nsid w:val="1FE954EB"/>
    <w:multiLevelType w:val="singleLevel"/>
    <w:tmpl w:val="1FE954EB"/>
    <w:lvl w:ilvl="0" w:tentative="0">
      <w:start w:val="1"/>
      <w:numFmt w:val="decimal"/>
      <w:suff w:val="nothing"/>
      <w:lvlText w:val="（%1）"/>
      <w:lvlJc w:val="left"/>
    </w:lvl>
  </w:abstractNum>
  <w:abstractNum w:abstractNumId="3">
    <w:nsid w:val="3E231D2E"/>
    <w:multiLevelType w:val="singleLevel"/>
    <w:tmpl w:val="3E231D2E"/>
    <w:lvl w:ilvl="0" w:tentative="0">
      <w:start w:val="1"/>
      <w:numFmt w:val="chineseCounting"/>
      <w:suff w:val="nothing"/>
      <w:lvlText w:val="（%1）"/>
      <w:lvlJc w:val="left"/>
      <w:rPr>
        <w:rFonts w:hint="eastAsia"/>
      </w:rPr>
    </w:lvl>
  </w:abstractNum>
  <w:abstractNum w:abstractNumId="4">
    <w:nsid w:val="6FBEE95E"/>
    <w:multiLevelType w:val="singleLevel"/>
    <w:tmpl w:val="6FBEE95E"/>
    <w:lvl w:ilvl="0" w:tentative="0">
      <w:start w:val="15"/>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B2340"/>
    <w:rsid w:val="00001130"/>
    <w:rsid w:val="000E6A63"/>
    <w:rsid w:val="001839EF"/>
    <w:rsid w:val="002264FD"/>
    <w:rsid w:val="002B32B0"/>
    <w:rsid w:val="00347F23"/>
    <w:rsid w:val="00353DA2"/>
    <w:rsid w:val="004F5CD6"/>
    <w:rsid w:val="00690F7A"/>
    <w:rsid w:val="006D5710"/>
    <w:rsid w:val="006D7DF7"/>
    <w:rsid w:val="007A1273"/>
    <w:rsid w:val="00925C4A"/>
    <w:rsid w:val="00993AB5"/>
    <w:rsid w:val="00A144E4"/>
    <w:rsid w:val="00A73E76"/>
    <w:rsid w:val="00B750B8"/>
    <w:rsid w:val="00B77C7E"/>
    <w:rsid w:val="00B97093"/>
    <w:rsid w:val="00C30A56"/>
    <w:rsid w:val="00DF3AEF"/>
    <w:rsid w:val="00ED5EF7"/>
    <w:rsid w:val="00F31724"/>
    <w:rsid w:val="00F4097E"/>
    <w:rsid w:val="01035EDE"/>
    <w:rsid w:val="0106002C"/>
    <w:rsid w:val="010F1671"/>
    <w:rsid w:val="01185D94"/>
    <w:rsid w:val="011E31E6"/>
    <w:rsid w:val="012518A5"/>
    <w:rsid w:val="013554B6"/>
    <w:rsid w:val="01381CD1"/>
    <w:rsid w:val="013D1EA4"/>
    <w:rsid w:val="01497478"/>
    <w:rsid w:val="01547E40"/>
    <w:rsid w:val="015757D1"/>
    <w:rsid w:val="015D7CB4"/>
    <w:rsid w:val="016937FB"/>
    <w:rsid w:val="01832E89"/>
    <w:rsid w:val="01913262"/>
    <w:rsid w:val="019C66AD"/>
    <w:rsid w:val="01AD1F8D"/>
    <w:rsid w:val="01B259F2"/>
    <w:rsid w:val="01B7705F"/>
    <w:rsid w:val="01D344ED"/>
    <w:rsid w:val="01E86651"/>
    <w:rsid w:val="01FB087E"/>
    <w:rsid w:val="0208306D"/>
    <w:rsid w:val="020B1589"/>
    <w:rsid w:val="021F0350"/>
    <w:rsid w:val="0225415F"/>
    <w:rsid w:val="022D361D"/>
    <w:rsid w:val="022E0B68"/>
    <w:rsid w:val="022F036A"/>
    <w:rsid w:val="022F4E57"/>
    <w:rsid w:val="02330030"/>
    <w:rsid w:val="02334A01"/>
    <w:rsid w:val="023B2340"/>
    <w:rsid w:val="02490EF9"/>
    <w:rsid w:val="024E1737"/>
    <w:rsid w:val="02577231"/>
    <w:rsid w:val="025D297A"/>
    <w:rsid w:val="02606EDD"/>
    <w:rsid w:val="02654905"/>
    <w:rsid w:val="026F6A78"/>
    <w:rsid w:val="02720742"/>
    <w:rsid w:val="02762C8B"/>
    <w:rsid w:val="028476DD"/>
    <w:rsid w:val="02990AFB"/>
    <w:rsid w:val="02A6454A"/>
    <w:rsid w:val="02A7305D"/>
    <w:rsid w:val="02AA3082"/>
    <w:rsid w:val="02AF1306"/>
    <w:rsid w:val="02B40EE5"/>
    <w:rsid w:val="02C42799"/>
    <w:rsid w:val="02C65FED"/>
    <w:rsid w:val="02DF1776"/>
    <w:rsid w:val="02EB733D"/>
    <w:rsid w:val="02FE0871"/>
    <w:rsid w:val="0305340E"/>
    <w:rsid w:val="030566DB"/>
    <w:rsid w:val="031E3906"/>
    <w:rsid w:val="031F3D02"/>
    <w:rsid w:val="032665DE"/>
    <w:rsid w:val="032A51D5"/>
    <w:rsid w:val="032E31FD"/>
    <w:rsid w:val="03357811"/>
    <w:rsid w:val="0338131C"/>
    <w:rsid w:val="03437B92"/>
    <w:rsid w:val="03616FB9"/>
    <w:rsid w:val="0371757D"/>
    <w:rsid w:val="037323FF"/>
    <w:rsid w:val="03821EC5"/>
    <w:rsid w:val="03855799"/>
    <w:rsid w:val="03873869"/>
    <w:rsid w:val="038E2496"/>
    <w:rsid w:val="03981679"/>
    <w:rsid w:val="03A31B07"/>
    <w:rsid w:val="03A9252B"/>
    <w:rsid w:val="03B169FC"/>
    <w:rsid w:val="03B535A3"/>
    <w:rsid w:val="03B54900"/>
    <w:rsid w:val="03B5624E"/>
    <w:rsid w:val="03BD40DF"/>
    <w:rsid w:val="03D1662E"/>
    <w:rsid w:val="03E41CF5"/>
    <w:rsid w:val="03EB377E"/>
    <w:rsid w:val="03EC2560"/>
    <w:rsid w:val="04073AD9"/>
    <w:rsid w:val="041B50F2"/>
    <w:rsid w:val="041F2EBB"/>
    <w:rsid w:val="04213A43"/>
    <w:rsid w:val="042C0D2F"/>
    <w:rsid w:val="042F5DCB"/>
    <w:rsid w:val="042F75D8"/>
    <w:rsid w:val="0434095E"/>
    <w:rsid w:val="043712DE"/>
    <w:rsid w:val="046F34DE"/>
    <w:rsid w:val="04705502"/>
    <w:rsid w:val="047926A5"/>
    <w:rsid w:val="047B7827"/>
    <w:rsid w:val="0488678E"/>
    <w:rsid w:val="048D33D6"/>
    <w:rsid w:val="049B2F20"/>
    <w:rsid w:val="04AD1F6D"/>
    <w:rsid w:val="04B31F48"/>
    <w:rsid w:val="04C20A5A"/>
    <w:rsid w:val="04D323DF"/>
    <w:rsid w:val="04D43033"/>
    <w:rsid w:val="04E54414"/>
    <w:rsid w:val="04F46C2C"/>
    <w:rsid w:val="05061E47"/>
    <w:rsid w:val="05241FD2"/>
    <w:rsid w:val="05284D92"/>
    <w:rsid w:val="05335E80"/>
    <w:rsid w:val="05381323"/>
    <w:rsid w:val="054B026E"/>
    <w:rsid w:val="054C56A7"/>
    <w:rsid w:val="055D0C5A"/>
    <w:rsid w:val="056374F7"/>
    <w:rsid w:val="057108F5"/>
    <w:rsid w:val="057F6CAE"/>
    <w:rsid w:val="05820FF1"/>
    <w:rsid w:val="059B1DA2"/>
    <w:rsid w:val="059D172C"/>
    <w:rsid w:val="05A11762"/>
    <w:rsid w:val="05A73C23"/>
    <w:rsid w:val="05AB5D2A"/>
    <w:rsid w:val="05AC0647"/>
    <w:rsid w:val="05B24A62"/>
    <w:rsid w:val="05C65C7E"/>
    <w:rsid w:val="05CF58DB"/>
    <w:rsid w:val="05D45942"/>
    <w:rsid w:val="05D94A66"/>
    <w:rsid w:val="05DE5E58"/>
    <w:rsid w:val="05E339BE"/>
    <w:rsid w:val="05E54DDF"/>
    <w:rsid w:val="05F7032C"/>
    <w:rsid w:val="05FB14B5"/>
    <w:rsid w:val="06170B1D"/>
    <w:rsid w:val="061E1EFE"/>
    <w:rsid w:val="0626082D"/>
    <w:rsid w:val="062A286A"/>
    <w:rsid w:val="062A5900"/>
    <w:rsid w:val="06303102"/>
    <w:rsid w:val="06317140"/>
    <w:rsid w:val="06426525"/>
    <w:rsid w:val="06444FF6"/>
    <w:rsid w:val="065B6683"/>
    <w:rsid w:val="0662310F"/>
    <w:rsid w:val="06701E32"/>
    <w:rsid w:val="06727369"/>
    <w:rsid w:val="067275ED"/>
    <w:rsid w:val="06920794"/>
    <w:rsid w:val="06967A9D"/>
    <w:rsid w:val="06A032E7"/>
    <w:rsid w:val="06A03ECC"/>
    <w:rsid w:val="06A31B68"/>
    <w:rsid w:val="06D70DF3"/>
    <w:rsid w:val="06E76444"/>
    <w:rsid w:val="06E87986"/>
    <w:rsid w:val="06EA6DD7"/>
    <w:rsid w:val="06ED081F"/>
    <w:rsid w:val="06EE6811"/>
    <w:rsid w:val="06F86FB1"/>
    <w:rsid w:val="06FA2843"/>
    <w:rsid w:val="06FD4048"/>
    <w:rsid w:val="07012791"/>
    <w:rsid w:val="070C7F13"/>
    <w:rsid w:val="07150A96"/>
    <w:rsid w:val="07164D45"/>
    <w:rsid w:val="071A3CB8"/>
    <w:rsid w:val="07290490"/>
    <w:rsid w:val="072B383A"/>
    <w:rsid w:val="074018C4"/>
    <w:rsid w:val="07434434"/>
    <w:rsid w:val="074C5830"/>
    <w:rsid w:val="07533AE5"/>
    <w:rsid w:val="075C27DE"/>
    <w:rsid w:val="07637684"/>
    <w:rsid w:val="0765603B"/>
    <w:rsid w:val="07697F89"/>
    <w:rsid w:val="0781495B"/>
    <w:rsid w:val="079558BE"/>
    <w:rsid w:val="079936C7"/>
    <w:rsid w:val="079A5FB8"/>
    <w:rsid w:val="079D6CCE"/>
    <w:rsid w:val="07AC2CD8"/>
    <w:rsid w:val="07B85788"/>
    <w:rsid w:val="07B967CF"/>
    <w:rsid w:val="07C6267F"/>
    <w:rsid w:val="07CB33B5"/>
    <w:rsid w:val="07D13199"/>
    <w:rsid w:val="07D21EC5"/>
    <w:rsid w:val="07D30961"/>
    <w:rsid w:val="07D67673"/>
    <w:rsid w:val="07E52B0F"/>
    <w:rsid w:val="07E80A79"/>
    <w:rsid w:val="07EA54CB"/>
    <w:rsid w:val="07F00CFE"/>
    <w:rsid w:val="07F21C88"/>
    <w:rsid w:val="07F4235D"/>
    <w:rsid w:val="07FA6939"/>
    <w:rsid w:val="07FA6E30"/>
    <w:rsid w:val="07FA6E8A"/>
    <w:rsid w:val="082C7F2D"/>
    <w:rsid w:val="08320B85"/>
    <w:rsid w:val="08367C98"/>
    <w:rsid w:val="084D0B75"/>
    <w:rsid w:val="084E2BD1"/>
    <w:rsid w:val="08540424"/>
    <w:rsid w:val="085706AC"/>
    <w:rsid w:val="085A148C"/>
    <w:rsid w:val="08672BE7"/>
    <w:rsid w:val="086D7962"/>
    <w:rsid w:val="088723CC"/>
    <w:rsid w:val="08B25A6F"/>
    <w:rsid w:val="08CA19B3"/>
    <w:rsid w:val="08D07DFF"/>
    <w:rsid w:val="08E4011E"/>
    <w:rsid w:val="08EE5E07"/>
    <w:rsid w:val="08F455DE"/>
    <w:rsid w:val="090B36F0"/>
    <w:rsid w:val="09151472"/>
    <w:rsid w:val="09173182"/>
    <w:rsid w:val="091C2878"/>
    <w:rsid w:val="09253C81"/>
    <w:rsid w:val="09322226"/>
    <w:rsid w:val="094A40D6"/>
    <w:rsid w:val="0957326F"/>
    <w:rsid w:val="09676237"/>
    <w:rsid w:val="09756BC0"/>
    <w:rsid w:val="098F78A0"/>
    <w:rsid w:val="09A135EF"/>
    <w:rsid w:val="09B74C72"/>
    <w:rsid w:val="09B83D14"/>
    <w:rsid w:val="09BC1F04"/>
    <w:rsid w:val="09BD21DE"/>
    <w:rsid w:val="09CA5707"/>
    <w:rsid w:val="09CD6604"/>
    <w:rsid w:val="09D2452B"/>
    <w:rsid w:val="09D74083"/>
    <w:rsid w:val="09DC4922"/>
    <w:rsid w:val="0A0718B2"/>
    <w:rsid w:val="0A107493"/>
    <w:rsid w:val="0A1A1BF6"/>
    <w:rsid w:val="0A211DE9"/>
    <w:rsid w:val="0A230B22"/>
    <w:rsid w:val="0A25425B"/>
    <w:rsid w:val="0A2C5CE7"/>
    <w:rsid w:val="0A315782"/>
    <w:rsid w:val="0A336637"/>
    <w:rsid w:val="0A4713E3"/>
    <w:rsid w:val="0A492B78"/>
    <w:rsid w:val="0A495A9D"/>
    <w:rsid w:val="0A7C201F"/>
    <w:rsid w:val="0A7D1954"/>
    <w:rsid w:val="0A831325"/>
    <w:rsid w:val="0A9C4B52"/>
    <w:rsid w:val="0ABE608E"/>
    <w:rsid w:val="0AC05CD7"/>
    <w:rsid w:val="0ACC0AED"/>
    <w:rsid w:val="0ACC7B8A"/>
    <w:rsid w:val="0AD056C6"/>
    <w:rsid w:val="0AD80D76"/>
    <w:rsid w:val="0AD97642"/>
    <w:rsid w:val="0B076843"/>
    <w:rsid w:val="0B140CBE"/>
    <w:rsid w:val="0B1C75EC"/>
    <w:rsid w:val="0B2F0918"/>
    <w:rsid w:val="0B2F585E"/>
    <w:rsid w:val="0B362DF0"/>
    <w:rsid w:val="0B39283B"/>
    <w:rsid w:val="0B405BA8"/>
    <w:rsid w:val="0B433C33"/>
    <w:rsid w:val="0B442D10"/>
    <w:rsid w:val="0B533B7C"/>
    <w:rsid w:val="0B560D0B"/>
    <w:rsid w:val="0B577C7B"/>
    <w:rsid w:val="0B5D044D"/>
    <w:rsid w:val="0B5F0DC2"/>
    <w:rsid w:val="0B6F7171"/>
    <w:rsid w:val="0B7545E0"/>
    <w:rsid w:val="0B7C001A"/>
    <w:rsid w:val="0B7C7E34"/>
    <w:rsid w:val="0B8B78EA"/>
    <w:rsid w:val="0B9531BC"/>
    <w:rsid w:val="0BA37386"/>
    <w:rsid w:val="0BA547DF"/>
    <w:rsid w:val="0BA922A0"/>
    <w:rsid w:val="0BB164DB"/>
    <w:rsid w:val="0BC01ED3"/>
    <w:rsid w:val="0BC651F6"/>
    <w:rsid w:val="0BCD2B9B"/>
    <w:rsid w:val="0BD82EE1"/>
    <w:rsid w:val="0BDE4759"/>
    <w:rsid w:val="0BDE62FE"/>
    <w:rsid w:val="0BF16B02"/>
    <w:rsid w:val="0C0F5FF7"/>
    <w:rsid w:val="0C3257E0"/>
    <w:rsid w:val="0C3E6504"/>
    <w:rsid w:val="0C3F305C"/>
    <w:rsid w:val="0C434E8F"/>
    <w:rsid w:val="0C4C21C1"/>
    <w:rsid w:val="0C4E3A46"/>
    <w:rsid w:val="0C551CFA"/>
    <w:rsid w:val="0C5D1DE0"/>
    <w:rsid w:val="0C665860"/>
    <w:rsid w:val="0C6A0CA2"/>
    <w:rsid w:val="0C6D31B2"/>
    <w:rsid w:val="0C765BB9"/>
    <w:rsid w:val="0C9036F1"/>
    <w:rsid w:val="0C930651"/>
    <w:rsid w:val="0CA75DE4"/>
    <w:rsid w:val="0CC82EDE"/>
    <w:rsid w:val="0CCD330F"/>
    <w:rsid w:val="0CFC7549"/>
    <w:rsid w:val="0D00310B"/>
    <w:rsid w:val="0D080151"/>
    <w:rsid w:val="0D0A31E1"/>
    <w:rsid w:val="0D1F70AC"/>
    <w:rsid w:val="0D28163A"/>
    <w:rsid w:val="0D343D60"/>
    <w:rsid w:val="0D5A152C"/>
    <w:rsid w:val="0D5B5D35"/>
    <w:rsid w:val="0D5E3221"/>
    <w:rsid w:val="0D64285D"/>
    <w:rsid w:val="0D6D14FC"/>
    <w:rsid w:val="0D78081A"/>
    <w:rsid w:val="0D7D693D"/>
    <w:rsid w:val="0D9E48C2"/>
    <w:rsid w:val="0D9F2638"/>
    <w:rsid w:val="0DA3340A"/>
    <w:rsid w:val="0DA8762F"/>
    <w:rsid w:val="0DAC0DEB"/>
    <w:rsid w:val="0DBC0F6D"/>
    <w:rsid w:val="0DBC11B9"/>
    <w:rsid w:val="0DC302E4"/>
    <w:rsid w:val="0DC86EA8"/>
    <w:rsid w:val="0DCD732A"/>
    <w:rsid w:val="0DDC23B2"/>
    <w:rsid w:val="0DE429B0"/>
    <w:rsid w:val="0DF37418"/>
    <w:rsid w:val="0DF82B48"/>
    <w:rsid w:val="0E0026CB"/>
    <w:rsid w:val="0E041EEB"/>
    <w:rsid w:val="0E0F7D52"/>
    <w:rsid w:val="0E1B310B"/>
    <w:rsid w:val="0E485A99"/>
    <w:rsid w:val="0E4D1D32"/>
    <w:rsid w:val="0E582AAF"/>
    <w:rsid w:val="0E857460"/>
    <w:rsid w:val="0E9E2258"/>
    <w:rsid w:val="0EAF3CB7"/>
    <w:rsid w:val="0EB23E70"/>
    <w:rsid w:val="0EB542CB"/>
    <w:rsid w:val="0EC237D6"/>
    <w:rsid w:val="0ED74A4E"/>
    <w:rsid w:val="0EDE209A"/>
    <w:rsid w:val="0F0961DD"/>
    <w:rsid w:val="0F100715"/>
    <w:rsid w:val="0F2B5A93"/>
    <w:rsid w:val="0F380394"/>
    <w:rsid w:val="0F470D93"/>
    <w:rsid w:val="0F4F11A7"/>
    <w:rsid w:val="0F521E50"/>
    <w:rsid w:val="0F5302A1"/>
    <w:rsid w:val="0F531230"/>
    <w:rsid w:val="0F5A22F2"/>
    <w:rsid w:val="0F5B1683"/>
    <w:rsid w:val="0F620438"/>
    <w:rsid w:val="0F674530"/>
    <w:rsid w:val="0F7854C8"/>
    <w:rsid w:val="0F7A4F65"/>
    <w:rsid w:val="0F8148D1"/>
    <w:rsid w:val="0F924E74"/>
    <w:rsid w:val="0F9D515A"/>
    <w:rsid w:val="0FA3571E"/>
    <w:rsid w:val="0FAE329D"/>
    <w:rsid w:val="0FBF0EFD"/>
    <w:rsid w:val="0FD378F6"/>
    <w:rsid w:val="0FE64066"/>
    <w:rsid w:val="0FEA5E15"/>
    <w:rsid w:val="0FF61EE7"/>
    <w:rsid w:val="0FFE2DB6"/>
    <w:rsid w:val="10080C43"/>
    <w:rsid w:val="10086D56"/>
    <w:rsid w:val="1009024F"/>
    <w:rsid w:val="10092CA5"/>
    <w:rsid w:val="100E5381"/>
    <w:rsid w:val="101817E8"/>
    <w:rsid w:val="101C4039"/>
    <w:rsid w:val="102409D1"/>
    <w:rsid w:val="102D582B"/>
    <w:rsid w:val="10303174"/>
    <w:rsid w:val="103C0280"/>
    <w:rsid w:val="103E44ED"/>
    <w:rsid w:val="10436134"/>
    <w:rsid w:val="104E36AE"/>
    <w:rsid w:val="1065509E"/>
    <w:rsid w:val="107002D3"/>
    <w:rsid w:val="1079027B"/>
    <w:rsid w:val="107A61AB"/>
    <w:rsid w:val="10820527"/>
    <w:rsid w:val="10914C16"/>
    <w:rsid w:val="10970E5B"/>
    <w:rsid w:val="10B371AE"/>
    <w:rsid w:val="10BB622E"/>
    <w:rsid w:val="10BE07A1"/>
    <w:rsid w:val="10BE7489"/>
    <w:rsid w:val="10C97A03"/>
    <w:rsid w:val="10D345D1"/>
    <w:rsid w:val="10D819A2"/>
    <w:rsid w:val="10D9731D"/>
    <w:rsid w:val="10E83567"/>
    <w:rsid w:val="10F70EA3"/>
    <w:rsid w:val="10F94387"/>
    <w:rsid w:val="11112E15"/>
    <w:rsid w:val="11113251"/>
    <w:rsid w:val="11123A05"/>
    <w:rsid w:val="113433E7"/>
    <w:rsid w:val="11396F7C"/>
    <w:rsid w:val="113C7B3E"/>
    <w:rsid w:val="114730B7"/>
    <w:rsid w:val="11522CBA"/>
    <w:rsid w:val="1166217B"/>
    <w:rsid w:val="11673297"/>
    <w:rsid w:val="11682EEC"/>
    <w:rsid w:val="11700FFA"/>
    <w:rsid w:val="11772B82"/>
    <w:rsid w:val="11822B28"/>
    <w:rsid w:val="11A95C48"/>
    <w:rsid w:val="11C3466C"/>
    <w:rsid w:val="11CC0396"/>
    <w:rsid w:val="11CE1D13"/>
    <w:rsid w:val="11D445B9"/>
    <w:rsid w:val="11E3568B"/>
    <w:rsid w:val="11E4471F"/>
    <w:rsid w:val="11F74025"/>
    <w:rsid w:val="11FA6B3D"/>
    <w:rsid w:val="120B73A7"/>
    <w:rsid w:val="12140567"/>
    <w:rsid w:val="1214442C"/>
    <w:rsid w:val="121B64FE"/>
    <w:rsid w:val="1221412E"/>
    <w:rsid w:val="122B519C"/>
    <w:rsid w:val="122C2DAE"/>
    <w:rsid w:val="122C61FB"/>
    <w:rsid w:val="124D615D"/>
    <w:rsid w:val="124F09F4"/>
    <w:rsid w:val="12506730"/>
    <w:rsid w:val="125446F6"/>
    <w:rsid w:val="12547B4C"/>
    <w:rsid w:val="125A053E"/>
    <w:rsid w:val="126C5422"/>
    <w:rsid w:val="126D2B16"/>
    <w:rsid w:val="1296312A"/>
    <w:rsid w:val="12A00A36"/>
    <w:rsid w:val="12A03EE0"/>
    <w:rsid w:val="12A86E93"/>
    <w:rsid w:val="12AC1748"/>
    <w:rsid w:val="12C329D0"/>
    <w:rsid w:val="12C5730A"/>
    <w:rsid w:val="12D2443B"/>
    <w:rsid w:val="12D4661A"/>
    <w:rsid w:val="12D8727E"/>
    <w:rsid w:val="12D918F7"/>
    <w:rsid w:val="12DD68EB"/>
    <w:rsid w:val="12E06AE7"/>
    <w:rsid w:val="12E72BB5"/>
    <w:rsid w:val="13054E91"/>
    <w:rsid w:val="130A2AF5"/>
    <w:rsid w:val="130E467F"/>
    <w:rsid w:val="132171DC"/>
    <w:rsid w:val="134E0734"/>
    <w:rsid w:val="135124C4"/>
    <w:rsid w:val="135C4E90"/>
    <w:rsid w:val="136278B0"/>
    <w:rsid w:val="1370174C"/>
    <w:rsid w:val="137A4343"/>
    <w:rsid w:val="138A2E3E"/>
    <w:rsid w:val="138D14F0"/>
    <w:rsid w:val="13A807F5"/>
    <w:rsid w:val="13B20DB2"/>
    <w:rsid w:val="13BD387A"/>
    <w:rsid w:val="13BF11A3"/>
    <w:rsid w:val="13C03E65"/>
    <w:rsid w:val="13C07F46"/>
    <w:rsid w:val="13C446C8"/>
    <w:rsid w:val="13D529DD"/>
    <w:rsid w:val="13E81E91"/>
    <w:rsid w:val="13E908B3"/>
    <w:rsid w:val="13F03F8D"/>
    <w:rsid w:val="13F42272"/>
    <w:rsid w:val="13F63C7E"/>
    <w:rsid w:val="13FA0719"/>
    <w:rsid w:val="13FB61E8"/>
    <w:rsid w:val="14016881"/>
    <w:rsid w:val="140713B3"/>
    <w:rsid w:val="140D7612"/>
    <w:rsid w:val="141835C9"/>
    <w:rsid w:val="14274ED7"/>
    <w:rsid w:val="1427505C"/>
    <w:rsid w:val="1435358A"/>
    <w:rsid w:val="143B23FB"/>
    <w:rsid w:val="14556315"/>
    <w:rsid w:val="14650EC0"/>
    <w:rsid w:val="146A56D9"/>
    <w:rsid w:val="147D111E"/>
    <w:rsid w:val="1487037E"/>
    <w:rsid w:val="148A3CDC"/>
    <w:rsid w:val="14906CD6"/>
    <w:rsid w:val="14943F50"/>
    <w:rsid w:val="149C7DDC"/>
    <w:rsid w:val="14AB6C77"/>
    <w:rsid w:val="14B666BA"/>
    <w:rsid w:val="14CC064F"/>
    <w:rsid w:val="14CE12D4"/>
    <w:rsid w:val="14CF0564"/>
    <w:rsid w:val="14D95B23"/>
    <w:rsid w:val="14DC7D9D"/>
    <w:rsid w:val="14E03918"/>
    <w:rsid w:val="14EC008F"/>
    <w:rsid w:val="14EE1B7E"/>
    <w:rsid w:val="1506004D"/>
    <w:rsid w:val="150C6FC5"/>
    <w:rsid w:val="150E4FAB"/>
    <w:rsid w:val="1514662C"/>
    <w:rsid w:val="15164BCA"/>
    <w:rsid w:val="15246BF9"/>
    <w:rsid w:val="15283675"/>
    <w:rsid w:val="152F4758"/>
    <w:rsid w:val="1534070D"/>
    <w:rsid w:val="153B6E73"/>
    <w:rsid w:val="15433B24"/>
    <w:rsid w:val="157965CA"/>
    <w:rsid w:val="157A18DB"/>
    <w:rsid w:val="157E720B"/>
    <w:rsid w:val="15827980"/>
    <w:rsid w:val="15894CA1"/>
    <w:rsid w:val="15A01C9B"/>
    <w:rsid w:val="15A37FD9"/>
    <w:rsid w:val="15A61A50"/>
    <w:rsid w:val="15AA76F1"/>
    <w:rsid w:val="15BF628F"/>
    <w:rsid w:val="15C02D00"/>
    <w:rsid w:val="15CF79B9"/>
    <w:rsid w:val="15D54E89"/>
    <w:rsid w:val="15DD05A3"/>
    <w:rsid w:val="15EA6972"/>
    <w:rsid w:val="15EB11D4"/>
    <w:rsid w:val="15EE7EE9"/>
    <w:rsid w:val="15EF2880"/>
    <w:rsid w:val="15F22B51"/>
    <w:rsid w:val="15FE3455"/>
    <w:rsid w:val="1600798F"/>
    <w:rsid w:val="16104D78"/>
    <w:rsid w:val="16304937"/>
    <w:rsid w:val="163A3664"/>
    <w:rsid w:val="163E4689"/>
    <w:rsid w:val="16575430"/>
    <w:rsid w:val="165F0802"/>
    <w:rsid w:val="166A2F2A"/>
    <w:rsid w:val="166B3674"/>
    <w:rsid w:val="166E304D"/>
    <w:rsid w:val="169A1FC9"/>
    <w:rsid w:val="169B0BEB"/>
    <w:rsid w:val="169E6EBB"/>
    <w:rsid w:val="16A04E22"/>
    <w:rsid w:val="16A80BD7"/>
    <w:rsid w:val="16BA4012"/>
    <w:rsid w:val="16BD5914"/>
    <w:rsid w:val="16C04C28"/>
    <w:rsid w:val="16C93B04"/>
    <w:rsid w:val="16E355A6"/>
    <w:rsid w:val="16EB7BC4"/>
    <w:rsid w:val="16F65FF2"/>
    <w:rsid w:val="16FE0B6C"/>
    <w:rsid w:val="17036E30"/>
    <w:rsid w:val="170464AD"/>
    <w:rsid w:val="170D6B94"/>
    <w:rsid w:val="1719075B"/>
    <w:rsid w:val="174460F3"/>
    <w:rsid w:val="175175D7"/>
    <w:rsid w:val="1754094A"/>
    <w:rsid w:val="17553439"/>
    <w:rsid w:val="17682ACE"/>
    <w:rsid w:val="17734387"/>
    <w:rsid w:val="178116FB"/>
    <w:rsid w:val="17887D93"/>
    <w:rsid w:val="178A01E9"/>
    <w:rsid w:val="178B2E78"/>
    <w:rsid w:val="179708F8"/>
    <w:rsid w:val="17987273"/>
    <w:rsid w:val="179D17B0"/>
    <w:rsid w:val="17AA5126"/>
    <w:rsid w:val="17AE4CB5"/>
    <w:rsid w:val="17BE146A"/>
    <w:rsid w:val="17C055DA"/>
    <w:rsid w:val="17C32D04"/>
    <w:rsid w:val="17DE3EFF"/>
    <w:rsid w:val="17EE11CB"/>
    <w:rsid w:val="17EF51B4"/>
    <w:rsid w:val="17F45C66"/>
    <w:rsid w:val="180F747D"/>
    <w:rsid w:val="18163161"/>
    <w:rsid w:val="18184A62"/>
    <w:rsid w:val="181C454B"/>
    <w:rsid w:val="18221F2E"/>
    <w:rsid w:val="1825114D"/>
    <w:rsid w:val="182C3AEA"/>
    <w:rsid w:val="182F17E0"/>
    <w:rsid w:val="1830361C"/>
    <w:rsid w:val="183464F9"/>
    <w:rsid w:val="185874CB"/>
    <w:rsid w:val="1870088A"/>
    <w:rsid w:val="1875798C"/>
    <w:rsid w:val="188204B0"/>
    <w:rsid w:val="1888009C"/>
    <w:rsid w:val="18897CD4"/>
    <w:rsid w:val="18AB617C"/>
    <w:rsid w:val="18B329CC"/>
    <w:rsid w:val="18D85784"/>
    <w:rsid w:val="18DE7031"/>
    <w:rsid w:val="18E71E14"/>
    <w:rsid w:val="18ED146A"/>
    <w:rsid w:val="18FB301F"/>
    <w:rsid w:val="18FC7081"/>
    <w:rsid w:val="19053DD9"/>
    <w:rsid w:val="190D3CA9"/>
    <w:rsid w:val="190D60EA"/>
    <w:rsid w:val="191D04D0"/>
    <w:rsid w:val="19212408"/>
    <w:rsid w:val="19350836"/>
    <w:rsid w:val="19362521"/>
    <w:rsid w:val="1937378F"/>
    <w:rsid w:val="19455FB5"/>
    <w:rsid w:val="194F7F34"/>
    <w:rsid w:val="19645D06"/>
    <w:rsid w:val="197B6660"/>
    <w:rsid w:val="1983162B"/>
    <w:rsid w:val="198338B1"/>
    <w:rsid w:val="19897D82"/>
    <w:rsid w:val="19944992"/>
    <w:rsid w:val="199925B7"/>
    <w:rsid w:val="199C5D41"/>
    <w:rsid w:val="19B334C3"/>
    <w:rsid w:val="19B55B51"/>
    <w:rsid w:val="19C25E0C"/>
    <w:rsid w:val="19CD2AB8"/>
    <w:rsid w:val="19CF63C7"/>
    <w:rsid w:val="19D56356"/>
    <w:rsid w:val="19DA31F8"/>
    <w:rsid w:val="19DB5B3F"/>
    <w:rsid w:val="19EC05F3"/>
    <w:rsid w:val="19EF0B21"/>
    <w:rsid w:val="1A0315CC"/>
    <w:rsid w:val="1A2E4265"/>
    <w:rsid w:val="1A3453BB"/>
    <w:rsid w:val="1A3A3B29"/>
    <w:rsid w:val="1A3B19DF"/>
    <w:rsid w:val="1A406207"/>
    <w:rsid w:val="1A4475A5"/>
    <w:rsid w:val="1A544F04"/>
    <w:rsid w:val="1A557E24"/>
    <w:rsid w:val="1A6B2553"/>
    <w:rsid w:val="1A8829BD"/>
    <w:rsid w:val="1A921DF9"/>
    <w:rsid w:val="1A9B02D9"/>
    <w:rsid w:val="1AB16300"/>
    <w:rsid w:val="1AB4034A"/>
    <w:rsid w:val="1AB5743B"/>
    <w:rsid w:val="1ACF76F6"/>
    <w:rsid w:val="1AED4E05"/>
    <w:rsid w:val="1AF67D0F"/>
    <w:rsid w:val="1B037465"/>
    <w:rsid w:val="1B086F07"/>
    <w:rsid w:val="1B0959F1"/>
    <w:rsid w:val="1B0F03D9"/>
    <w:rsid w:val="1B1B5E1B"/>
    <w:rsid w:val="1B235E92"/>
    <w:rsid w:val="1B36522D"/>
    <w:rsid w:val="1B382A06"/>
    <w:rsid w:val="1B3A11C0"/>
    <w:rsid w:val="1B3D68CE"/>
    <w:rsid w:val="1B584C76"/>
    <w:rsid w:val="1B6D30BE"/>
    <w:rsid w:val="1B796215"/>
    <w:rsid w:val="1B7B7306"/>
    <w:rsid w:val="1B95648D"/>
    <w:rsid w:val="1B9F1BEE"/>
    <w:rsid w:val="1BB96761"/>
    <w:rsid w:val="1BC35BE8"/>
    <w:rsid w:val="1BCA640E"/>
    <w:rsid w:val="1BD20550"/>
    <w:rsid w:val="1BE26DB4"/>
    <w:rsid w:val="1BE532EB"/>
    <w:rsid w:val="1BE975A4"/>
    <w:rsid w:val="1BEB0CD1"/>
    <w:rsid w:val="1BEF0B67"/>
    <w:rsid w:val="1BF741D6"/>
    <w:rsid w:val="1C2037ED"/>
    <w:rsid w:val="1C212643"/>
    <w:rsid w:val="1C2E099F"/>
    <w:rsid w:val="1C2F1FFD"/>
    <w:rsid w:val="1C375650"/>
    <w:rsid w:val="1C6849F6"/>
    <w:rsid w:val="1C766FE6"/>
    <w:rsid w:val="1C947FD5"/>
    <w:rsid w:val="1C9E6624"/>
    <w:rsid w:val="1CB33E1C"/>
    <w:rsid w:val="1CB52F40"/>
    <w:rsid w:val="1CCF7279"/>
    <w:rsid w:val="1CE4504C"/>
    <w:rsid w:val="1D2875CF"/>
    <w:rsid w:val="1D2A0666"/>
    <w:rsid w:val="1D2E0502"/>
    <w:rsid w:val="1D2E18C1"/>
    <w:rsid w:val="1D34195B"/>
    <w:rsid w:val="1D391EFD"/>
    <w:rsid w:val="1D42132C"/>
    <w:rsid w:val="1D4D7D7E"/>
    <w:rsid w:val="1D5F2A03"/>
    <w:rsid w:val="1D6308BB"/>
    <w:rsid w:val="1D6A09E6"/>
    <w:rsid w:val="1D787840"/>
    <w:rsid w:val="1D7D2D51"/>
    <w:rsid w:val="1D8713B3"/>
    <w:rsid w:val="1D8960DE"/>
    <w:rsid w:val="1D9D661C"/>
    <w:rsid w:val="1DA4520C"/>
    <w:rsid w:val="1DB664DC"/>
    <w:rsid w:val="1DB87D94"/>
    <w:rsid w:val="1DCB55B7"/>
    <w:rsid w:val="1DE716DA"/>
    <w:rsid w:val="1DEB1BA3"/>
    <w:rsid w:val="1DF647B3"/>
    <w:rsid w:val="1DF92C06"/>
    <w:rsid w:val="1E182D06"/>
    <w:rsid w:val="1E1A1D0D"/>
    <w:rsid w:val="1E1E3EFF"/>
    <w:rsid w:val="1E2011EC"/>
    <w:rsid w:val="1E240731"/>
    <w:rsid w:val="1E2A22E1"/>
    <w:rsid w:val="1E3114BD"/>
    <w:rsid w:val="1E333F7E"/>
    <w:rsid w:val="1E3E4F3F"/>
    <w:rsid w:val="1E3F45AF"/>
    <w:rsid w:val="1E4E747C"/>
    <w:rsid w:val="1E5922AB"/>
    <w:rsid w:val="1E6E7962"/>
    <w:rsid w:val="1E717B7F"/>
    <w:rsid w:val="1E721776"/>
    <w:rsid w:val="1E744E57"/>
    <w:rsid w:val="1E7567F8"/>
    <w:rsid w:val="1E7C4BAB"/>
    <w:rsid w:val="1E8E4131"/>
    <w:rsid w:val="1E924738"/>
    <w:rsid w:val="1E9B7FF8"/>
    <w:rsid w:val="1E9E4E24"/>
    <w:rsid w:val="1E9E6089"/>
    <w:rsid w:val="1EA02FEA"/>
    <w:rsid w:val="1EBE7C9B"/>
    <w:rsid w:val="1EBF3770"/>
    <w:rsid w:val="1EC2022C"/>
    <w:rsid w:val="1EC37369"/>
    <w:rsid w:val="1ED00EE4"/>
    <w:rsid w:val="1ED42856"/>
    <w:rsid w:val="1EDA5B5D"/>
    <w:rsid w:val="1EE92EBF"/>
    <w:rsid w:val="1EEE4820"/>
    <w:rsid w:val="1EFC3E35"/>
    <w:rsid w:val="1F09796B"/>
    <w:rsid w:val="1F0D1EEE"/>
    <w:rsid w:val="1F0D4FE7"/>
    <w:rsid w:val="1F0F26C1"/>
    <w:rsid w:val="1F12690E"/>
    <w:rsid w:val="1F172F22"/>
    <w:rsid w:val="1F1C47DF"/>
    <w:rsid w:val="1F2A3406"/>
    <w:rsid w:val="1F2A3D57"/>
    <w:rsid w:val="1F2B5166"/>
    <w:rsid w:val="1F2B51D8"/>
    <w:rsid w:val="1F2C5AB9"/>
    <w:rsid w:val="1F3050B9"/>
    <w:rsid w:val="1F333C55"/>
    <w:rsid w:val="1F43262B"/>
    <w:rsid w:val="1F584F8C"/>
    <w:rsid w:val="1F5F0C42"/>
    <w:rsid w:val="1F692DAE"/>
    <w:rsid w:val="1F693C9D"/>
    <w:rsid w:val="1F7C7D81"/>
    <w:rsid w:val="1F894DEC"/>
    <w:rsid w:val="1F8D5720"/>
    <w:rsid w:val="1F9C21D6"/>
    <w:rsid w:val="1FA07D1E"/>
    <w:rsid w:val="1FB01231"/>
    <w:rsid w:val="1FB902B7"/>
    <w:rsid w:val="1FC82BCF"/>
    <w:rsid w:val="1FCB48B2"/>
    <w:rsid w:val="1FE34F68"/>
    <w:rsid w:val="1FE63491"/>
    <w:rsid w:val="1FED5E3F"/>
    <w:rsid w:val="1FEF073F"/>
    <w:rsid w:val="1FF36DDC"/>
    <w:rsid w:val="20080E72"/>
    <w:rsid w:val="200F7035"/>
    <w:rsid w:val="20232676"/>
    <w:rsid w:val="202C7FC4"/>
    <w:rsid w:val="20394C50"/>
    <w:rsid w:val="204B0F55"/>
    <w:rsid w:val="205E17B4"/>
    <w:rsid w:val="206B4C67"/>
    <w:rsid w:val="206B6933"/>
    <w:rsid w:val="2073548B"/>
    <w:rsid w:val="207B19DE"/>
    <w:rsid w:val="207D6252"/>
    <w:rsid w:val="20803D8B"/>
    <w:rsid w:val="208079F6"/>
    <w:rsid w:val="20856100"/>
    <w:rsid w:val="20861DB1"/>
    <w:rsid w:val="20872D09"/>
    <w:rsid w:val="208C7E14"/>
    <w:rsid w:val="208F1088"/>
    <w:rsid w:val="208F7908"/>
    <w:rsid w:val="20903D77"/>
    <w:rsid w:val="20961A7C"/>
    <w:rsid w:val="209A2E43"/>
    <w:rsid w:val="209B5756"/>
    <w:rsid w:val="209F4F2A"/>
    <w:rsid w:val="20A86CD3"/>
    <w:rsid w:val="20AD3B75"/>
    <w:rsid w:val="20B228CE"/>
    <w:rsid w:val="20B71E23"/>
    <w:rsid w:val="20B956DD"/>
    <w:rsid w:val="20E518DA"/>
    <w:rsid w:val="20F76339"/>
    <w:rsid w:val="211B54C7"/>
    <w:rsid w:val="212015C4"/>
    <w:rsid w:val="21221885"/>
    <w:rsid w:val="212B77FC"/>
    <w:rsid w:val="213F4B8F"/>
    <w:rsid w:val="214425CF"/>
    <w:rsid w:val="214A7002"/>
    <w:rsid w:val="21503933"/>
    <w:rsid w:val="21557BD8"/>
    <w:rsid w:val="2161012E"/>
    <w:rsid w:val="216278E8"/>
    <w:rsid w:val="21694A4F"/>
    <w:rsid w:val="219144F6"/>
    <w:rsid w:val="219C397B"/>
    <w:rsid w:val="219D0F3B"/>
    <w:rsid w:val="21AA0D06"/>
    <w:rsid w:val="21CE5C51"/>
    <w:rsid w:val="21D3310A"/>
    <w:rsid w:val="21EB0359"/>
    <w:rsid w:val="21EC19E5"/>
    <w:rsid w:val="21F14D6A"/>
    <w:rsid w:val="220B6836"/>
    <w:rsid w:val="22135732"/>
    <w:rsid w:val="221D7B53"/>
    <w:rsid w:val="22226922"/>
    <w:rsid w:val="222C4F17"/>
    <w:rsid w:val="222D779F"/>
    <w:rsid w:val="2240562E"/>
    <w:rsid w:val="22471F06"/>
    <w:rsid w:val="224F15D3"/>
    <w:rsid w:val="226D6720"/>
    <w:rsid w:val="22705EF1"/>
    <w:rsid w:val="22727BB6"/>
    <w:rsid w:val="228277F5"/>
    <w:rsid w:val="229A7536"/>
    <w:rsid w:val="22A371D1"/>
    <w:rsid w:val="22AA6986"/>
    <w:rsid w:val="22B84D1B"/>
    <w:rsid w:val="22B93156"/>
    <w:rsid w:val="22BE4C96"/>
    <w:rsid w:val="22D7718C"/>
    <w:rsid w:val="22ED4521"/>
    <w:rsid w:val="22EE309F"/>
    <w:rsid w:val="23121E86"/>
    <w:rsid w:val="2313085B"/>
    <w:rsid w:val="23193720"/>
    <w:rsid w:val="23227390"/>
    <w:rsid w:val="232B0ADF"/>
    <w:rsid w:val="23310775"/>
    <w:rsid w:val="23352005"/>
    <w:rsid w:val="23386B14"/>
    <w:rsid w:val="234054ED"/>
    <w:rsid w:val="234D2762"/>
    <w:rsid w:val="23504B56"/>
    <w:rsid w:val="23533B25"/>
    <w:rsid w:val="235616F4"/>
    <w:rsid w:val="235C68AF"/>
    <w:rsid w:val="23644ED8"/>
    <w:rsid w:val="23653366"/>
    <w:rsid w:val="236E6458"/>
    <w:rsid w:val="236F3F5F"/>
    <w:rsid w:val="237C5AF8"/>
    <w:rsid w:val="23830D7D"/>
    <w:rsid w:val="23880081"/>
    <w:rsid w:val="238B2964"/>
    <w:rsid w:val="23902D77"/>
    <w:rsid w:val="239C3D37"/>
    <w:rsid w:val="23A60F08"/>
    <w:rsid w:val="23C604A4"/>
    <w:rsid w:val="23DC3998"/>
    <w:rsid w:val="24247165"/>
    <w:rsid w:val="2438510D"/>
    <w:rsid w:val="243D6CA8"/>
    <w:rsid w:val="24616B54"/>
    <w:rsid w:val="247541CE"/>
    <w:rsid w:val="24806516"/>
    <w:rsid w:val="24832F15"/>
    <w:rsid w:val="249473A3"/>
    <w:rsid w:val="249E09CB"/>
    <w:rsid w:val="24A93BD8"/>
    <w:rsid w:val="24AF53CB"/>
    <w:rsid w:val="24B52D06"/>
    <w:rsid w:val="24BB7AD6"/>
    <w:rsid w:val="24CC3DF5"/>
    <w:rsid w:val="24E07F18"/>
    <w:rsid w:val="24F442B2"/>
    <w:rsid w:val="24F641DA"/>
    <w:rsid w:val="24F679CB"/>
    <w:rsid w:val="250528F0"/>
    <w:rsid w:val="2508490F"/>
    <w:rsid w:val="251422CD"/>
    <w:rsid w:val="252A2704"/>
    <w:rsid w:val="253A6E83"/>
    <w:rsid w:val="253C15E6"/>
    <w:rsid w:val="254D5660"/>
    <w:rsid w:val="25560543"/>
    <w:rsid w:val="25593867"/>
    <w:rsid w:val="255B3827"/>
    <w:rsid w:val="25612FD1"/>
    <w:rsid w:val="25A8071C"/>
    <w:rsid w:val="25B4172A"/>
    <w:rsid w:val="25C205FB"/>
    <w:rsid w:val="25C71D2C"/>
    <w:rsid w:val="25CD4060"/>
    <w:rsid w:val="25D53138"/>
    <w:rsid w:val="25D75CF0"/>
    <w:rsid w:val="25E55F8C"/>
    <w:rsid w:val="25E95949"/>
    <w:rsid w:val="25FE5F08"/>
    <w:rsid w:val="26082FAF"/>
    <w:rsid w:val="26117EA6"/>
    <w:rsid w:val="26143947"/>
    <w:rsid w:val="261623F1"/>
    <w:rsid w:val="262E6633"/>
    <w:rsid w:val="26315D8A"/>
    <w:rsid w:val="264E435C"/>
    <w:rsid w:val="265528B9"/>
    <w:rsid w:val="265C03D8"/>
    <w:rsid w:val="265C089E"/>
    <w:rsid w:val="26622393"/>
    <w:rsid w:val="268631DD"/>
    <w:rsid w:val="268B6561"/>
    <w:rsid w:val="269A69E8"/>
    <w:rsid w:val="269E4C79"/>
    <w:rsid w:val="26AF2227"/>
    <w:rsid w:val="26B714D5"/>
    <w:rsid w:val="26BC6BBD"/>
    <w:rsid w:val="26BF4CA0"/>
    <w:rsid w:val="26C17B28"/>
    <w:rsid w:val="26C80C6E"/>
    <w:rsid w:val="26E45F91"/>
    <w:rsid w:val="26E57865"/>
    <w:rsid w:val="26EA3668"/>
    <w:rsid w:val="26F90CAD"/>
    <w:rsid w:val="27060C99"/>
    <w:rsid w:val="270C1116"/>
    <w:rsid w:val="271948D7"/>
    <w:rsid w:val="27232BF5"/>
    <w:rsid w:val="272B5886"/>
    <w:rsid w:val="27535C88"/>
    <w:rsid w:val="275F1AB9"/>
    <w:rsid w:val="278A2F96"/>
    <w:rsid w:val="278F43F3"/>
    <w:rsid w:val="278F544D"/>
    <w:rsid w:val="27A16908"/>
    <w:rsid w:val="27A7134C"/>
    <w:rsid w:val="27AD1A19"/>
    <w:rsid w:val="27AE69AB"/>
    <w:rsid w:val="27B0374E"/>
    <w:rsid w:val="27B86244"/>
    <w:rsid w:val="27D129E9"/>
    <w:rsid w:val="27D37BAE"/>
    <w:rsid w:val="27DB0A07"/>
    <w:rsid w:val="27DB4335"/>
    <w:rsid w:val="27DE5645"/>
    <w:rsid w:val="27ED429D"/>
    <w:rsid w:val="27F1536E"/>
    <w:rsid w:val="27F71F6B"/>
    <w:rsid w:val="27FB60A5"/>
    <w:rsid w:val="28017EA6"/>
    <w:rsid w:val="284101E0"/>
    <w:rsid w:val="28473C64"/>
    <w:rsid w:val="28524085"/>
    <w:rsid w:val="285E126F"/>
    <w:rsid w:val="28646278"/>
    <w:rsid w:val="28654649"/>
    <w:rsid w:val="286D46E4"/>
    <w:rsid w:val="28704981"/>
    <w:rsid w:val="28765037"/>
    <w:rsid w:val="287F46D4"/>
    <w:rsid w:val="28926483"/>
    <w:rsid w:val="289626D8"/>
    <w:rsid w:val="28B30D9A"/>
    <w:rsid w:val="28BE5F41"/>
    <w:rsid w:val="28D85280"/>
    <w:rsid w:val="28D85F6A"/>
    <w:rsid w:val="28E81131"/>
    <w:rsid w:val="28F5572D"/>
    <w:rsid w:val="29066470"/>
    <w:rsid w:val="29121DF4"/>
    <w:rsid w:val="29147E8C"/>
    <w:rsid w:val="291F6531"/>
    <w:rsid w:val="29252C26"/>
    <w:rsid w:val="29330C97"/>
    <w:rsid w:val="293A777B"/>
    <w:rsid w:val="293B1847"/>
    <w:rsid w:val="293B4E67"/>
    <w:rsid w:val="29485974"/>
    <w:rsid w:val="294D6142"/>
    <w:rsid w:val="29504DD5"/>
    <w:rsid w:val="295466F2"/>
    <w:rsid w:val="295F7DD7"/>
    <w:rsid w:val="29633EBC"/>
    <w:rsid w:val="29646D61"/>
    <w:rsid w:val="296A3CA1"/>
    <w:rsid w:val="29714151"/>
    <w:rsid w:val="29725E0B"/>
    <w:rsid w:val="2988299B"/>
    <w:rsid w:val="29905590"/>
    <w:rsid w:val="299447E9"/>
    <w:rsid w:val="29964A11"/>
    <w:rsid w:val="29A46BBB"/>
    <w:rsid w:val="29A776ED"/>
    <w:rsid w:val="29B01BE9"/>
    <w:rsid w:val="29B22171"/>
    <w:rsid w:val="29B315A7"/>
    <w:rsid w:val="29BA008E"/>
    <w:rsid w:val="29C37080"/>
    <w:rsid w:val="29C401AA"/>
    <w:rsid w:val="29C8372A"/>
    <w:rsid w:val="29D16DAB"/>
    <w:rsid w:val="29D2107B"/>
    <w:rsid w:val="29D434C8"/>
    <w:rsid w:val="29F30857"/>
    <w:rsid w:val="29F355AE"/>
    <w:rsid w:val="2A2061F0"/>
    <w:rsid w:val="2A261ADE"/>
    <w:rsid w:val="2A2C3994"/>
    <w:rsid w:val="2A386E15"/>
    <w:rsid w:val="2A3D51E0"/>
    <w:rsid w:val="2A4B34F5"/>
    <w:rsid w:val="2A505967"/>
    <w:rsid w:val="2A7471A7"/>
    <w:rsid w:val="2A76761C"/>
    <w:rsid w:val="2A7F637C"/>
    <w:rsid w:val="2A8F2AE9"/>
    <w:rsid w:val="2A9A6CDD"/>
    <w:rsid w:val="2AA2411D"/>
    <w:rsid w:val="2AB169F0"/>
    <w:rsid w:val="2AC0188D"/>
    <w:rsid w:val="2AC53F5A"/>
    <w:rsid w:val="2ADC32C5"/>
    <w:rsid w:val="2ADD5551"/>
    <w:rsid w:val="2AE34936"/>
    <w:rsid w:val="2AE5635E"/>
    <w:rsid w:val="2AF929EE"/>
    <w:rsid w:val="2AF96084"/>
    <w:rsid w:val="2AFA21A5"/>
    <w:rsid w:val="2B006185"/>
    <w:rsid w:val="2B06386F"/>
    <w:rsid w:val="2B09247D"/>
    <w:rsid w:val="2B18594B"/>
    <w:rsid w:val="2B1B4A30"/>
    <w:rsid w:val="2B200081"/>
    <w:rsid w:val="2B24368A"/>
    <w:rsid w:val="2B301BC3"/>
    <w:rsid w:val="2B3B4CA6"/>
    <w:rsid w:val="2B3F1E74"/>
    <w:rsid w:val="2B47448D"/>
    <w:rsid w:val="2B4D3856"/>
    <w:rsid w:val="2B561605"/>
    <w:rsid w:val="2B5856F5"/>
    <w:rsid w:val="2B6653DF"/>
    <w:rsid w:val="2B8214E8"/>
    <w:rsid w:val="2B8239F5"/>
    <w:rsid w:val="2B8317D8"/>
    <w:rsid w:val="2B861BAF"/>
    <w:rsid w:val="2B8A610C"/>
    <w:rsid w:val="2B926BF7"/>
    <w:rsid w:val="2B960F8D"/>
    <w:rsid w:val="2B976C27"/>
    <w:rsid w:val="2B9D630A"/>
    <w:rsid w:val="2B9E34C2"/>
    <w:rsid w:val="2BAE764A"/>
    <w:rsid w:val="2BBD5767"/>
    <w:rsid w:val="2BBE4FB9"/>
    <w:rsid w:val="2BCC2850"/>
    <w:rsid w:val="2BD25F2D"/>
    <w:rsid w:val="2BDB076D"/>
    <w:rsid w:val="2BE107DD"/>
    <w:rsid w:val="2BE15A0B"/>
    <w:rsid w:val="2BF176D7"/>
    <w:rsid w:val="2C001726"/>
    <w:rsid w:val="2C1372B5"/>
    <w:rsid w:val="2C2D664C"/>
    <w:rsid w:val="2C3F034B"/>
    <w:rsid w:val="2C430622"/>
    <w:rsid w:val="2C4637AA"/>
    <w:rsid w:val="2C4857BB"/>
    <w:rsid w:val="2C554671"/>
    <w:rsid w:val="2C59422F"/>
    <w:rsid w:val="2C617557"/>
    <w:rsid w:val="2C632BC5"/>
    <w:rsid w:val="2C6C5AD9"/>
    <w:rsid w:val="2C75391E"/>
    <w:rsid w:val="2C753E3D"/>
    <w:rsid w:val="2C757C8B"/>
    <w:rsid w:val="2C785B21"/>
    <w:rsid w:val="2C7A2078"/>
    <w:rsid w:val="2C7A456D"/>
    <w:rsid w:val="2C7E435D"/>
    <w:rsid w:val="2C805643"/>
    <w:rsid w:val="2C854603"/>
    <w:rsid w:val="2C8B7303"/>
    <w:rsid w:val="2C8E23BF"/>
    <w:rsid w:val="2C992C44"/>
    <w:rsid w:val="2C9A315D"/>
    <w:rsid w:val="2CB170BC"/>
    <w:rsid w:val="2CB1796B"/>
    <w:rsid w:val="2CB3096A"/>
    <w:rsid w:val="2CD047A1"/>
    <w:rsid w:val="2CD83781"/>
    <w:rsid w:val="2CD86AC4"/>
    <w:rsid w:val="2CD95B79"/>
    <w:rsid w:val="2CDD0FC6"/>
    <w:rsid w:val="2CF70B8E"/>
    <w:rsid w:val="2D0A61E4"/>
    <w:rsid w:val="2D21137C"/>
    <w:rsid w:val="2D2623D6"/>
    <w:rsid w:val="2D2B0DE1"/>
    <w:rsid w:val="2D2C4CC8"/>
    <w:rsid w:val="2D2F478B"/>
    <w:rsid w:val="2D327596"/>
    <w:rsid w:val="2D4C32D5"/>
    <w:rsid w:val="2D5139F5"/>
    <w:rsid w:val="2D5153C2"/>
    <w:rsid w:val="2D515601"/>
    <w:rsid w:val="2D550320"/>
    <w:rsid w:val="2D577275"/>
    <w:rsid w:val="2D653DAB"/>
    <w:rsid w:val="2D812055"/>
    <w:rsid w:val="2D826897"/>
    <w:rsid w:val="2DA4274A"/>
    <w:rsid w:val="2DA81BB0"/>
    <w:rsid w:val="2DAB4E27"/>
    <w:rsid w:val="2DAB61B0"/>
    <w:rsid w:val="2DAC63AB"/>
    <w:rsid w:val="2DC21126"/>
    <w:rsid w:val="2DD95B10"/>
    <w:rsid w:val="2DE30875"/>
    <w:rsid w:val="2DEF7192"/>
    <w:rsid w:val="2DFE10D1"/>
    <w:rsid w:val="2DFE3FDB"/>
    <w:rsid w:val="2E191C00"/>
    <w:rsid w:val="2E211352"/>
    <w:rsid w:val="2E241FDB"/>
    <w:rsid w:val="2E3E690F"/>
    <w:rsid w:val="2E421B0E"/>
    <w:rsid w:val="2E426DAB"/>
    <w:rsid w:val="2E5D716E"/>
    <w:rsid w:val="2E66698A"/>
    <w:rsid w:val="2E69684C"/>
    <w:rsid w:val="2E82136A"/>
    <w:rsid w:val="2E9101A0"/>
    <w:rsid w:val="2EA27CE6"/>
    <w:rsid w:val="2EA729C5"/>
    <w:rsid w:val="2EA93723"/>
    <w:rsid w:val="2EB30683"/>
    <w:rsid w:val="2EB41B9A"/>
    <w:rsid w:val="2EBC70FC"/>
    <w:rsid w:val="2EF26CD5"/>
    <w:rsid w:val="2EF71BE3"/>
    <w:rsid w:val="2F1966C8"/>
    <w:rsid w:val="2F245BE9"/>
    <w:rsid w:val="2F2C3E8E"/>
    <w:rsid w:val="2F4424CC"/>
    <w:rsid w:val="2F527F89"/>
    <w:rsid w:val="2F533A30"/>
    <w:rsid w:val="2F546DF4"/>
    <w:rsid w:val="2F7752E5"/>
    <w:rsid w:val="2F8562DD"/>
    <w:rsid w:val="2F930DBD"/>
    <w:rsid w:val="2FB92ABD"/>
    <w:rsid w:val="2FC54CD8"/>
    <w:rsid w:val="2FD50395"/>
    <w:rsid w:val="2FD73161"/>
    <w:rsid w:val="2FDE1576"/>
    <w:rsid w:val="2FE237EC"/>
    <w:rsid w:val="2FE8424F"/>
    <w:rsid w:val="2FE92287"/>
    <w:rsid w:val="2FF00348"/>
    <w:rsid w:val="2FF71A7C"/>
    <w:rsid w:val="30030EA9"/>
    <w:rsid w:val="300E4011"/>
    <w:rsid w:val="300F1259"/>
    <w:rsid w:val="30180B31"/>
    <w:rsid w:val="301B58A4"/>
    <w:rsid w:val="301E7C99"/>
    <w:rsid w:val="302130A1"/>
    <w:rsid w:val="30224D08"/>
    <w:rsid w:val="30247FA7"/>
    <w:rsid w:val="30383D43"/>
    <w:rsid w:val="304D5CDF"/>
    <w:rsid w:val="305C4826"/>
    <w:rsid w:val="305E0630"/>
    <w:rsid w:val="30606A1E"/>
    <w:rsid w:val="308A4F6A"/>
    <w:rsid w:val="308E283A"/>
    <w:rsid w:val="309160B1"/>
    <w:rsid w:val="30A15480"/>
    <w:rsid w:val="30A4041E"/>
    <w:rsid w:val="30A94DFE"/>
    <w:rsid w:val="30B33C99"/>
    <w:rsid w:val="30B83DBF"/>
    <w:rsid w:val="30BA6D12"/>
    <w:rsid w:val="30BC4EC5"/>
    <w:rsid w:val="30BC6910"/>
    <w:rsid w:val="30C43642"/>
    <w:rsid w:val="30D051B5"/>
    <w:rsid w:val="30DA1404"/>
    <w:rsid w:val="30DA50E3"/>
    <w:rsid w:val="31024EA6"/>
    <w:rsid w:val="31217956"/>
    <w:rsid w:val="3131351F"/>
    <w:rsid w:val="31381DE3"/>
    <w:rsid w:val="31523819"/>
    <w:rsid w:val="31653DDC"/>
    <w:rsid w:val="31742482"/>
    <w:rsid w:val="317D15CC"/>
    <w:rsid w:val="318A2FEA"/>
    <w:rsid w:val="31984BE6"/>
    <w:rsid w:val="31AB4A18"/>
    <w:rsid w:val="31B16483"/>
    <w:rsid w:val="31BC1FDD"/>
    <w:rsid w:val="31C11A7C"/>
    <w:rsid w:val="31C4149B"/>
    <w:rsid w:val="31C50F2D"/>
    <w:rsid w:val="31C654F3"/>
    <w:rsid w:val="31CC27B9"/>
    <w:rsid w:val="31F5465B"/>
    <w:rsid w:val="31FB0F50"/>
    <w:rsid w:val="320B40D2"/>
    <w:rsid w:val="3215436B"/>
    <w:rsid w:val="321B3D17"/>
    <w:rsid w:val="32561353"/>
    <w:rsid w:val="32567EAB"/>
    <w:rsid w:val="325C2736"/>
    <w:rsid w:val="326802D5"/>
    <w:rsid w:val="32797462"/>
    <w:rsid w:val="327F3EBB"/>
    <w:rsid w:val="328322BE"/>
    <w:rsid w:val="328C2171"/>
    <w:rsid w:val="32A51714"/>
    <w:rsid w:val="32AE269C"/>
    <w:rsid w:val="32AF37FE"/>
    <w:rsid w:val="32BB26B0"/>
    <w:rsid w:val="32BE4F6B"/>
    <w:rsid w:val="32C37F6B"/>
    <w:rsid w:val="32CB7D1C"/>
    <w:rsid w:val="32DA00AA"/>
    <w:rsid w:val="32DC5FE1"/>
    <w:rsid w:val="32E65692"/>
    <w:rsid w:val="32F140EE"/>
    <w:rsid w:val="32F331D7"/>
    <w:rsid w:val="330C22B6"/>
    <w:rsid w:val="330F325E"/>
    <w:rsid w:val="331A2EAE"/>
    <w:rsid w:val="331C0C33"/>
    <w:rsid w:val="332361C8"/>
    <w:rsid w:val="332C2C6A"/>
    <w:rsid w:val="333154E0"/>
    <w:rsid w:val="33345FE8"/>
    <w:rsid w:val="333F4677"/>
    <w:rsid w:val="33453DBA"/>
    <w:rsid w:val="3350739D"/>
    <w:rsid w:val="33544A5F"/>
    <w:rsid w:val="3359763E"/>
    <w:rsid w:val="335C4443"/>
    <w:rsid w:val="335E05FF"/>
    <w:rsid w:val="33670326"/>
    <w:rsid w:val="336B787E"/>
    <w:rsid w:val="336D71CA"/>
    <w:rsid w:val="33727DA9"/>
    <w:rsid w:val="33862F06"/>
    <w:rsid w:val="33883B08"/>
    <w:rsid w:val="338E2D14"/>
    <w:rsid w:val="338E6F9D"/>
    <w:rsid w:val="338F2275"/>
    <w:rsid w:val="33B64090"/>
    <w:rsid w:val="33B933A6"/>
    <w:rsid w:val="33BD4651"/>
    <w:rsid w:val="33D77D16"/>
    <w:rsid w:val="33E72742"/>
    <w:rsid w:val="33E94193"/>
    <w:rsid w:val="33F909F3"/>
    <w:rsid w:val="340E4790"/>
    <w:rsid w:val="340E7FCC"/>
    <w:rsid w:val="34247C4C"/>
    <w:rsid w:val="34277799"/>
    <w:rsid w:val="342B1875"/>
    <w:rsid w:val="342D71A6"/>
    <w:rsid w:val="342E7061"/>
    <w:rsid w:val="343E6451"/>
    <w:rsid w:val="34471440"/>
    <w:rsid w:val="34676D53"/>
    <w:rsid w:val="34770AFB"/>
    <w:rsid w:val="34944DC9"/>
    <w:rsid w:val="349E4136"/>
    <w:rsid w:val="34AB378E"/>
    <w:rsid w:val="34B0586D"/>
    <w:rsid w:val="34CB19E6"/>
    <w:rsid w:val="34CF4FD7"/>
    <w:rsid w:val="34DA534C"/>
    <w:rsid w:val="34DB744C"/>
    <w:rsid w:val="34DD43D3"/>
    <w:rsid w:val="34E95BE1"/>
    <w:rsid w:val="34EE4571"/>
    <w:rsid w:val="34EF6D6D"/>
    <w:rsid w:val="34F562D8"/>
    <w:rsid w:val="35137A41"/>
    <w:rsid w:val="35191A32"/>
    <w:rsid w:val="35195F3B"/>
    <w:rsid w:val="35227B16"/>
    <w:rsid w:val="3529131D"/>
    <w:rsid w:val="3529623E"/>
    <w:rsid w:val="35341571"/>
    <w:rsid w:val="35374B47"/>
    <w:rsid w:val="3545038B"/>
    <w:rsid w:val="354B6CB8"/>
    <w:rsid w:val="355B17FA"/>
    <w:rsid w:val="355F7368"/>
    <w:rsid w:val="35740630"/>
    <w:rsid w:val="357C277C"/>
    <w:rsid w:val="357F465D"/>
    <w:rsid w:val="359455EB"/>
    <w:rsid w:val="35960AB9"/>
    <w:rsid w:val="35996923"/>
    <w:rsid w:val="35B43CEB"/>
    <w:rsid w:val="35B86678"/>
    <w:rsid w:val="35C256BF"/>
    <w:rsid w:val="35CD0227"/>
    <w:rsid w:val="35D7646E"/>
    <w:rsid w:val="35D85253"/>
    <w:rsid w:val="35D91CC2"/>
    <w:rsid w:val="35DD6136"/>
    <w:rsid w:val="35E34F59"/>
    <w:rsid w:val="35E36182"/>
    <w:rsid w:val="35F310FC"/>
    <w:rsid w:val="35FB6BAF"/>
    <w:rsid w:val="3601593E"/>
    <w:rsid w:val="36125A65"/>
    <w:rsid w:val="36214B9E"/>
    <w:rsid w:val="3624039F"/>
    <w:rsid w:val="362F45EC"/>
    <w:rsid w:val="364D7507"/>
    <w:rsid w:val="3653792C"/>
    <w:rsid w:val="36554873"/>
    <w:rsid w:val="36617BA7"/>
    <w:rsid w:val="366E72D5"/>
    <w:rsid w:val="36733830"/>
    <w:rsid w:val="36824AA7"/>
    <w:rsid w:val="368B4DE9"/>
    <w:rsid w:val="368F5EB0"/>
    <w:rsid w:val="36903E74"/>
    <w:rsid w:val="36A14075"/>
    <w:rsid w:val="36A863F6"/>
    <w:rsid w:val="36B72504"/>
    <w:rsid w:val="36B95F11"/>
    <w:rsid w:val="36BA7C41"/>
    <w:rsid w:val="36BD78BE"/>
    <w:rsid w:val="36C20BCD"/>
    <w:rsid w:val="36CD15C9"/>
    <w:rsid w:val="36D42607"/>
    <w:rsid w:val="36E450C2"/>
    <w:rsid w:val="36F1106D"/>
    <w:rsid w:val="370B290E"/>
    <w:rsid w:val="370C58CC"/>
    <w:rsid w:val="371D4783"/>
    <w:rsid w:val="373748BB"/>
    <w:rsid w:val="37437E4F"/>
    <w:rsid w:val="375008CB"/>
    <w:rsid w:val="37503FAA"/>
    <w:rsid w:val="37526C35"/>
    <w:rsid w:val="375D6E1B"/>
    <w:rsid w:val="376054C6"/>
    <w:rsid w:val="3768173E"/>
    <w:rsid w:val="377711DF"/>
    <w:rsid w:val="37946AFA"/>
    <w:rsid w:val="379C26F2"/>
    <w:rsid w:val="37AF1222"/>
    <w:rsid w:val="37C30B3A"/>
    <w:rsid w:val="37CD21FC"/>
    <w:rsid w:val="37DD58CE"/>
    <w:rsid w:val="37E00C2E"/>
    <w:rsid w:val="37E26E6C"/>
    <w:rsid w:val="37E44D00"/>
    <w:rsid w:val="3806100B"/>
    <w:rsid w:val="381023C9"/>
    <w:rsid w:val="38265D2A"/>
    <w:rsid w:val="38366B1A"/>
    <w:rsid w:val="384053AA"/>
    <w:rsid w:val="38417DF4"/>
    <w:rsid w:val="38694C07"/>
    <w:rsid w:val="38726A26"/>
    <w:rsid w:val="38A0279C"/>
    <w:rsid w:val="38AF3FEA"/>
    <w:rsid w:val="38B263C7"/>
    <w:rsid w:val="38B4622F"/>
    <w:rsid w:val="38B97615"/>
    <w:rsid w:val="38C9411A"/>
    <w:rsid w:val="38D34E0E"/>
    <w:rsid w:val="38F27D65"/>
    <w:rsid w:val="390C72DB"/>
    <w:rsid w:val="390E4330"/>
    <w:rsid w:val="391D2643"/>
    <w:rsid w:val="391D77B0"/>
    <w:rsid w:val="392840FA"/>
    <w:rsid w:val="39301BEE"/>
    <w:rsid w:val="3939373F"/>
    <w:rsid w:val="393A3CC7"/>
    <w:rsid w:val="393D25CB"/>
    <w:rsid w:val="39403545"/>
    <w:rsid w:val="396E53EB"/>
    <w:rsid w:val="39926F19"/>
    <w:rsid w:val="39993DBF"/>
    <w:rsid w:val="39A17124"/>
    <w:rsid w:val="39A63592"/>
    <w:rsid w:val="39B534DE"/>
    <w:rsid w:val="39D409F4"/>
    <w:rsid w:val="39F86AA0"/>
    <w:rsid w:val="3A086182"/>
    <w:rsid w:val="3A0A5F77"/>
    <w:rsid w:val="3A3346CF"/>
    <w:rsid w:val="3A352126"/>
    <w:rsid w:val="3A3A2E22"/>
    <w:rsid w:val="3A686112"/>
    <w:rsid w:val="3A751B23"/>
    <w:rsid w:val="3A7D66FF"/>
    <w:rsid w:val="3A7F1A3F"/>
    <w:rsid w:val="3A9D0093"/>
    <w:rsid w:val="3AAB7066"/>
    <w:rsid w:val="3AB90DE6"/>
    <w:rsid w:val="3AE2344B"/>
    <w:rsid w:val="3AEC74E7"/>
    <w:rsid w:val="3AF32415"/>
    <w:rsid w:val="3AF83595"/>
    <w:rsid w:val="3B0944AD"/>
    <w:rsid w:val="3B0C5EDA"/>
    <w:rsid w:val="3B0F1E02"/>
    <w:rsid w:val="3B163C3D"/>
    <w:rsid w:val="3B3771DC"/>
    <w:rsid w:val="3B3B25B9"/>
    <w:rsid w:val="3B3C5AC0"/>
    <w:rsid w:val="3B402171"/>
    <w:rsid w:val="3B461704"/>
    <w:rsid w:val="3B4B099C"/>
    <w:rsid w:val="3B4D0C59"/>
    <w:rsid w:val="3B5E6788"/>
    <w:rsid w:val="3B6E6BE8"/>
    <w:rsid w:val="3B7B537B"/>
    <w:rsid w:val="3B860920"/>
    <w:rsid w:val="3B885BF3"/>
    <w:rsid w:val="3B94491E"/>
    <w:rsid w:val="3B9D30C8"/>
    <w:rsid w:val="3B9D4EDC"/>
    <w:rsid w:val="3BB6722E"/>
    <w:rsid w:val="3BB83A21"/>
    <w:rsid w:val="3BBE73B3"/>
    <w:rsid w:val="3BBF3265"/>
    <w:rsid w:val="3BC5753D"/>
    <w:rsid w:val="3BD028EA"/>
    <w:rsid w:val="3BF3512A"/>
    <w:rsid w:val="3BFC76C2"/>
    <w:rsid w:val="3C065AF1"/>
    <w:rsid w:val="3C1D476B"/>
    <w:rsid w:val="3C263856"/>
    <w:rsid w:val="3C4310C5"/>
    <w:rsid w:val="3C5A7A4B"/>
    <w:rsid w:val="3C5C2A56"/>
    <w:rsid w:val="3C6539BD"/>
    <w:rsid w:val="3C701390"/>
    <w:rsid w:val="3C7C524A"/>
    <w:rsid w:val="3C963578"/>
    <w:rsid w:val="3CCC19D6"/>
    <w:rsid w:val="3CCD5389"/>
    <w:rsid w:val="3CF45D2D"/>
    <w:rsid w:val="3CF53BD4"/>
    <w:rsid w:val="3D110D33"/>
    <w:rsid w:val="3D211058"/>
    <w:rsid w:val="3D242664"/>
    <w:rsid w:val="3D3C3AB4"/>
    <w:rsid w:val="3D4E0CE5"/>
    <w:rsid w:val="3D547F3C"/>
    <w:rsid w:val="3D6226B8"/>
    <w:rsid w:val="3D6A071C"/>
    <w:rsid w:val="3D6C6B0A"/>
    <w:rsid w:val="3D72587C"/>
    <w:rsid w:val="3D743552"/>
    <w:rsid w:val="3D7B5E0F"/>
    <w:rsid w:val="3D7C3ED0"/>
    <w:rsid w:val="3D827818"/>
    <w:rsid w:val="3D8854BC"/>
    <w:rsid w:val="3D8A56E1"/>
    <w:rsid w:val="3D933D91"/>
    <w:rsid w:val="3DA45899"/>
    <w:rsid w:val="3DB03760"/>
    <w:rsid w:val="3DCA3882"/>
    <w:rsid w:val="3DE86F51"/>
    <w:rsid w:val="3DEC239C"/>
    <w:rsid w:val="3E02555D"/>
    <w:rsid w:val="3E1D47F6"/>
    <w:rsid w:val="3E1E792C"/>
    <w:rsid w:val="3E221C75"/>
    <w:rsid w:val="3E32336A"/>
    <w:rsid w:val="3E35259E"/>
    <w:rsid w:val="3E363FF6"/>
    <w:rsid w:val="3E587B49"/>
    <w:rsid w:val="3E766ED8"/>
    <w:rsid w:val="3E7C3F2E"/>
    <w:rsid w:val="3E7C59B3"/>
    <w:rsid w:val="3E81204A"/>
    <w:rsid w:val="3E8C4399"/>
    <w:rsid w:val="3EAE458A"/>
    <w:rsid w:val="3EBE7EFB"/>
    <w:rsid w:val="3ECB19BB"/>
    <w:rsid w:val="3ED27450"/>
    <w:rsid w:val="3EDF654C"/>
    <w:rsid w:val="3EED0F93"/>
    <w:rsid w:val="3EF15277"/>
    <w:rsid w:val="3EF64BF5"/>
    <w:rsid w:val="3F0E0F9F"/>
    <w:rsid w:val="3F1275AB"/>
    <w:rsid w:val="3F143A53"/>
    <w:rsid w:val="3F196270"/>
    <w:rsid w:val="3F206869"/>
    <w:rsid w:val="3F2A26CF"/>
    <w:rsid w:val="3F331666"/>
    <w:rsid w:val="3F354D38"/>
    <w:rsid w:val="3F451CD5"/>
    <w:rsid w:val="3F4538CD"/>
    <w:rsid w:val="3F481BFC"/>
    <w:rsid w:val="3F515916"/>
    <w:rsid w:val="3F5A59BA"/>
    <w:rsid w:val="3F5F06F0"/>
    <w:rsid w:val="3F6D54B9"/>
    <w:rsid w:val="3F712907"/>
    <w:rsid w:val="3F7B4D5A"/>
    <w:rsid w:val="3F8A7434"/>
    <w:rsid w:val="3F8B6791"/>
    <w:rsid w:val="3FA4112A"/>
    <w:rsid w:val="3FA65E4E"/>
    <w:rsid w:val="3FA82AFF"/>
    <w:rsid w:val="3FA9390B"/>
    <w:rsid w:val="3FB36848"/>
    <w:rsid w:val="3FB7122D"/>
    <w:rsid w:val="3FC0237F"/>
    <w:rsid w:val="3FC54FFB"/>
    <w:rsid w:val="3FCF6A7F"/>
    <w:rsid w:val="3FDA01BD"/>
    <w:rsid w:val="3FE01CE7"/>
    <w:rsid w:val="3FE25F31"/>
    <w:rsid w:val="400164AE"/>
    <w:rsid w:val="401D2D37"/>
    <w:rsid w:val="403575ED"/>
    <w:rsid w:val="403A656A"/>
    <w:rsid w:val="403C44A4"/>
    <w:rsid w:val="404A12BE"/>
    <w:rsid w:val="4057252F"/>
    <w:rsid w:val="40703232"/>
    <w:rsid w:val="407A39A2"/>
    <w:rsid w:val="407E1D59"/>
    <w:rsid w:val="40846288"/>
    <w:rsid w:val="4092647C"/>
    <w:rsid w:val="409337CC"/>
    <w:rsid w:val="40963BA5"/>
    <w:rsid w:val="409C53A5"/>
    <w:rsid w:val="40A434D6"/>
    <w:rsid w:val="40A450BE"/>
    <w:rsid w:val="40A768F4"/>
    <w:rsid w:val="40BD2B55"/>
    <w:rsid w:val="40CC5266"/>
    <w:rsid w:val="40D95E2C"/>
    <w:rsid w:val="40EB02F4"/>
    <w:rsid w:val="40EE3628"/>
    <w:rsid w:val="40F4314A"/>
    <w:rsid w:val="40F4471F"/>
    <w:rsid w:val="40F4676D"/>
    <w:rsid w:val="40F62774"/>
    <w:rsid w:val="40FE7ED9"/>
    <w:rsid w:val="41017660"/>
    <w:rsid w:val="410E0629"/>
    <w:rsid w:val="41352B9D"/>
    <w:rsid w:val="413943DB"/>
    <w:rsid w:val="41541900"/>
    <w:rsid w:val="41560B81"/>
    <w:rsid w:val="415C7091"/>
    <w:rsid w:val="415F2195"/>
    <w:rsid w:val="41605638"/>
    <w:rsid w:val="41607389"/>
    <w:rsid w:val="4165103C"/>
    <w:rsid w:val="416C302E"/>
    <w:rsid w:val="41785DDD"/>
    <w:rsid w:val="418E26D5"/>
    <w:rsid w:val="41926324"/>
    <w:rsid w:val="41D20863"/>
    <w:rsid w:val="41DA3DA6"/>
    <w:rsid w:val="41DF3E5A"/>
    <w:rsid w:val="41E06E2C"/>
    <w:rsid w:val="41E36BC7"/>
    <w:rsid w:val="41E573CC"/>
    <w:rsid w:val="41ED1606"/>
    <w:rsid w:val="41ED636B"/>
    <w:rsid w:val="41EF65CB"/>
    <w:rsid w:val="4209627F"/>
    <w:rsid w:val="420B063D"/>
    <w:rsid w:val="420D3875"/>
    <w:rsid w:val="4210695E"/>
    <w:rsid w:val="421261CB"/>
    <w:rsid w:val="42240431"/>
    <w:rsid w:val="422746CF"/>
    <w:rsid w:val="422F7E28"/>
    <w:rsid w:val="4230053E"/>
    <w:rsid w:val="4234482A"/>
    <w:rsid w:val="423A4A42"/>
    <w:rsid w:val="42423638"/>
    <w:rsid w:val="42490537"/>
    <w:rsid w:val="424A2A40"/>
    <w:rsid w:val="425470FB"/>
    <w:rsid w:val="42687F05"/>
    <w:rsid w:val="42712010"/>
    <w:rsid w:val="42904EC5"/>
    <w:rsid w:val="429375D2"/>
    <w:rsid w:val="42941299"/>
    <w:rsid w:val="42A9603D"/>
    <w:rsid w:val="42B06A9C"/>
    <w:rsid w:val="42C63065"/>
    <w:rsid w:val="42C64F2C"/>
    <w:rsid w:val="42D81D9C"/>
    <w:rsid w:val="42D97D7B"/>
    <w:rsid w:val="42DA44FF"/>
    <w:rsid w:val="42E80CB8"/>
    <w:rsid w:val="42EB4217"/>
    <w:rsid w:val="42ED44A1"/>
    <w:rsid w:val="42F4690D"/>
    <w:rsid w:val="4305029A"/>
    <w:rsid w:val="43061A03"/>
    <w:rsid w:val="4307210F"/>
    <w:rsid w:val="43234565"/>
    <w:rsid w:val="43297951"/>
    <w:rsid w:val="433200D4"/>
    <w:rsid w:val="43386F2A"/>
    <w:rsid w:val="433A5311"/>
    <w:rsid w:val="43476026"/>
    <w:rsid w:val="435813BD"/>
    <w:rsid w:val="436527B6"/>
    <w:rsid w:val="436C0F32"/>
    <w:rsid w:val="43740A4B"/>
    <w:rsid w:val="43771B75"/>
    <w:rsid w:val="43936955"/>
    <w:rsid w:val="43A91890"/>
    <w:rsid w:val="43B23A2C"/>
    <w:rsid w:val="43E32231"/>
    <w:rsid w:val="44047C41"/>
    <w:rsid w:val="440E2B11"/>
    <w:rsid w:val="441A280D"/>
    <w:rsid w:val="44245CDA"/>
    <w:rsid w:val="442E0214"/>
    <w:rsid w:val="4432790B"/>
    <w:rsid w:val="443B5B54"/>
    <w:rsid w:val="443F5F82"/>
    <w:rsid w:val="4440583A"/>
    <w:rsid w:val="44460A21"/>
    <w:rsid w:val="444820E1"/>
    <w:rsid w:val="44525462"/>
    <w:rsid w:val="44712741"/>
    <w:rsid w:val="447270B5"/>
    <w:rsid w:val="447F23D7"/>
    <w:rsid w:val="44995063"/>
    <w:rsid w:val="449F7DC6"/>
    <w:rsid w:val="44B2145B"/>
    <w:rsid w:val="44B2157B"/>
    <w:rsid w:val="44C52C6B"/>
    <w:rsid w:val="44DB1D50"/>
    <w:rsid w:val="44F95B5F"/>
    <w:rsid w:val="44FA4F46"/>
    <w:rsid w:val="45036C56"/>
    <w:rsid w:val="4504516C"/>
    <w:rsid w:val="450D02E0"/>
    <w:rsid w:val="4532194C"/>
    <w:rsid w:val="45336EDF"/>
    <w:rsid w:val="455127BC"/>
    <w:rsid w:val="455F1709"/>
    <w:rsid w:val="4562596B"/>
    <w:rsid w:val="45703EC4"/>
    <w:rsid w:val="457630A8"/>
    <w:rsid w:val="45802308"/>
    <w:rsid w:val="4582341E"/>
    <w:rsid w:val="45987A87"/>
    <w:rsid w:val="45A43B3E"/>
    <w:rsid w:val="45A5656B"/>
    <w:rsid w:val="45B20C4C"/>
    <w:rsid w:val="45CB4B6B"/>
    <w:rsid w:val="45CE527F"/>
    <w:rsid w:val="45CF3E09"/>
    <w:rsid w:val="45D7144A"/>
    <w:rsid w:val="45D85F6A"/>
    <w:rsid w:val="45EA0B56"/>
    <w:rsid w:val="45EC318B"/>
    <w:rsid w:val="45EE6C84"/>
    <w:rsid w:val="46070341"/>
    <w:rsid w:val="46077D58"/>
    <w:rsid w:val="461E7AA7"/>
    <w:rsid w:val="46346405"/>
    <w:rsid w:val="463B4D90"/>
    <w:rsid w:val="463D3E8C"/>
    <w:rsid w:val="46433439"/>
    <w:rsid w:val="4643684D"/>
    <w:rsid w:val="464429FE"/>
    <w:rsid w:val="464E5074"/>
    <w:rsid w:val="465340A7"/>
    <w:rsid w:val="465F1C0F"/>
    <w:rsid w:val="46764F37"/>
    <w:rsid w:val="46835B69"/>
    <w:rsid w:val="46837991"/>
    <w:rsid w:val="4687388B"/>
    <w:rsid w:val="468D4561"/>
    <w:rsid w:val="46927FBD"/>
    <w:rsid w:val="46A44AC5"/>
    <w:rsid w:val="46A52AC0"/>
    <w:rsid w:val="46B431CF"/>
    <w:rsid w:val="46CA79EE"/>
    <w:rsid w:val="46CB5DE5"/>
    <w:rsid w:val="46D82CAA"/>
    <w:rsid w:val="46E630ED"/>
    <w:rsid w:val="46F0182D"/>
    <w:rsid w:val="46F83AA9"/>
    <w:rsid w:val="47072E9C"/>
    <w:rsid w:val="470A60EE"/>
    <w:rsid w:val="470E4EAC"/>
    <w:rsid w:val="47206359"/>
    <w:rsid w:val="472D65CD"/>
    <w:rsid w:val="473B20F4"/>
    <w:rsid w:val="473E2F88"/>
    <w:rsid w:val="47421753"/>
    <w:rsid w:val="475F60D2"/>
    <w:rsid w:val="4779398A"/>
    <w:rsid w:val="479A386C"/>
    <w:rsid w:val="47A83954"/>
    <w:rsid w:val="47BB3C44"/>
    <w:rsid w:val="47C87819"/>
    <w:rsid w:val="47D00E9C"/>
    <w:rsid w:val="47D30867"/>
    <w:rsid w:val="47D61BFC"/>
    <w:rsid w:val="47E91E09"/>
    <w:rsid w:val="47F11833"/>
    <w:rsid w:val="47F928C4"/>
    <w:rsid w:val="47FB18ED"/>
    <w:rsid w:val="47FC1CBB"/>
    <w:rsid w:val="48002ED5"/>
    <w:rsid w:val="481510D7"/>
    <w:rsid w:val="48296C22"/>
    <w:rsid w:val="48326EC7"/>
    <w:rsid w:val="48370FB3"/>
    <w:rsid w:val="484C2123"/>
    <w:rsid w:val="484D2CDB"/>
    <w:rsid w:val="4873567F"/>
    <w:rsid w:val="488741AD"/>
    <w:rsid w:val="48880761"/>
    <w:rsid w:val="488A7FC4"/>
    <w:rsid w:val="48914541"/>
    <w:rsid w:val="48B27758"/>
    <w:rsid w:val="48BC22E9"/>
    <w:rsid w:val="48C13C24"/>
    <w:rsid w:val="48C620A4"/>
    <w:rsid w:val="48CC6E67"/>
    <w:rsid w:val="48D93E0D"/>
    <w:rsid w:val="48DB44A5"/>
    <w:rsid w:val="48E1264D"/>
    <w:rsid w:val="48E20D9D"/>
    <w:rsid w:val="48E821C6"/>
    <w:rsid w:val="48ED11AB"/>
    <w:rsid w:val="48F56E34"/>
    <w:rsid w:val="490065EB"/>
    <w:rsid w:val="490552EE"/>
    <w:rsid w:val="49075B35"/>
    <w:rsid w:val="490964B0"/>
    <w:rsid w:val="490C7824"/>
    <w:rsid w:val="491C0EAC"/>
    <w:rsid w:val="49240B6A"/>
    <w:rsid w:val="49327FDB"/>
    <w:rsid w:val="49343F3F"/>
    <w:rsid w:val="493F6CE7"/>
    <w:rsid w:val="494519F9"/>
    <w:rsid w:val="49462AF9"/>
    <w:rsid w:val="494A6167"/>
    <w:rsid w:val="495B2115"/>
    <w:rsid w:val="4961692B"/>
    <w:rsid w:val="496944CF"/>
    <w:rsid w:val="497B3F79"/>
    <w:rsid w:val="49854391"/>
    <w:rsid w:val="499B7A82"/>
    <w:rsid w:val="499F6E21"/>
    <w:rsid w:val="49A12C18"/>
    <w:rsid w:val="49A4037D"/>
    <w:rsid w:val="49AC489F"/>
    <w:rsid w:val="49B036DD"/>
    <w:rsid w:val="49B96F40"/>
    <w:rsid w:val="49BB5EF0"/>
    <w:rsid w:val="49BC3522"/>
    <w:rsid w:val="49BF02B4"/>
    <w:rsid w:val="49C22CC3"/>
    <w:rsid w:val="49CC4795"/>
    <w:rsid w:val="49D12C3D"/>
    <w:rsid w:val="49E44FF7"/>
    <w:rsid w:val="49F0514E"/>
    <w:rsid w:val="49FA317F"/>
    <w:rsid w:val="4A000FA5"/>
    <w:rsid w:val="4A084EC0"/>
    <w:rsid w:val="4A0B08BC"/>
    <w:rsid w:val="4A0E1903"/>
    <w:rsid w:val="4A12610D"/>
    <w:rsid w:val="4A1B226D"/>
    <w:rsid w:val="4A2B2E50"/>
    <w:rsid w:val="4A346C7C"/>
    <w:rsid w:val="4A3472AE"/>
    <w:rsid w:val="4A3962C3"/>
    <w:rsid w:val="4A423DB0"/>
    <w:rsid w:val="4A4703A3"/>
    <w:rsid w:val="4A4D2D1D"/>
    <w:rsid w:val="4A680573"/>
    <w:rsid w:val="4A6B494B"/>
    <w:rsid w:val="4A887EE3"/>
    <w:rsid w:val="4A8E49C5"/>
    <w:rsid w:val="4A917626"/>
    <w:rsid w:val="4A961C33"/>
    <w:rsid w:val="4A971F57"/>
    <w:rsid w:val="4A9C4C48"/>
    <w:rsid w:val="4AB03889"/>
    <w:rsid w:val="4AB410DC"/>
    <w:rsid w:val="4ABA1E63"/>
    <w:rsid w:val="4AC27D31"/>
    <w:rsid w:val="4AD17D60"/>
    <w:rsid w:val="4AF15317"/>
    <w:rsid w:val="4AF85175"/>
    <w:rsid w:val="4AFC5E4A"/>
    <w:rsid w:val="4B0337A1"/>
    <w:rsid w:val="4B127560"/>
    <w:rsid w:val="4B256E83"/>
    <w:rsid w:val="4B2E36A2"/>
    <w:rsid w:val="4B313295"/>
    <w:rsid w:val="4B624B11"/>
    <w:rsid w:val="4B6B4833"/>
    <w:rsid w:val="4B784A41"/>
    <w:rsid w:val="4B7855D6"/>
    <w:rsid w:val="4B7B6630"/>
    <w:rsid w:val="4B97295F"/>
    <w:rsid w:val="4B9E480D"/>
    <w:rsid w:val="4BA764D7"/>
    <w:rsid w:val="4BB771E2"/>
    <w:rsid w:val="4BB82E1F"/>
    <w:rsid w:val="4BBA6316"/>
    <w:rsid w:val="4BDD1BDA"/>
    <w:rsid w:val="4BE21629"/>
    <w:rsid w:val="4BE93A5C"/>
    <w:rsid w:val="4BFB6842"/>
    <w:rsid w:val="4C0A755B"/>
    <w:rsid w:val="4C1535EC"/>
    <w:rsid w:val="4C24189A"/>
    <w:rsid w:val="4C3A12B0"/>
    <w:rsid w:val="4C3F206D"/>
    <w:rsid w:val="4C450012"/>
    <w:rsid w:val="4C5F614A"/>
    <w:rsid w:val="4C683BF1"/>
    <w:rsid w:val="4C7537A1"/>
    <w:rsid w:val="4C79568D"/>
    <w:rsid w:val="4C7F2E0E"/>
    <w:rsid w:val="4C831D86"/>
    <w:rsid w:val="4C831FAA"/>
    <w:rsid w:val="4C8D0DDD"/>
    <w:rsid w:val="4C9754E5"/>
    <w:rsid w:val="4C9A3BC6"/>
    <w:rsid w:val="4CA05567"/>
    <w:rsid w:val="4CA22CBE"/>
    <w:rsid w:val="4CAB331B"/>
    <w:rsid w:val="4CB61A33"/>
    <w:rsid w:val="4CB9730F"/>
    <w:rsid w:val="4CBB5D39"/>
    <w:rsid w:val="4CC218CF"/>
    <w:rsid w:val="4CC31D6B"/>
    <w:rsid w:val="4CCA02AE"/>
    <w:rsid w:val="4CD276F9"/>
    <w:rsid w:val="4CD32A35"/>
    <w:rsid w:val="4CE92982"/>
    <w:rsid w:val="4CEE1FA1"/>
    <w:rsid w:val="4CFB203F"/>
    <w:rsid w:val="4D0D04F8"/>
    <w:rsid w:val="4D104361"/>
    <w:rsid w:val="4D1C35DE"/>
    <w:rsid w:val="4D210F66"/>
    <w:rsid w:val="4D2B6E07"/>
    <w:rsid w:val="4D2F7F63"/>
    <w:rsid w:val="4D49223C"/>
    <w:rsid w:val="4D4D14C5"/>
    <w:rsid w:val="4D4E7FAE"/>
    <w:rsid w:val="4D561D74"/>
    <w:rsid w:val="4D5C35D6"/>
    <w:rsid w:val="4D64560C"/>
    <w:rsid w:val="4D7E3C61"/>
    <w:rsid w:val="4D9747CA"/>
    <w:rsid w:val="4D9D6256"/>
    <w:rsid w:val="4DA94B4B"/>
    <w:rsid w:val="4DAF601A"/>
    <w:rsid w:val="4DB179D2"/>
    <w:rsid w:val="4DC3605B"/>
    <w:rsid w:val="4DD20FDF"/>
    <w:rsid w:val="4DD34732"/>
    <w:rsid w:val="4DDB409C"/>
    <w:rsid w:val="4DE814A7"/>
    <w:rsid w:val="4DFD73FF"/>
    <w:rsid w:val="4E093B4F"/>
    <w:rsid w:val="4E0B1CEF"/>
    <w:rsid w:val="4E142C4A"/>
    <w:rsid w:val="4E540C37"/>
    <w:rsid w:val="4E6779A0"/>
    <w:rsid w:val="4E6A6C40"/>
    <w:rsid w:val="4E740EC9"/>
    <w:rsid w:val="4E7623F9"/>
    <w:rsid w:val="4E7835D2"/>
    <w:rsid w:val="4E9434E9"/>
    <w:rsid w:val="4E9C12E4"/>
    <w:rsid w:val="4EA01079"/>
    <w:rsid w:val="4EB77B75"/>
    <w:rsid w:val="4EC15653"/>
    <w:rsid w:val="4EC356BC"/>
    <w:rsid w:val="4EC44288"/>
    <w:rsid w:val="4ECC2340"/>
    <w:rsid w:val="4EE42E8F"/>
    <w:rsid w:val="4EF04402"/>
    <w:rsid w:val="4EFB4FD5"/>
    <w:rsid w:val="4F03413C"/>
    <w:rsid w:val="4F1D309B"/>
    <w:rsid w:val="4F2F6BB7"/>
    <w:rsid w:val="4F3E299A"/>
    <w:rsid w:val="4F4028CF"/>
    <w:rsid w:val="4F4454F8"/>
    <w:rsid w:val="4F557D4A"/>
    <w:rsid w:val="4F5C667F"/>
    <w:rsid w:val="4F5E1625"/>
    <w:rsid w:val="4F5E7387"/>
    <w:rsid w:val="4F8E1DEE"/>
    <w:rsid w:val="4F900F75"/>
    <w:rsid w:val="4F931D0D"/>
    <w:rsid w:val="4F9722B0"/>
    <w:rsid w:val="4FA53964"/>
    <w:rsid w:val="4FA572F3"/>
    <w:rsid w:val="4FA9495D"/>
    <w:rsid w:val="4FB814E0"/>
    <w:rsid w:val="4FB95746"/>
    <w:rsid w:val="4FD158E1"/>
    <w:rsid w:val="4FE07DA9"/>
    <w:rsid w:val="4FF12E33"/>
    <w:rsid w:val="4FF32FB6"/>
    <w:rsid w:val="4FF70DA3"/>
    <w:rsid w:val="4FF81F32"/>
    <w:rsid w:val="50075D77"/>
    <w:rsid w:val="50087BC9"/>
    <w:rsid w:val="501F0D33"/>
    <w:rsid w:val="50210E63"/>
    <w:rsid w:val="502938E2"/>
    <w:rsid w:val="502C01CA"/>
    <w:rsid w:val="504A67FD"/>
    <w:rsid w:val="504D0487"/>
    <w:rsid w:val="50515DB3"/>
    <w:rsid w:val="505764D1"/>
    <w:rsid w:val="505B3AF3"/>
    <w:rsid w:val="50613640"/>
    <w:rsid w:val="50723155"/>
    <w:rsid w:val="50731030"/>
    <w:rsid w:val="507E2CF4"/>
    <w:rsid w:val="50862FF6"/>
    <w:rsid w:val="50A15959"/>
    <w:rsid w:val="50D6538C"/>
    <w:rsid w:val="50D76C7B"/>
    <w:rsid w:val="50DA4304"/>
    <w:rsid w:val="50DD4747"/>
    <w:rsid w:val="50DF43CA"/>
    <w:rsid w:val="50E23D91"/>
    <w:rsid w:val="50E55FB4"/>
    <w:rsid w:val="50F06D5C"/>
    <w:rsid w:val="50FA5DF1"/>
    <w:rsid w:val="50FE3200"/>
    <w:rsid w:val="51025FCC"/>
    <w:rsid w:val="51067A47"/>
    <w:rsid w:val="510C22BE"/>
    <w:rsid w:val="51121364"/>
    <w:rsid w:val="511334BA"/>
    <w:rsid w:val="511B4827"/>
    <w:rsid w:val="513465E5"/>
    <w:rsid w:val="513673E2"/>
    <w:rsid w:val="513A1138"/>
    <w:rsid w:val="513E6B30"/>
    <w:rsid w:val="514E04B2"/>
    <w:rsid w:val="51536221"/>
    <w:rsid w:val="515B4165"/>
    <w:rsid w:val="515B5C3D"/>
    <w:rsid w:val="51660AA5"/>
    <w:rsid w:val="516A507E"/>
    <w:rsid w:val="516B0ED7"/>
    <w:rsid w:val="518D0434"/>
    <w:rsid w:val="518E28F4"/>
    <w:rsid w:val="519260E4"/>
    <w:rsid w:val="51983B0C"/>
    <w:rsid w:val="51A07E09"/>
    <w:rsid w:val="51A161F2"/>
    <w:rsid w:val="51A7722A"/>
    <w:rsid w:val="51A952C9"/>
    <w:rsid w:val="51AB6D54"/>
    <w:rsid w:val="51BB178D"/>
    <w:rsid w:val="51D231B6"/>
    <w:rsid w:val="51EB26C3"/>
    <w:rsid w:val="52002A7B"/>
    <w:rsid w:val="520C36BD"/>
    <w:rsid w:val="522B0A04"/>
    <w:rsid w:val="523E369B"/>
    <w:rsid w:val="524D7977"/>
    <w:rsid w:val="52516845"/>
    <w:rsid w:val="525556C0"/>
    <w:rsid w:val="52573F09"/>
    <w:rsid w:val="526C5D64"/>
    <w:rsid w:val="526D1B78"/>
    <w:rsid w:val="52702237"/>
    <w:rsid w:val="527B06C8"/>
    <w:rsid w:val="52817018"/>
    <w:rsid w:val="528247CA"/>
    <w:rsid w:val="5286053C"/>
    <w:rsid w:val="528D6BCB"/>
    <w:rsid w:val="52910D7C"/>
    <w:rsid w:val="52922713"/>
    <w:rsid w:val="52936E79"/>
    <w:rsid w:val="52AA1DE9"/>
    <w:rsid w:val="52B350B6"/>
    <w:rsid w:val="52BA3B15"/>
    <w:rsid w:val="52C5556C"/>
    <w:rsid w:val="52CC708E"/>
    <w:rsid w:val="52D11E64"/>
    <w:rsid w:val="52DD29E1"/>
    <w:rsid w:val="52F5146C"/>
    <w:rsid w:val="53082340"/>
    <w:rsid w:val="530F1446"/>
    <w:rsid w:val="532540D0"/>
    <w:rsid w:val="532B2981"/>
    <w:rsid w:val="53375D43"/>
    <w:rsid w:val="534122FB"/>
    <w:rsid w:val="5341515F"/>
    <w:rsid w:val="534A4FED"/>
    <w:rsid w:val="534C1275"/>
    <w:rsid w:val="535302E5"/>
    <w:rsid w:val="53602B8E"/>
    <w:rsid w:val="53605337"/>
    <w:rsid w:val="53622A40"/>
    <w:rsid w:val="53640C2B"/>
    <w:rsid w:val="537C14E8"/>
    <w:rsid w:val="53803693"/>
    <w:rsid w:val="538647CA"/>
    <w:rsid w:val="53921EFD"/>
    <w:rsid w:val="539A2C54"/>
    <w:rsid w:val="539E74BE"/>
    <w:rsid w:val="53AB4496"/>
    <w:rsid w:val="53AF24CB"/>
    <w:rsid w:val="53BA269F"/>
    <w:rsid w:val="53C41C95"/>
    <w:rsid w:val="53C774DD"/>
    <w:rsid w:val="53DD4860"/>
    <w:rsid w:val="53EA0A73"/>
    <w:rsid w:val="53F03B03"/>
    <w:rsid w:val="53FC709C"/>
    <w:rsid w:val="540C02ED"/>
    <w:rsid w:val="540D7474"/>
    <w:rsid w:val="5419416A"/>
    <w:rsid w:val="54203D93"/>
    <w:rsid w:val="54233118"/>
    <w:rsid w:val="542864E1"/>
    <w:rsid w:val="543B0576"/>
    <w:rsid w:val="543D43C9"/>
    <w:rsid w:val="543E7C73"/>
    <w:rsid w:val="54441314"/>
    <w:rsid w:val="544F69ED"/>
    <w:rsid w:val="54550516"/>
    <w:rsid w:val="5461747B"/>
    <w:rsid w:val="54800754"/>
    <w:rsid w:val="54853272"/>
    <w:rsid w:val="548951BF"/>
    <w:rsid w:val="548A1D61"/>
    <w:rsid w:val="549C3583"/>
    <w:rsid w:val="54BE64D6"/>
    <w:rsid w:val="54C76F1B"/>
    <w:rsid w:val="54CE3AEF"/>
    <w:rsid w:val="54CF7AE3"/>
    <w:rsid w:val="54DD4061"/>
    <w:rsid w:val="54EB6B2F"/>
    <w:rsid w:val="54F00D7B"/>
    <w:rsid w:val="54F0797B"/>
    <w:rsid w:val="54F70ADC"/>
    <w:rsid w:val="550A131C"/>
    <w:rsid w:val="550F34D3"/>
    <w:rsid w:val="55103B72"/>
    <w:rsid w:val="551A1810"/>
    <w:rsid w:val="552545B7"/>
    <w:rsid w:val="55285697"/>
    <w:rsid w:val="55342100"/>
    <w:rsid w:val="55574C6B"/>
    <w:rsid w:val="555A1D80"/>
    <w:rsid w:val="555C3B73"/>
    <w:rsid w:val="556B566A"/>
    <w:rsid w:val="556F47DD"/>
    <w:rsid w:val="557D5786"/>
    <w:rsid w:val="557E5A19"/>
    <w:rsid w:val="558151A1"/>
    <w:rsid w:val="558A54A6"/>
    <w:rsid w:val="559A1A62"/>
    <w:rsid w:val="559C2AD4"/>
    <w:rsid w:val="55A144BD"/>
    <w:rsid w:val="55AA1DF3"/>
    <w:rsid w:val="55AF377A"/>
    <w:rsid w:val="55B63D09"/>
    <w:rsid w:val="55B757C8"/>
    <w:rsid w:val="55B848D5"/>
    <w:rsid w:val="55C15525"/>
    <w:rsid w:val="55D07666"/>
    <w:rsid w:val="55D45452"/>
    <w:rsid w:val="55D678B3"/>
    <w:rsid w:val="55DA2946"/>
    <w:rsid w:val="55DD00E8"/>
    <w:rsid w:val="55E2110E"/>
    <w:rsid w:val="55E36687"/>
    <w:rsid w:val="55E76CDB"/>
    <w:rsid w:val="55EC2EB0"/>
    <w:rsid w:val="55F46FD4"/>
    <w:rsid w:val="56076A47"/>
    <w:rsid w:val="56084ECA"/>
    <w:rsid w:val="56091A36"/>
    <w:rsid w:val="560D7AC8"/>
    <w:rsid w:val="56142103"/>
    <w:rsid w:val="561C7D97"/>
    <w:rsid w:val="561D03D8"/>
    <w:rsid w:val="56252E02"/>
    <w:rsid w:val="56254B37"/>
    <w:rsid w:val="56294A96"/>
    <w:rsid w:val="562D075B"/>
    <w:rsid w:val="565C4E68"/>
    <w:rsid w:val="56612C83"/>
    <w:rsid w:val="566306F8"/>
    <w:rsid w:val="56660C58"/>
    <w:rsid w:val="567117B0"/>
    <w:rsid w:val="5673282F"/>
    <w:rsid w:val="568614F0"/>
    <w:rsid w:val="56A466B6"/>
    <w:rsid w:val="56B15077"/>
    <w:rsid w:val="56B50E51"/>
    <w:rsid w:val="56BE35C9"/>
    <w:rsid w:val="56C65D43"/>
    <w:rsid w:val="56C930E6"/>
    <w:rsid w:val="56CC6B9A"/>
    <w:rsid w:val="56D52630"/>
    <w:rsid w:val="56DC4AEF"/>
    <w:rsid w:val="56E10471"/>
    <w:rsid w:val="56E25EC1"/>
    <w:rsid w:val="56E62ABD"/>
    <w:rsid w:val="56E85D0C"/>
    <w:rsid w:val="56F169F5"/>
    <w:rsid w:val="56F272D8"/>
    <w:rsid w:val="56FE637E"/>
    <w:rsid w:val="57084707"/>
    <w:rsid w:val="57103908"/>
    <w:rsid w:val="5715484D"/>
    <w:rsid w:val="57156A74"/>
    <w:rsid w:val="57171BEB"/>
    <w:rsid w:val="572D58CC"/>
    <w:rsid w:val="573D44EF"/>
    <w:rsid w:val="573E1C2F"/>
    <w:rsid w:val="5742334E"/>
    <w:rsid w:val="57441119"/>
    <w:rsid w:val="57462907"/>
    <w:rsid w:val="57467135"/>
    <w:rsid w:val="57515359"/>
    <w:rsid w:val="57596960"/>
    <w:rsid w:val="575D1F0C"/>
    <w:rsid w:val="576511F6"/>
    <w:rsid w:val="57661BD4"/>
    <w:rsid w:val="577D6C84"/>
    <w:rsid w:val="57801B4F"/>
    <w:rsid w:val="57806AC2"/>
    <w:rsid w:val="57847D61"/>
    <w:rsid w:val="57B40FA7"/>
    <w:rsid w:val="57B4386C"/>
    <w:rsid w:val="57C434EF"/>
    <w:rsid w:val="57DD4050"/>
    <w:rsid w:val="57E965C1"/>
    <w:rsid w:val="57EB2601"/>
    <w:rsid w:val="57F259DD"/>
    <w:rsid w:val="57FD3C19"/>
    <w:rsid w:val="57FD43A3"/>
    <w:rsid w:val="58076DC9"/>
    <w:rsid w:val="58106111"/>
    <w:rsid w:val="5813298D"/>
    <w:rsid w:val="581A7B93"/>
    <w:rsid w:val="58270258"/>
    <w:rsid w:val="583A65C7"/>
    <w:rsid w:val="583D083E"/>
    <w:rsid w:val="58407C9B"/>
    <w:rsid w:val="584C13A3"/>
    <w:rsid w:val="585A4AB8"/>
    <w:rsid w:val="58614CC5"/>
    <w:rsid w:val="58623967"/>
    <w:rsid w:val="58644207"/>
    <w:rsid w:val="58717516"/>
    <w:rsid w:val="5876158F"/>
    <w:rsid w:val="587C5CA8"/>
    <w:rsid w:val="587E113A"/>
    <w:rsid w:val="588A47CF"/>
    <w:rsid w:val="588E4A73"/>
    <w:rsid w:val="58921FB7"/>
    <w:rsid w:val="589F5509"/>
    <w:rsid w:val="58B1667A"/>
    <w:rsid w:val="58BE3681"/>
    <w:rsid w:val="58E00954"/>
    <w:rsid w:val="58E90457"/>
    <w:rsid w:val="58FC570F"/>
    <w:rsid w:val="59031292"/>
    <w:rsid w:val="591016DD"/>
    <w:rsid w:val="59154399"/>
    <w:rsid w:val="591819B9"/>
    <w:rsid w:val="591E1ABB"/>
    <w:rsid w:val="592709FD"/>
    <w:rsid w:val="593115AB"/>
    <w:rsid w:val="59326428"/>
    <w:rsid w:val="593D5A33"/>
    <w:rsid w:val="593F6E33"/>
    <w:rsid w:val="594D5BD8"/>
    <w:rsid w:val="59670437"/>
    <w:rsid w:val="59764D53"/>
    <w:rsid w:val="599D2265"/>
    <w:rsid w:val="599E1E9E"/>
    <w:rsid w:val="599F18A8"/>
    <w:rsid w:val="59B348B5"/>
    <w:rsid w:val="59C10DD9"/>
    <w:rsid w:val="59C222A3"/>
    <w:rsid w:val="59C3280C"/>
    <w:rsid w:val="59CE1C56"/>
    <w:rsid w:val="59D454F8"/>
    <w:rsid w:val="59FA2F2D"/>
    <w:rsid w:val="5A075DB2"/>
    <w:rsid w:val="5A077255"/>
    <w:rsid w:val="5A0E6815"/>
    <w:rsid w:val="5A17016B"/>
    <w:rsid w:val="5A26740A"/>
    <w:rsid w:val="5A3517DD"/>
    <w:rsid w:val="5A3B24EF"/>
    <w:rsid w:val="5A593A65"/>
    <w:rsid w:val="5A5E646B"/>
    <w:rsid w:val="5A5F4E2E"/>
    <w:rsid w:val="5A652957"/>
    <w:rsid w:val="5A6A451A"/>
    <w:rsid w:val="5A721B09"/>
    <w:rsid w:val="5A731332"/>
    <w:rsid w:val="5A7B32E4"/>
    <w:rsid w:val="5A7E2B92"/>
    <w:rsid w:val="5A937862"/>
    <w:rsid w:val="5A957CFB"/>
    <w:rsid w:val="5A9B1122"/>
    <w:rsid w:val="5A9B38FA"/>
    <w:rsid w:val="5A9E5C0E"/>
    <w:rsid w:val="5AA20910"/>
    <w:rsid w:val="5AAE7BE1"/>
    <w:rsid w:val="5AB337FE"/>
    <w:rsid w:val="5AB461FE"/>
    <w:rsid w:val="5AC64D2B"/>
    <w:rsid w:val="5ADE0AD0"/>
    <w:rsid w:val="5AE2772F"/>
    <w:rsid w:val="5AE84E55"/>
    <w:rsid w:val="5AE86AE5"/>
    <w:rsid w:val="5AF23815"/>
    <w:rsid w:val="5AF94673"/>
    <w:rsid w:val="5B220B4D"/>
    <w:rsid w:val="5B343076"/>
    <w:rsid w:val="5B354C15"/>
    <w:rsid w:val="5B3D3956"/>
    <w:rsid w:val="5B44084D"/>
    <w:rsid w:val="5B524C02"/>
    <w:rsid w:val="5B5718C8"/>
    <w:rsid w:val="5B6C2EE7"/>
    <w:rsid w:val="5B7A56A8"/>
    <w:rsid w:val="5B7D5E9D"/>
    <w:rsid w:val="5B7F1AAD"/>
    <w:rsid w:val="5B9548B2"/>
    <w:rsid w:val="5BAA1986"/>
    <w:rsid w:val="5BB04F0E"/>
    <w:rsid w:val="5BB66D80"/>
    <w:rsid w:val="5BB943D2"/>
    <w:rsid w:val="5BD10B42"/>
    <w:rsid w:val="5BD731B0"/>
    <w:rsid w:val="5BEC30D1"/>
    <w:rsid w:val="5BF02CEB"/>
    <w:rsid w:val="5BFA1A01"/>
    <w:rsid w:val="5C096179"/>
    <w:rsid w:val="5C2B4616"/>
    <w:rsid w:val="5C2E7F69"/>
    <w:rsid w:val="5C2F70BA"/>
    <w:rsid w:val="5C3C252B"/>
    <w:rsid w:val="5C410838"/>
    <w:rsid w:val="5C410AD2"/>
    <w:rsid w:val="5C4147C7"/>
    <w:rsid w:val="5C436B96"/>
    <w:rsid w:val="5C535A60"/>
    <w:rsid w:val="5C5764F2"/>
    <w:rsid w:val="5C5B5C7C"/>
    <w:rsid w:val="5C5F4871"/>
    <w:rsid w:val="5C6D00AB"/>
    <w:rsid w:val="5C750D42"/>
    <w:rsid w:val="5C860614"/>
    <w:rsid w:val="5C8F59B8"/>
    <w:rsid w:val="5C9642B9"/>
    <w:rsid w:val="5CAE5FC6"/>
    <w:rsid w:val="5CB1393B"/>
    <w:rsid w:val="5CB23E62"/>
    <w:rsid w:val="5CB25455"/>
    <w:rsid w:val="5CB46BB3"/>
    <w:rsid w:val="5CBA0E63"/>
    <w:rsid w:val="5CC766A1"/>
    <w:rsid w:val="5CD01062"/>
    <w:rsid w:val="5CD05758"/>
    <w:rsid w:val="5CE34B6D"/>
    <w:rsid w:val="5CE75547"/>
    <w:rsid w:val="5CEA6B9C"/>
    <w:rsid w:val="5CF05A34"/>
    <w:rsid w:val="5D066F94"/>
    <w:rsid w:val="5D0A176E"/>
    <w:rsid w:val="5D11130A"/>
    <w:rsid w:val="5D233174"/>
    <w:rsid w:val="5D244FF4"/>
    <w:rsid w:val="5D2F0A4F"/>
    <w:rsid w:val="5D341FCB"/>
    <w:rsid w:val="5D342EE0"/>
    <w:rsid w:val="5D356B6D"/>
    <w:rsid w:val="5D3835F0"/>
    <w:rsid w:val="5D3B598E"/>
    <w:rsid w:val="5D4C1358"/>
    <w:rsid w:val="5D5830F2"/>
    <w:rsid w:val="5D5A5070"/>
    <w:rsid w:val="5D607C1D"/>
    <w:rsid w:val="5D612889"/>
    <w:rsid w:val="5D630DDD"/>
    <w:rsid w:val="5D673AC2"/>
    <w:rsid w:val="5D69593E"/>
    <w:rsid w:val="5D7A4D49"/>
    <w:rsid w:val="5D87310C"/>
    <w:rsid w:val="5D8802B1"/>
    <w:rsid w:val="5D8E67CD"/>
    <w:rsid w:val="5D9A7293"/>
    <w:rsid w:val="5D9F5D0E"/>
    <w:rsid w:val="5DA80132"/>
    <w:rsid w:val="5DAE6E9F"/>
    <w:rsid w:val="5DBF0435"/>
    <w:rsid w:val="5DC31664"/>
    <w:rsid w:val="5DD6183E"/>
    <w:rsid w:val="5DDD31AE"/>
    <w:rsid w:val="5DDE44CD"/>
    <w:rsid w:val="5DE46F11"/>
    <w:rsid w:val="5DF65B2B"/>
    <w:rsid w:val="5DF84D20"/>
    <w:rsid w:val="5DFA2F21"/>
    <w:rsid w:val="5E062482"/>
    <w:rsid w:val="5E0E661A"/>
    <w:rsid w:val="5E1C536A"/>
    <w:rsid w:val="5E283CA2"/>
    <w:rsid w:val="5E291CBD"/>
    <w:rsid w:val="5E2D5DB7"/>
    <w:rsid w:val="5E571134"/>
    <w:rsid w:val="5E7A6A2C"/>
    <w:rsid w:val="5E7B0F5D"/>
    <w:rsid w:val="5E7F135C"/>
    <w:rsid w:val="5E8C4EC0"/>
    <w:rsid w:val="5E915464"/>
    <w:rsid w:val="5EAE121D"/>
    <w:rsid w:val="5EC40930"/>
    <w:rsid w:val="5EC44127"/>
    <w:rsid w:val="5ECA0D1B"/>
    <w:rsid w:val="5ECD6985"/>
    <w:rsid w:val="5ED63DE3"/>
    <w:rsid w:val="5EDF5D91"/>
    <w:rsid w:val="5EE20039"/>
    <w:rsid w:val="5EE530A7"/>
    <w:rsid w:val="5EE57594"/>
    <w:rsid w:val="5EEE67AD"/>
    <w:rsid w:val="5EF82E0F"/>
    <w:rsid w:val="5F0A3BBC"/>
    <w:rsid w:val="5F345974"/>
    <w:rsid w:val="5F3B7F6E"/>
    <w:rsid w:val="5F435905"/>
    <w:rsid w:val="5F460313"/>
    <w:rsid w:val="5F53474C"/>
    <w:rsid w:val="5F5968F1"/>
    <w:rsid w:val="5F8C0D16"/>
    <w:rsid w:val="5F8D5CF5"/>
    <w:rsid w:val="5F8F6796"/>
    <w:rsid w:val="5F924138"/>
    <w:rsid w:val="5FA22D28"/>
    <w:rsid w:val="5FAC4F31"/>
    <w:rsid w:val="5FB071F0"/>
    <w:rsid w:val="5FB153CB"/>
    <w:rsid w:val="5FC8245D"/>
    <w:rsid w:val="5FD40C42"/>
    <w:rsid w:val="5FD60864"/>
    <w:rsid w:val="5FE34396"/>
    <w:rsid w:val="5FEF61EF"/>
    <w:rsid w:val="5FF0359B"/>
    <w:rsid w:val="5FF0511D"/>
    <w:rsid w:val="60037A9E"/>
    <w:rsid w:val="60057422"/>
    <w:rsid w:val="60146D33"/>
    <w:rsid w:val="602F6171"/>
    <w:rsid w:val="604031B7"/>
    <w:rsid w:val="60446FAF"/>
    <w:rsid w:val="604E6F50"/>
    <w:rsid w:val="60576D64"/>
    <w:rsid w:val="606A2859"/>
    <w:rsid w:val="606C0912"/>
    <w:rsid w:val="607304EF"/>
    <w:rsid w:val="60847E05"/>
    <w:rsid w:val="608F660B"/>
    <w:rsid w:val="60925774"/>
    <w:rsid w:val="60A23333"/>
    <w:rsid w:val="60A43327"/>
    <w:rsid w:val="60A550AF"/>
    <w:rsid w:val="60AE1AE8"/>
    <w:rsid w:val="60B761E3"/>
    <w:rsid w:val="60B92676"/>
    <w:rsid w:val="60BF3E3F"/>
    <w:rsid w:val="60C43659"/>
    <w:rsid w:val="60CB0FDF"/>
    <w:rsid w:val="60DB616C"/>
    <w:rsid w:val="60F0084D"/>
    <w:rsid w:val="60F37B90"/>
    <w:rsid w:val="60FC2342"/>
    <w:rsid w:val="61003D48"/>
    <w:rsid w:val="61052CC0"/>
    <w:rsid w:val="6107070B"/>
    <w:rsid w:val="611925BA"/>
    <w:rsid w:val="611D3787"/>
    <w:rsid w:val="61220BCC"/>
    <w:rsid w:val="6123065B"/>
    <w:rsid w:val="612427DE"/>
    <w:rsid w:val="614313DF"/>
    <w:rsid w:val="614F00E1"/>
    <w:rsid w:val="615B5305"/>
    <w:rsid w:val="616F3438"/>
    <w:rsid w:val="618A1585"/>
    <w:rsid w:val="61B2791B"/>
    <w:rsid w:val="61BD100F"/>
    <w:rsid w:val="61BE31CA"/>
    <w:rsid w:val="61CD3EC6"/>
    <w:rsid w:val="61D33AEF"/>
    <w:rsid w:val="61D577A3"/>
    <w:rsid w:val="61DE6C87"/>
    <w:rsid w:val="61EC7A7C"/>
    <w:rsid w:val="61EE2A61"/>
    <w:rsid w:val="61FF4CE2"/>
    <w:rsid w:val="62073918"/>
    <w:rsid w:val="620E1AF4"/>
    <w:rsid w:val="621E6987"/>
    <w:rsid w:val="622F5125"/>
    <w:rsid w:val="62373B9E"/>
    <w:rsid w:val="62636A4B"/>
    <w:rsid w:val="626C0914"/>
    <w:rsid w:val="627C0AB1"/>
    <w:rsid w:val="62813BB7"/>
    <w:rsid w:val="628F1D68"/>
    <w:rsid w:val="62993F50"/>
    <w:rsid w:val="629D78E7"/>
    <w:rsid w:val="62A12A2F"/>
    <w:rsid w:val="62E03891"/>
    <w:rsid w:val="62E15FDB"/>
    <w:rsid w:val="62E648BC"/>
    <w:rsid w:val="62E71930"/>
    <w:rsid w:val="62E81A64"/>
    <w:rsid w:val="62F34C4F"/>
    <w:rsid w:val="62F654FE"/>
    <w:rsid w:val="6300713F"/>
    <w:rsid w:val="630243B1"/>
    <w:rsid w:val="630F25F4"/>
    <w:rsid w:val="631758B3"/>
    <w:rsid w:val="631A0D4C"/>
    <w:rsid w:val="631C3BDC"/>
    <w:rsid w:val="63225DCB"/>
    <w:rsid w:val="632B14D1"/>
    <w:rsid w:val="632C13A1"/>
    <w:rsid w:val="632E0889"/>
    <w:rsid w:val="633E401C"/>
    <w:rsid w:val="635027D3"/>
    <w:rsid w:val="63634733"/>
    <w:rsid w:val="6368322B"/>
    <w:rsid w:val="636A3C2F"/>
    <w:rsid w:val="63780D3D"/>
    <w:rsid w:val="637E47EA"/>
    <w:rsid w:val="63837EF3"/>
    <w:rsid w:val="63883D35"/>
    <w:rsid w:val="6393076D"/>
    <w:rsid w:val="63953AB0"/>
    <w:rsid w:val="63977C55"/>
    <w:rsid w:val="639858B6"/>
    <w:rsid w:val="63994235"/>
    <w:rsid w:val="639D6431"/>
    <w:rsid w:val="63A33469"/>
    <w:rsid w:val="63A9045F"/>
    <w:rsid w:val="63A93BB7"/>
    <w:rsid w:val="63AE2151"/>
    <w:rsid w:val="63B35FDA"/>
    <w:rsid w:val="63BD6226"/>
    <w:rsid w:val="63BF4505"/>
    <w:rsid w:val="63CA7D28"/>
    <w:rsid w:val="63E335F9"/>
    <w:rsid w:val="63E658F5"/>
    <w:rsid w:val="63EA7201"/>
    <w:rsid w:val="63ED24DF"/>
    <w:rsid w:val="63EF241B"/>
    <w:rsid w:val="64025575"/>
    <w:rsid w:val="64054535"/>
    <w:rsid w:val="641277F2"/>
    <w:rsid w:val="641C0563"/>
    <w:rsid w:val="64251841"/>
    <w:rsid w:val="643F0CA9"/>
    <w:rsid w:val="644E4ADE"/>
    <w:rsid w:val="644F0E7B"/>
    <w:rsid w:val="64520096"/>
    <w:rsid w:val="645E0B06"/>
    <w:rsid w:val="646E7EC5"/>
    <w:rsid w:val="647D236D"/>
    <w:rsid w:val="64884980"/>
    <w:rsid w:val="648B1EA9"/>
    <w:rsid w:val="648B5995"/>
    <w:rsid w:val="648C08A2"/>
    <w:rsid w:val="648F7117"/>
    <w:rsid w:val="649946E5"/>
    <w:rsid w:val="64CF4953"/>
    <w:rsid w:val="64D74C82"/>
    <w:rsid w:val="64DD1E2C"/>
    <w:rsid w:val="64E55A9F"/>
    <w:rsid w:val="64F452CC"/>
    <w:rsid w:val="65013A0A"/>
    <w:rsid w:val="650174E5"/>
    <w:rsid w:val="651C6D79"/>
    <w:rsid w:val="651F5202"/>
    <w:rsid w:val="65340A5C"/>
    <w:rsid w:val="65342883"/>
    <w:rsid w:val="65377611"/>
    <w:rsid w:val="653C2E5E"/>
    <w:rsid w:val="653E0E89"/>
    <w:rsid w:val="65402D7D"/>
    <w:rsid w:val="654B588C"/>
    <w:rsid w:val="655012CA"/>
    <w:rsid w:val="655F693E"/>
    <w:rsid w:val="65620C62"/>
    <w:rsid w:val="656B2E22"/>
    <w:rsid w:val="656F2152"/>
    <w:rsid w:val="65792D6E"/>
    <w:rsid w:val="6583339F"/>
    <w:rsid w:val="658A5588"/>
    <w:rsid w:val="659B3576"/>
    <w:rsid w:val="65B968C9"/>
    <w:rsid w:val="65BE5C4B"/>
    <w:rsid w:val="65C71B22"/>
    <w:rsid w:val="65C97EF0"/>
    <w:rsid w:val="65CA4C87"/>
    <w:rsid w:val="65D276CC"/>
    <w:rsid w:val="65DF6485"/>
    <w:rsid w:val="65E26639"/>
    <w:rsid w:val="65E94D9E"/>
    <w:rsid w:val="65EE5042"/>
    <w:rsid w:val="65F52C3F"/>
    <w:rsid w:val="66041454"/>
    <w:rsid w:val="66240C34"/>
    <w:rsid w:val="662562A4"/>
    <w:rsid w:val="66256EA3"/>
    <w:rsid w:val="66364491"/>
    <w:rsid w:val="663978B0"/>
    <w:rsid w:val="6641161D"/>
    <w:rsid w:val="6646793F"/>
    <w:rsid w:val="6648787C"/>
    <w:rsid w:val="665824FA"/>
    <w:rsid w:val="666754F7"/>
    <w:rsid w:val="6674630B"/>
    <w:rsid w:val="669F13A2"/>
    <w:rsid w:val="66AB752A"/>
    <w:rsid w:val="66D161C9"/>
    <w:rsid w:val="66D87A24"/>
    <w:rsid w:val="66E14B81"/>
    <w:rsid w:val="66E33908"/>
    <w:rsid w:val="66E57660"/>
    <w:rsid w:val="66F85EDB"/>
    <w:rsid w:val="66FA1F91"/>
    <w:rsid w:val="66FB4B6E"/>
    <w:rsid w:val="66FF6E4C"/>
    <w:rsid w:val="672B380C"/>
    <w:rsid w:val="672D7564"/>
    <w:rsid w:val="6747141E"/>
    <w:rsid w:val="67471576"/>
    <w:rsid w:val="67475078"/>
    <w:rsid w:val="674E4441"/>
    <w:rsid w:val="676A3A0E"/>
    <w:rsid w:val="676B6EC0"/>
    <w:rsid w:val="677357EA"/>
    <w:rsid w:val="677B038A"/>
    <w:rsid w:val="677F407C"/>
    <w:rsid w:val="67846944"/>
    <w:rsid w:val="67896535"/>
    <w:rsid w:val="679B681A"/>
    <w:rsid w:val="67B82659"/>
    <w:rsid w:val="67BC18AA"/>
    <w:rsid w:val="67D22954"/>
    <w:rsid w:val="67D617F7"/>
    <w:rsid w:val="67DB78EA"/>
    <w:rsid w:val="67E03858"/>
    <w:rsid w:val="67E1357C"/>
    <w:rsid w:val="67E478E1"/>
    <w:rsid w:val="67EB1CD5"/>
    <w:rsid w:val="67EB64BA"/>
    <w:rsid w:val="67F93BEC"/>
    <w:rsid w:val="68061951"/>
    <w:rsid w:val="68137FA5"/>
    <w:rsid w:val="6821620B"/>
    <w:rsid w:val="684438F1"/>
    <w:rsid w:val="685F1377"/>
    <w:rsid w:val="687C1292"/>
    <w:rsid w:val="687D5804"/>
    <w:rsid w:val="687E36E6"/>
    <w:rsid w:val="68824108"/>
    <w:rsid w:val="68847D99"/>
    <w:rsid w:val="68DF18E3"/>
    <w:rsid w:val="690B68F5"/>
    <w:rsid w:val="69100D1C"/>
    <w:rsid w:val="69151989"/>
    <w:rsid w:val="69222950"/>
    <w:rsid w:val="69225808"/>
    <w:rsid w:val="69237528"/>
    <w:rsid w:val="692B206D"/>
    <w:rsid w:val="69360D0A"/>
    <w:rsid w:val="69431995"/>
    <w:rsid w:val="694A0DD9"/>
    <w:rsid w:val="695124A7"/>
    <w:rsid w:val="6957736E"/>
    <w:rsid w:val="69596937"/>
    <w:rsid w:val="696C63CA"/>
    <w:rsid w:val="699836D9"/>
    <w:rsid w:val="699B3538"/>
    <w:rsid w:val="69B1254A"/>
    <w:rsid w:val="69B6470C"/>
    <w:rsid w:val="69B97A13"/>
    <w:rsid w:val="69BD43A9"/>
    <w:rsid w:val="69BF0487"/>
    <w:rsid w:val="69D44152"/>
    <w:rsid w:val="69D95DD4"/>
    <w:rsid w:val="69DD0F7C"/>
    <w:rsid w:val="69E42BE4"/>
    <w:rsid w:val="69EC4F1E"/>
    <w:rsid w:val="69FA19A8"/>
    <w:rsid w:val="6A0F30B1"/>
    <w:rsid w:val="6A2028F4"/>
    <w:rsid w:val="6A2227E1"/>
    <w:rsid w:val="6A2A5F03"/>
    <w:rsid w:val="6A2B4842"/>
    <w:rsid w:val="6A2C0E2B"/>
    <w:rsid w:val="6A3949CD"/>
    <w:rsid w:val="6A4943A9"/>
    <w:rsid w:val="6A4A12E1"/>
    <w:rsid w:val="6A4C7901"/>
    <w:rsid w:val="6A5C64A8"/>
    <w:rsid w:val="6A7941DB"/>
    <w:rsid w:val="6A7B5101"/>
    <w:rsid w:val="6A854C60"/>
    <w:rsid w:val="6A884B02"/>
    <w:rsid w:val="6A9B14F4"/>
    <w:rsid w:val="6AA55375"/>
    <w:rsid w:val="6AB611C6"/>
    <w:rsid w:val="6AB93973"/>
    <w:rsid w:val="6ABC1550"/>
    <w:rsid w:val="6AC30FB6"/>
    <w:rsid w:val="6ACC26DA"/>
    <w:rsid w:val="6ACC669F"/>
    <w:rsid w:val="6AD72D0D"/>
    <w:rsid w:val="6ADD26B0"/>
    <w:rsid w:val="6AE40F24"/>
    <w:rsid w:val="6AED42FA"/>
    <w:rsid w:val="6AEF00D9"/>
    <w:rsid w:val="6AFA07D1"/>
    <w:rsid w:val="6B0A46F1"/>
    <w:rsid w:val="6B127DC4"/>
    <w:rsid w:val="6B235E11"/>
    <w:rsid w:val="6B27175A"/>
    <w:rsid w:val="6B2D5E46"/>
    <w:rsid w:val="6B3A49EA"/>
    <w:rsid w:val="6B642C1E"/>
    <w:rsid w:val="6B6A5DC5"/>
    <w:rsid w:val="6B71564A"/>
    <w:rsid w:val="6B7F47E0"/>
    <w:rsid w:val="6B805315"/>
    <w:rsid w:val="6B837017"/>
    <w:rsid w:val="6B850D99"/>
    <w:rsid w:val="6B885049"/>
    <w:rsid w:val="6B8A13E7"/>
    <w:rsid w:val="6B8F3020"/>
    <w:rsid w:val="6BA37D7A"/>
    <w:rsid w:val="6BAE5BFE"/>
    <w:rsid w:val="6BC01087"/>
    <w:rsid w:val="6BC24460"/>
    <w:rsid w:val="6BC948FF"/>
    <w:rsid w:val="6BED1324"/>
    <w:rsid w:val="6C07146A"/>
    <w:rsid w:val="6C1729F5"/>
    <w:rsid w:val="6C21396A"/>
    <w:rsid w:val="6C2C0EE2"/>
    <w:rsid w:val="6C4D50E0"/>
    <w:rsid w:val="6C525710"/>
    <w:rsid w:val="6C544CC4"/>
    <w:rsid w:val="6C556F2A"/>
    <w:rsid w:val="6C6020A0"/>
    <w:rsid w:val="6C8241F4"/>
    <w:rsid w:val="6C875ED5"/>
    <w:rsid w:val="6C8E0DCE"/>
    <w:rsid w:val="6C8E5BCE"/>
    <w:rsid w:val="6C96690A"/>
    <w:rsid w:val="6CB60A2D"/>
    <w:rsid w:val="6CBF19D1"/>
    <w:rsid w:val="6CD83F68"/>
    <w:rsid w:val="6CDE1981"/>
    <w:rsid w:val="6CE67A5D"/>
    <w:rsid w:val="6D004D02"/>
    <w:rsid w:val="6D261B10"/>
    <w:rsid w:val="6D2D2968"/>
    <w:rsid w:val="6D36789B"/>
    <w:rsid w:val="6D381227"/>
    <w:rsid w:val="6D396952"/>
    <w:rsid w:val="6D68082B"/>
    <w:rsid w:val="6D6C3CD9"/>
    <w:rsid w:val="6D741A09"/>
    <w:rsid w:val="6D8C323F"/>
    <w:rsid w:val="6D972EB5"/>
    <w:rsid w:val="6D9B20E2"/>
    <w:rsid w:val="6D9B5A1E"/>
    <w:rsid w:val="6D9E4C32"/>
    <w:rsid w:val="6DAD012F"/>
    <w:rsid w:val="6DB00ABA"/>
    <w:rsid w:val="6DB176EC"/>
    <w:rsid w:val="6DBB4800"/>
    <w:rsid w:val="6DBB4B33"/>
    <w:rsid w:val="6DDE6205"/>
    <w:rsid w:val="6DED7C96"/>
    <w:rsid w:val="6DFA14C9"/>
    <w:rsid w:val="6E082F84"/>
    <w:rsid w:val="6E0B4F4B"/>
    <w:rsid w:val="6E0C30CC"/>
    <w:rsid w:val="6E167976"/>
    <w:rsid w:val="6E231C1F"/>
    <w:rsid w:val="6E2C6BFF"/>
    <w:rsid w:val="6E346CF0"/>
    <w:rsid w:val="6E415B77"/>
    <w:rsid w:val="6E611E73"/>
    <w:rsid w:val="6E6222EB"/>
    <w:rsid w:val="6E6419DD"/>
    <w:rsid w:val="6E69176C"/>
    <w:rsid w:val="6E6E17FA"/>
    <w:rsid w:val="6E765E93"/>
    <w:rsid w:val="6E7F0F25"/>
    <w:rsid w:val="6E81335A"/>
    <w:rsid w:val="6E946BB9"/>
    <w:rsid w:val="6E976AD1"/>
    <w:rsid w:val="6EAE7D5B"/>
    <w:rsid w:val="6EBB5B96"/>
    <w:rsid w:val="6EC96D75"/>
    <w:rsid w:val="6ED20B87"/>
    <w:rsid w:val="6ED73EC8"/>
    <w:rsid w:val="6ED93129"/>
    <w:rsid w:val="6EDA3164"/>
    <w:rsid w:val="6EE43DEC"/>
    <w:rsid w:val="6EE644BC"/>
    <w:rsid w:val="6EF47592"/>
    <w:rsid w:val="6EF773BF"/>
    <w:rsid w:val="6F012ACB"/>
    <w:rsid w:val="6F201914"/>
    <w:rsid w:val="6F376C9B"/>
    <w:rsid w:val="6F474999"/>
    <w:rsid w:val="6F543D8A"/>
    <w:rsid w:val="6F5926EF"/>
    <w:rsid w:val="6F5F1407"/>
    <w:rsid w:val="6F6208CD"/>
    <w:rsid w:val="6F622257"/>
    <w:rsid w:val="6F6560C1"/>
    <w:rsid w:val="6F6C4140"/>
    <w:rsid w:val="6F7B67FB"/>
    <w:rsid w:val="6F7C6EBE"/>
    <w:rsid w:val="6F942F1B"/>
    <w:rsid w:val="6F990E11"/>
    <w:rsid w:val="6F9B2509"/>
    <w:rsid w:val="6FA15659"/>
    <w:rsid w:val="6FA23B8D"/>
    <w:rsid w:val="6FA57A9C"/>
    <w:rsid w:val="6FC05C0A"/>
    <w:rsid w:val="6FC24042"/>
    <w:rsid w:val="6FCB27E2"/>
    <w:rsid w:val="6FD20922"/>
    <w:rsid w:val="6FD90C80"/>
    <w:rsid w:val="6FDF063B"/>
    <w:rsid w:val="6FEE557F"/>
    <w:rsid w:val="6FFC76DA"/>
    <w:rsid w:val="700759C7"/>
    <w:rsid w:val="70134E45"/>
    <w:rsid w:val="702067D7"/>
    <w:rsid w:val="70252C68"/>
    <w:rsid w:val="70344C2B"/>
    <w:rsid w:val="703C673B"/>
    <w:rsid w:val="7046614D"/>
    <w:rsid w:val="704D6B43"/>
    <w:rsid w:val="70670E26"/>
    <w:rsid w:val="70675D3A"/>
    <w:rsid w:val="7069680A"/>
    <w:rsid w:val="706E0F02"/>
    <w:rsid w:val="70751C39"/>
    <w:rsid w:val="707B7032"/>
    <w:rsid w:val="707F2BC0"/>
    <w:rsid w:val="708D01B4"/>
    <w:rsid w:val="70913F0E"/>
    <w:rsid w:val="709C1496"/>
    <w:rsid w:val="70AB4E63"/>
    <w:rsid w:val="70B20203"/>
    <w:rsid w:val="70B81C4D"/>
    <w:rsid w:val="70BB13B2"/>
    <w:rsid w:val="70BD1383"/>
    <w:rsid w:val="70C14768"/>
    <w:rsid w:val="70C6295F"/>
    <w:rsid w:val="70D047B6"/>
    <w:rsid w:val="70D23DFD"/>
    <w:rsid w:val="70D81B18"/>
    <w:rsid w:val="70FD515B"/>
    <w:rsid w:val="71090026"/>
    <w:rsid w:val="71097A43"/>
    <w:rsid w:val="710D2E64"/>
    <w:rsid w:val="71262090"/>
    <w:rsid w:val="71373BAA"/>
    <w:rsid w:val="71385E24"/>
    <w:rsid w:val="714F0D2F"/>
    <w:rsid w:val="7150260A"/>
    <w:rsid w:val="716950E8"/>
    <w:rsid w:val="717C55B3"/>
    <w:rsid w:val="717F1475"/>
    <w:rsid w:val="719053CB"/>
    <w:rsid w:val="7190663E"/>
    <w:rsid w:val="719D459F"/>
    <w:rsid w:val="71A534BE"/>
    <w:rsid w:val="71A90922"/>
    <w:rsid w:val="71A962FA"/>
    <w:rsid w:val="71C5167A"/>
    <w:rsid w:val="71D13A32"/>
    <w:rsid w:val="71D5332E"/>
    <w:rsid w:val="71F02680"/>
    <w:rsid w:val="7210078C"/>
    <w:rsid w:val="72103A3E"/>
    <w:rsid w:val="721774AE"/>
    <w:rsid w:val="7220044F"/>
    <w:rsid w:val="722A3AA3"/>
    <w:rsid w:val="723D4E13"/>
    <w:rsid w:val="72431233"/>
    <w:rsid w:val="72441AB5"/>
    <w:rsid w:val="725020F5"/>
    <w:rsid w:val="725252B1"/>
    <w:rsid w:val="72694004"/>
    <w:rsid w:val="727A08F8"/>
    <w:rsid w:val="72804663"/>
    <w:rsid w:val="72816B38"/>
    <w:rsid w:val="729B6A53"/>
    <w:rsid w:val="729F0AD1"/>
    <w:rsid w:val="729F6BF4"/>
    <w:rsid w:val="72A40898"/>
    <w:rsid w:val="72B324B9"/>
    <w:rsid w:val="72B91F81"/>
    <w:rsid w:val="72BC5211"/>
    <w:rsid w:val="72CB5891"/>
    <w:rsid w:val="72CC440D"/>
    <w:rsid w:val="72E81CB8"/>
    <w:rsid w:val="72FB5B0B"/>
    <w:rsid w:val="72FE4D53"/>
    <w:rsid w:val="72FE7A0C"/>
    <w:rsid w:val="72FF2378"/>
    <w:rsid w:val="73122639"/>
    <w:rsid w:val="73144B6A"/>
    <w:rsid w:val="731A6369"/>
    <w:rsid w:val="73347388"/>
    <w:rsid w:val="73364120"/>
    <w:rsid w:val="73364FAA"/>
    <w:rsid w:val="7336617C"/>
    <w:rsid w:val="733C18EA"/>
    <w:rsid w:val="7348157D"/>
    <w:rsid w:val="734C0D15"/>
    <w:rsid w:val="734C17D9"/>
    <w:rsid w:val="73624B32"/>
    <w:rsid w:val="73664F92"/>
    <w:rsid w:val="736D4F88"/>
    <w:rsid w:val="7371525C"/>
    <w:rsid w:val="73833582"/>
    <w:rsid w:val="73965130"/>
    <w:rsid w:val="73A85FF9"/>
    <w:rsid w:val="73AA4BA5"/>
    <w:rsid w:val="73AF66EB"/>
    <w:rsid w:val="73B37198"/>
    <w:rsid w:val="73BB7119"/>
    <w:rsid w:val="73C064A9"/>
    <w:rsid w:val="73CE0FA3"/>
    <w:rsid w:val="73CE2F68"/>
    <w:rsid w:val="73D23847"/>
    <w:rsid w:val="73E85B29"/>
    <w:rsid w:val="73F42465"/>
    <w:rsid w:val="73F7230B"/>
    <w:rsid w:val="73FC264D"/>
    <w:rsid w:val="74091D37"/>
    <w:rsid w:val="740A47E9"/>
    <w:rsid w:val="74102AB1"/>
    <w:rsid w:val="742210F5"/>
    <w:rsid w:val="74226345"/>
    <w:rsid w:val="742328BA"/>
    <w:rsid w:val="74361B2E"/>
    <w:rsid w:val="743923D6"/>
    <w:rsid w:val="743D2776"/>
    <w:rsid w:val="743F0034"/>
    <w:rsid w:val="744F2119"/>
    <w:rsid w:val="745E2EA0"/>
    <w:rsid w:val="746019C4"/>
    <w:rsid w:val="747A5CF6"/>
    <w:rsid w:val="747F5E1B"/>
    <w:rsid w:val="74843DC5"/>
    <w:rsid w:val="74870E3F"/>
    <w:rsid w:val="748D26CB"/>
    <w:rsid w:val="74930B55"/>
    <w:rsid w:val="74931EE9"/>
    <w:rsid w:val="749C0585"/>
    <w:rsid w:val="74A27916"/>
    <w:rsid w:val="74AB17B4"/>
    <w:rsid w:val="74AE19E2"/>
    <w:rsid w:val="74AF289C"/>
    <w:rsid w:val="74B15AC6"/>
    <w:rsid w:val="74BA25E7"/>
    <w:rsid w:val="74BF569B"/>
    <w:rsid w:val="74CC53B2"/>
    <w:rsid w:val="74DF0732"/>
    <w:rsid w:val="74DF1A98"/>
    <w:rsid w:val="74E3774F"/>
    <w:rsid w:val="74E464D3"/>
    <w:rsid w:val="74F6128B"/>
    <w:rsid w:val="74F6348F"/>
    <w:rsid w:val="74FD5C32"/>
    <w:rsid w:val="750D11F7"/>
    <w:rsid w:val="751255BC"/>
    <w:rsid w:val="751B0AA0"/>
    <w:rsid w:val="75240D25"/>
    <w:rsid w:val="75305176"/>
    <w:rsid w:val="753C6BB8"/>
    <w:rsid w:val="7543144E"/>
    <w:rsid w:val="75466591"/>
    <w:rsid w:val="755274C8"/>
    <w:rsid w:val="75632C7E"/>
    <w:rsid w:val="75697F1A"/>
    <w:rsid w:val="75744725"/>
    <w:rsid w:val="75920159"/>
    <w:rsid w:val="759317FB"/>
    <w:rsid w:val="75974031"/>
    <w:rsid w:val="75A42A5C"/>
    <w:rsid w:val="75A97A54"/>
    <w:rsid w:val="75B012C8"/>
    <w:rsid w:val="75B043D5"/>
    <w:rsid w:val="75B51775"/>
    <w:rsid w:val="75C27CB7"/>
    <w:rsid w:val="75CF38B6"/>
    <w:rsid w:val="75D71270"/>
    <w:rsid w:val="75DB3FD4"/>
    <w:rsid w:val="75DC1CD7"/>
    <w:rsid w:val="75E10B56"/>
    <w:rsid w:val="75FA04E6"/>
    <w:rsid w:val="75FC31E0"/>
    <w:rsid w:val="75FC7094"/>
    <w:rsid w:val="7600640B"/>
    <w:rsid w:val="76012438"/>
    <w:rsid w:val="76204306"/>
    <w:rsid w:val="762F3671"/>
    <w:rsid w:val="764E2D27"/>
    <w:rsid w:val="767A2305"/>
    <w:rsid w:val="767D637E"/>
    <w:rsid w:val="76954D23"/>
    <w:rsid w:val="769566BA"/>
    <w:rsid w:val="76963DD0"/>
    <w:rsid w:val="76A50A1C"/>
    <w:rsid w:val="76B07F9B"/>
    <w:rsid w:val="76B3338A"/>
    <w:rsid w:val="76BA634A"/>
    <w:rsid w:val="76BB792A"/>
    <w:rsid w:val="76D458CD"/>
    <w:rsid w:val="76DF2318"/>
    <w:rsid w:val="77076A77"/>
    <w:rsid w:val="770B3599"/>
    <w:rsid w:val="770C23C2"/>
    <w:rsid w:val="77267AB0"/>
    <w:rsid w:val="775539DD"/>
    <w:rsid w:val="776327D2"/>
    <w:rsid w:val="776D4838"/>
    <w:rsid w:val="77733833"/>
    <w:rsid w:val="777F5E66"/>
    <w:rsid w:val="777F7FB4"/>
    <w:rsid w:val="779D7423"/>
    <w:rsid w:val="77AB7573"/>
    <w:rsid w:val="77C41251"/>
    <w:rsid w:val="77C5412C"/>
    <w:rsid w:val="77C85093"/>
    <w:rsid w:val="77C9460D"/>
    <w:rsid w:val="77CF643B"/>
    <w:rsid w:val="77E9126F"/>
    <w:rsid w:val="77F023B2"/>
    <w:rsid w:val="77F67125"/>
    <w:rsid w:val="77F84593"/>
    <w:rsid w:val="77FC6953"/>
    <w:rsid w:val="78000F06"/>
    <w:rsid w:val="780C6D35"/>
    <w:rsid w:val="78295994"/>
    <w:rsid w:val="782B6BF5"/>
    <w:rsid w:val="78334893"/>
    <w:rsid w:val="783575FE"/>
    <w:rsid w:val="783A2036"/>
    <w:rsid w:val="783C669E"/>
    <w:rsid w:val="78455A71"/>
    <w:rsid w:val="78514F54"/>
    <w:rsid w:val="7860409F"/>
    <w:rsid w:val="78776A30"/>
    <w:rsid w:val="78780546"/>
    <w:rsid w:val="787809EF"/>
    <w:rsid w:val="78852465"/>
    <w:rsid w:val="788F7C34"/>
    <w:rsid w:val="7899795A"/>
    <w:rsid w:val="78A66700"/>
    <w:rsid w:val="78AC19CC"/>
    <w:rsid w:val="78AF3271"/>
    <w:rsid w:val="78BF6678"/>
    <w:rsid w:val="78CC6900"/>
    <w:rsid w:val="78E0674F"/>
    <w:rsid w:val="78E22E04"/>
    <w:rsid w:val="78E840D9"/>
    <w:rsid w:val="78EE2056"/>
    <w:rsid w:val="78FB324F"/>
    <w:rsid w:val="790A3AA2"/>
    <w:rsid w:val="790C642B"/>
    <w:rsid w:val="791039E8"/>
    <w:rsid w:val="791609F0"/>
    <w:rsid w:val="791C2303"/>
    <w:rsid w:val="792907D9"/>
    <w:rsid w:val="792E2548"/>
    <w:rsid w:val="79325E8F"/>
    <w:rsid w:val="793C38C3"/>
    <w:rsid w:val="794D10A0"/>
    <w:rsid w:val="794E68B6"/>
    <w:rsid w:val="79554E8E"/>
    <w:rsid w:val="79695A6A"/>
    <w:rsid w:val="796C2EFE"/>
    <w:rsid w:val="796C41C0"/>
    <w:rsid w:val="79777840"/>
    <w:rsid w:val="798E53FE"/>
    <w:rsid w:val="799821E8"/>
    <w:rsid w:val="79A15DB3"/>
    <w:rsid w:val="79A31EC5"/>
    <w:rsid w:val="79AC6F98"/>
    <w:rsid w:val="79B32C90"/>
    <w:rsid w:val="79C73561"/>
    <w:rsid w:val="79C81C2B"/>
    <w:rsid w:val="79D04E1C"/>
    <w:rsid w:val="79D30465"/>
    <w:rsid w:val="79D4723E"/>
    <w:rsid w:val="79D50428"/>
    <w:rsid w:val="79D7447A"/>
    <w:rsid w:val="79DF5DBA"/>
    <w:rsid w:val="79EB579A"/>
    <w:rsid w:val="7A3B3A37"/>
    <w:rsid w:val="7A3E1784"/>
    <w:rsid w:val="7A4464FF"/>
    <w:rsid w:val="7A4857A5"/>
    <w:rsid w:val="7A522E24"/>
    <w:rsid w:val="7A5A4B18"/>
    <w:rsid w:val="7A6123FA"/>
    <w:rsid w:val="7A641F7B"/>
    <w:rsid w:val="7A654FA0"/>
    <w:rsid w:val="7A672FE0"/>
    <w:rsid w:val="7A9B4574"/>
    <w:rsid w:val="7AA56579"/>
    <w:rsid w:val="7AAE1B31"/>
    <w:rsid w:val="7ABA4FF3"/>
    <w:rsid w:val="7ABF2C8D"/>
    <w:rsid w:val="7AC61625"/>
    <w:rsid w:val="7ACB322D"/>
    <w:rsid w:val="7ACB6006"/>
    <w:rsid w:val="7ADB2328"/>
    <w:rsid w:val="7ADE1971"/>
    <w:rsid w:val="7AEC5891"/>
    <w:rsid w:val="7AF2245A"/>
    <w:rsid w:val="7AF82603"/>
    <w:rsid w:val="7B023ECB"/>
    <w:rsid w:val="7B0D6B3A"/>
    <w:rsid w:val="7B0E4D7A"/>
    <w:rsid w:val="7B2017BB"/>
    <w:rsid w:val="7B2017EB"/>
    <w:rsid w:val="7B213774"/>
    <w:rsid w:val="7B22115B"/>
    <w:rsid w:val="7B2A25DE"/>
    <w:rsid w:val="7B2C1F7A"/>
    <w:rsid w:val="7B3618CA"/>
    <w:rsid w:val="7B39212A"/>
    <w:rsid w:val="7B4823AF"/>
    <w:rsid w:val="7B4D07B0"/>
    <w:rsid w:val="7B501C7F"/>
    <w:rsid w:val="7B5034BD"/>
    <w:rsid w:val="7B51654A"/>
    <w:rsid w:val="7B5D04D6"/>
    <w:rsid w:val="7B63526F"/>
    <w:rsid w:val="7B672AD6"/>
    <w:rsid w:val="7B7529DA"/>
    <w:rsid w:val="7B883F7F"/>
    <w:rsid w:val="7B896BE5"/>
    <w:rsid w:val="7B9C26B8"/>
    <w:rsid w:val="7BA37978"/>
    <w:rsid w:val="7BB10E75"/>
    <w:rsid w:val="7BB20A56"/>
    <w:rsid w:val="7BB76778"/>
    <w:rsid w:val="7BC40E6F"/>
    <w:rsid w:val="7BC63EAE"/>
    <w:rsid w:val="7BCC0F88"/>
    <w:rsid w:val="7BD70B10"/>
    <w:rsid w:val="7BDE2239"/>
    <w:rsid w:val="7BDF765B"/>
    <w:rsid w:val="7BFE6314"/>
    <w:rsid w:val="7C0171F3"/>
    <w:rsid w:val="7C082D09"/>
    <w:rsid w:val="7C0A4BEC"/>
    <w:rsid w:val="7C100400"/>
    <w:rsid w:val="7C160B5D"/>
    <w:rsid w:val="7C180B8F"/>
    <w:rsid w:val="7C1B5151"/>
    <w:rsid w:val="7C1B7841"/>
    <w:rsid w:val="7C1C0EBE"/>
    <w:rsid w:val="7C1E0D98"/>
    <w:rsid w:val="7C1F696D"/>
    <w:rsid w:val="7C5D1452"/>
    <w:rsid w:val="7C6C0B89"/>
    <w:rsid w:val="7C707CB2"/>
    <w:rsid w:val="7C7641A6"/>
    <w:rsid w:val="7C770AB9"/>
    <w:rsid w:val="7C7805F8"/>
    <w:rsid w:val="7CA51D1B"/>
    <w:rsid w:val="7CAA5DEE"/>
    <w:rsid w:val="7CAD4A00"/>
    <w:rsid w:val="7CC23042"/>
    <w:rsid w:val="7CC36B00"/>
    <w:rsid w:val="7CCA56AF"/>
    <w:rsid w:val="7CCC0E37"/>
    <w:rsid w:val="7CD04D1E"/>
    <w:rsid w:val="7CD66D7B"/>
    <w:rsid w:val="7CE10D34"/>
    <w:rsid w:val="7CE74C50"/>
    <w:rsid w:val="7CF01CEA"/>
    <w:rsid w:val="7CFB773B"/>
    <w:rsid w:val="7D035AE3"/>
    <w:rsid w:val="7D116434"/>
    <w:rsid w:val="7D155BD8"/>
    <w:rsid w:val="7D1A2208"/>
    <w:rsid w:val="7D1C3053"/>
    <w:rsid w:val="7D270349"/>
    <w:rsid w:val="7D450A75"/>
    <w:rsid w:val="7D4C77E8"/>
    <w:rsid w:val="7D536B4D"/>
    <w:rsid w:val="7D5620DB"/>
    <w:rsid w:val="7D5E57E0"/>
    <w:rsid w:val="7D6C0EE1"/>
    <w:rsid w:val="7D7E6556"/>
    <w:rsid w:val="7D8D67A8"/>
    <w:rsid w:val="7D9226DD"/>
    <w:rsid w:val="7D9642C5"/>
    <w:rsid w:val="7D9D5AAB"/>
    <w:rsid w:val="7D9F0394"/>
    <w:rsid w:val="7DA01276"/>
    <w:rsid w:val="7DA50435"/>
    <w:rsid w:val="7DB06D94"/>
    <w:rsid w:val="7DB51124"/>
    <w:rsid w:val="7DBC2015"/>
    <w:rsid w:val="7DC253FD"/>
    <w:rsid w:val="7DC9049B"/>
    <w:rsid w:val="7DCC7E99"/>
    <w:rsid w:val="7DD73C45"/>
    <w:rsid w:val="7DDA01E9"/>
    <w:rsid w:val="7DE13D01"/>
    <w:rsid w:val="7DE51D3A"/>
    <w:rsid w:val="7DE653F6"/>
    <w:rsid w:val="7DE86AD1"/>
    <w:rsid w:val="7DF927E8"/>
    <w:rsid w:val="7DFB4C9B"/>
    <w:rsid w:val="7E111985"/>
    <w:rsid w:val="7E117011"/>
    <w:rsid w:val="7E136069"/>
    <w:rsid w:val="7E1F242C"/>
    <w:rsid w:val="7E2245F5"/>
    <w:rsid w:val="7E2F2D7F"/>
    <w:rsid w:val="7E364453"/>
    <w:rsid w:val="7E3E5883"/>
    <w:rsid w:val="7E3F2BA4"/>
    <w:rsid w:val="7E50651E"/>
    <w:rsid w:val="7E526502"/>
    <w:rsid w:val="7E5D1126"/>
    <w:rsid w:val="7E65543B"/>
    <w:rsid w:val="7E667EB3"/>
    <w:rsid w:val="7E6C7F1F"/>
    <w:rsid w:val="7E72259A"/>
    <w:rsid w:val="7E767072"/>
    <w:rsid w:val="7EA912FD"/>
    <w:rsid w:val="7EAA7806"/>
    <w:rsid w:val="7EAB69C9"/>
    <w:rsid w:val="7EBC2527"/>
    <w:rsid w:val="7ED13B0D"/>
    <w:rsid w:val="7EEC329D"/>
    <w:rsid w:val="7EED17E3"/>
    <w:rsid w:val="7F071662"/>
    <w:rsid w:val="7F0C3FD3"/>
    <w:rsid w:val="7F152C0E"/>
    <w:rsid w:val="7F210F52"/>
    <w:rsid w:val="7F332615"/>
    <w:rsid w:val="7F332EA4"/>
    <w:rsid w:val="7F335B1B"/>
    <w:rsid w:val="7F35100D"/>
    <w:rsid w:val="7F401AD1"/>
    <w:rsid w:val="7F556033"/>
    <w:rsid w:val="7F57032A"/>
    <w:rsid w:val="7F5E40BD"/>
    <w:rsid w:val="7F632326"/>
    <w:rsid w:val="7F7178B0"/>
    <w:rsid w:val="7F8601F2"/>
    <w:rsid w:val="7F911BBF"/>
    <w:rsid w:val="7F9D31D1"/>
    <w:rsid w:val="7FA05061"/>
    <w:rsid w:val="7FA300A9"/>
    <w:rsid w:val="7FA74653"/>
    <w:rsid w:val="7FA83656"/>
    <w:rsid w:val="7FAB0BEE"/>
    <w:rsid w:val="7FBF7FAE"/>
    <w:rsid w:val="7FC36E4D"/>
    <w:rsid w:val="7FCE1913"/>
    <w:rsid w:val="7FD01611"/>
    <w:rsid w:val="7FD1021C"/>
    <w:rsid w:val="7FE37170"/>
    <w:rsid w:val="7FEC49F2"/>
    <w:rsid w:val="7FF9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qFormat/>
    <w:uiPriority w:val="0"/>
    <w:rPr>
      <w:b/>
      <w:bCs/>
    </w:rPr>
  </w:style>
  <w:style w:type="paragraph" w:customStyle="1" w:styleId="7">
    <w:name w:val="样式 四号 段后: 15.6 磅"/>
    <w:basedOn w:val="1"/>
    <w:qFormat/>
    <w:uiPriority w:val="0"/>
    <w:pPr>
      <w:spacing w:after="120" w:afterLines="0" w:line="360" w:lineRule="auto"/>
      <w:ind w:firstLine="20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2022-11-16T01:01:00Z</dcterms:created>
  <dc:creator>王连琬</dc:creator>
  <cp:lastModifiedBy>王连琬</cp:lastModifiedBy>
  <dcterms:modified xsi:type="dcterms:W3CDTF">2022-12-01T01:52:25Z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