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同意报考证明</w:t>
      </w:r>
    </w:p>
    <w:bookmarkEnd w:id="0"/>
    <w:p>
      <w:pPr>
        <w:pStyle w:val="3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eastAsia="zh-CN"/>
        </w:rPr>
        <w:t>海南省屯昌县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教育局：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（身份证码：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屯昌县基层教育专业技术人才激励机制改革试点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农村地区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公开竞聘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该同志在我单位的工作开始时间为：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(盖章):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单位联系电话：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pStyle w:val="3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6" w:type="dxa"/>
            <w:gridSpan w:val="2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bidi="ar-SA"/>
              </w:rPr>
              <w:t>如属在编人员需经所在单位上级主管部门同意并盖章：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18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主管部门意见：</w:t>
            </w:r>
          </w:p>
        </w:tc>
        <w:tc>
          <w:tcPr>
            <w:tcW w:w="45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(盖章):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单位联系电话：</w:t>
            </w:r>
          </w:p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2F2A"/>
    <w:rsid w:val="680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2022-08-01T06:56:00Z</dcterms:created>
  <dc:creator>Administrator</dc:creator>
  <cp:lastModifiedBy>Administrator</cp:lastModifiedBy>
  <dcterms:modified xsi:type="dcterms:W3CDTF">2022-08-01T06:57:15Z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