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cs="黑体"/>
          <w:b/>
          <w:bCs/>
          <w:sz w:val="52"/>
          <w:szCs w:val="52"/>
          <w:lang w:eastAsia="zh-CN"/>
        </w:rPr>
      </w:pPr>
      <w:r>
        <w:rPr>
          <w:rFonts w:hint="eastAsia" w:ascii="黑体" w:hAnsi="黑体" w:eastAsia="黑体" w:cs="黑体"/>
          <w:b/>
          <w:bCs/>
          <w:sz w:val="52"/>
          <w:szCs w:val="52"/>
        </w:rPr>
        <w:t>201</w:t>
      </w:r>
      <w:r>
        <w:rPr>
          <w:rFonts w:hint="eastAsia" w:ascii="黑体" w:hAnsi="黑体" w:eastAsia="黑体" w:cs="黑体"/>
          <w:b/>
          <w:bCs/>
          <w:sz w:val="52"/>
          <w:szCs w:val="52"/>
          <w:lang w:val="en-US" w:eastAsia="zh-CN"/>
        </w:rPr>
        <w:t>9</w:t>
      </w:r>
      <w:r>
        <w:rPr>
          <w:rFonts w:hint="eastAsia" w:ascii="黑体" w:hAnsi="黑体" w:eastAsia="黑体" w:cs="黑体"/>
          <w:b/>
          <w:bCs/>
          <w:sz w:val="52"/>
          <w:szCs w:val="52"/>
        </w:rPr>
        <w:t>年</w:t>
      </w:r>
      <w:r>
        <w:rPr>
          <w:rFonts w:hint="eastAsia" w:ascii="黑体" w:hAnsi="黑体" w:eastAsia="黑体" w:cs="黑体"/>
          <w:b/>
          <w:bCs/>
          <w:sz w:val="52"/>
          <w:szCs w:val="52"/>
          <w:lang w:eastAsia="zh-CN"/>
        </w:rPr>
        <w:t>屯昌县人民政府办公室</w:t>
      </w:r>
    </w:p>
    <w:p>
      <w:pPr>
        <w:jc w:val="center"/>
        <w:rPr>
          <w:rFonts w:hint="eastAsia" w:ascii="黑体" w:hAnsi="黑体" w:eastAsia="黑体" w:cs="黑体"/>
          <w:b/>
          <w:bCs/>
          <w:sz w:val="52"/>
          <w:szCs w:val="52"/>
        </w:rPr>
      </w:pPr>
      <w:r>
        <w:rPr>
          <w:rFonts w:hint="eastAsia" w:ascii="黑体" w:hAnsi="黑体" w:eastAsia="黑体" w:cs="黑体"/>
          <w:b/>
          <w:bCs/>
          <w:sz w:val="52"/>
          <w:szCs w:val="52"/>
        </w:rPr>
        <w:t>部门预算</w:t>
      </w:r>
    </w:p>
    <w:p>
      <w:pPr>
        <w:ind w:firstLine="1680"/>
        <w:jc w:val="center"/>
        <w:rPr>
          <w:rFonts w:hint="eastAsia" w:ascii="黑体" w:hAnsi="黑体" w:eastAsia="黑体" w:cs="黑体"/>
          <w:sz w:val="48"/>
          <w:szCs w:val="48"/>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r>
        <w:rPr>
          <w:rFonts w:hint="eastAsia" w:ascii="黑体" w:hAnsi="黑体" w:eastAsia="黑体"/>
          <w:sz w:val="52"/>
          <w:szCs w:val="52"/>
        </w:rPr>
        <w:br w:type="page"/>
      </w:r>
    </w:p>
    <w:p>
      <w:pPr>
        <w:jc w:val="both"/>
        <w:rPr>
          <w:rFonts w:hint="eastAsia" w:ascii="黑体" w:hAnsi="黑体" w:eastAsia="黑体"/>
          <w:sz w:val="52"/>
          <w:szCs w:val="52"/>
        </w:rPr>
      </w:pPr>
      <w:bookmarkStart w:id="0" w:name="_GoBack"/>
      <w:bookmarkEnd w:id="0"/>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屯昌县人民政府办公室</w:t>
      </w:r>
      <w:r>
        <w:rPr>
          <w:rFonts w:hint="eastAsia" w:ascii="黑体" w:hAnsi="黑体" w:eastAsia="黑体" w:cs="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屯昌县人民政府办公室</w:t>
      </w: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屯昌县人民政府办公室</w:t>
      </w: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numPr>
          <w:ilvl w:val="0"/>
          <w:numId w:val="0"/>
        </w:numPr>
        <w:ind w:leftChars="0"/>
        <w:jc w:val="left"/>
        <w:rPr>
          <w:rFonts w:ascii="仿宋_GB2312" w:hAnsi="仿宋_GB2312" w:eastAsia="仿宋_GB2312" w:cs="仿宋_GB2312"/>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屯昌县人民政府办公室</w:t>
      </w:r>
      <w:r>
        <w:rPr>
          <w:rFonts w:hint="eastAsia" w:ascii="黑体" w:hAnsi="黑体" w:eastAsia="黑体"/>
          <w:sz w:val="32"/>
          <w:szCs w:val="32"/>
        </w:rPr>
        <w:t>概况</w:t>
      </w:r>
    </w:p>
    <w:p>
      <w:pPr>
        <w:pStyle w:val="7"/>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t>（一）贯彻</w:t>
      </w:r>
      <w:r>
        <w:rPr>
          <w:rFonts w:hint="eastAsia" w:ascii="仿宋_GB2312" w:hAnsi="仿宋_GB2312" w:eastAsia="仿宋_GB2312" w:cs="仿宋_GB2312"/>
          <w:color w:val="auto"/>
          <w:sz w:val="32"/>
          <w:szCs w:val="32"/>
        </w:rPr>
        <w:t>落实党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国家</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省委、省政府</w:t>
      </w:r>
      <w:r>
        <w:rPr>
          <w:rFonts w:hint="eastAsia" w:ascii="仿宋_GB2312" w:hAnsi="仿宋_GB2312" w:eastAsia="仿宋_GB2312" w:cs="仿宋_GB2312"/>
          <w:color w:val="auto"/>
          <w:sz w:val="32"/>
          <w:szCs w:val="32"/>
        </w:rPr>
        <w:t>的方针政策</w:t>
      </w:r>
      <w:r>
        <w:rPr>
          <w:rFonts w:hint="eastAsia" w:ascii="仿宋_GB2312" w:hAnsi="仿宋_GB2312" w:eastAsia="仿宋_GB2312" w:cs="仿宋_GB2312"/>
          <w:bCs/>
          <w:color w:val="auto"/>
          <w:sz w:val="32"/>
          <w:szCs w:val="32"/>
        </w:rPr>
        <w:t>、法律法规，</w:t>
      </w:r>
      <w:r>
        <w:rPr>
          <w:rFonts w:hint="eastAsia" w:ascii="仿宋_GB2312" w:hAnsi="仿宋_GB2312" w:eastAsia="仿宋_GB2312"/>
          <w:sz w:val="32"/>
          <w:lang w:val="en-US" w:eastAsia="zh-CN"/>
        </w:rPr>
        <w:t>执行县委、县政府的决策部署和</w:t>
      </w:r>
      <w:r>
        <w:rPr>
          <w:rFonts w:hint="eastAsia" w:ascii="仿宋" w:hAnsi="仿宋" w:eastAsia="仿宋"/>
          <w:sz w:val="32"/>
          <w:szCs w:val="32"/>
          <w:lang w:eastAsia="zh-CN"/>
        </w:rPr>
        <w:t>中</w:t>
      </w:r>
      <w:r>
        <w:rPr>
          <w:rFonts w:hint="eastAsia" w:ascii="仿宋" w:hAnsi="仿宋" w:eastAsia="仿宋"/>
          <w:color w:val="auto"/>
          <w:sz w:val="32"/>
          <w:szCs w:val="32"/>
          <w:lang w:eastAsia="zh-CN"/>
        </w:rPr>
        <w:t>国（</w:t>
      </w:r>
      <w:r>
        <w:rPr>
          <w:rFonts w:hint="eastAsia" w:ascii="仿宋" w:hAnsi="仿宋" w:eastAsia="仿宋"/>
          <w:color w:val="auto"/>
          <w:sz w:val="32"/>
          <w:szCs w:val="32"/>
        </w:rPr>
        <w:t>海南</w:t>
      </w:r>
      <w:r>
        <w:rPr>
          <w:rFonts w:hint="eastAsia" w:ascii="仿宋" w:hAnsi="仿宋" w:eastAsia="仿宋"/>
          <w:color w:val="auto"/>
          <w:sz w:val="32"/>
          <w:szCs w:val="32"/>
          <w:lang w:eastAsia="zh-CN"/>
        </w:rPr>
        <w:t>）</w:t>
      </w:r>
      <w:r>
        <w:rPr>
          <w:rFonts w:hint="eastAsia" w:ascii="仿宋" w:hAnsi="仿宋" w:eastAsia="仿宋"/>
          <w:color w:val="auto"/>
          <w:sz w:val="32"/>
          <w:szCs w:val="32"/>
        </w:rPr>
        <w:t>自由贸易试验区</w:t>
      </w:r>
      <w:r>
        <w:rPr>
          <w:rFonts w:hint="eastAsia" w:ascii="仿宋" w:hAnsi="仿宋" w:eastAsia="仿宋"/>
          <w:color w:val="auto"/>
          <w:sz w:val="32"/>
          <w:szCs w:val="32"/>
          <w:lang w:eastAsia="zh-CN"/>
        </w:rPr>
        <w:t>、中国特色</w:t>
      </w:r>
      <w:r>
        <w:rPr>
          <w:rFonts w:hint="eastAsia" w:ascii="仿宋" w:hAnsi="仿宋" w:eastAsia="仿宋"/>
          <w:color w:val="auto"/>
          <w:sz w:val="32"/>
          <w:szCs w:val="32"/>
        </w:rPr>
        <w:t>自由贸易</w:t>
      </w:r>
      <w:r>
        <w:rPr>
          <w:rFonts w:hint="eastAsia" w:ascii="仿宋" w:hAnsi="仿宋" w:eastAsia="仿宋"/>
          <w:color w:val="auto"/>
          <w:sz w:val="32"/>
          <w:szCs w:val="32"/>
          <w:lang w:eastAsia="zh-CN"/>
        </w:rPr>
        <w:t>港</w:t>
      </w:r>
      <w:r>
        <w:rPr>
          <w:rFonts w:hint="eastAsia" w:ascii="仿宋_GB2312" w:hAnsi="仿宋_GB2312" w:eastAsia="仿宋_GB2312"/>
          <w:color w:val="auto"/>
          <w:sz w:val="32"/>
          <w:lang w:val="en-US" w:eastAsia="zh-CN"/>
        </w:rPr>
        <w:t>政策措施。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牵头研究拟订并组织实施全县信访、档案工作政策规定和发展规划，研究推进信访、档案改革，研究提出全县信访、档案工作方面的意见和建议。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政府会议的准备工作，协助</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政府领导同志组织实施会议决定事项</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）协助</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政府领导同志组织起草或审核以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政府办公</w:t>
      </w:r>
      <w:r>
        <w:rPr>
          <w:rFonts w:hint="eastAsia" w:ascii="仿宋_GB2312" w:hAnsi="仿宋_GB2312" w:eastAsia="仿宋_GB2312" w:cs="仿宋_GB2312"/>
          <w:color w:val="auto"/>
          <w:sz w:val="32"/>
          <w:szCs w:val="32"/>
          <w:lang w:eastAsia="zh-CN"/>
        </w:rPr>
        <w:t>室</w:t>
      </w:r>
      <w:r>
        <w:rPr>
          <w:rFonts w:hint="eastAsia" w:ascii="仿宋_GB2312" w:hAnsi="仿宋_GB2312" w:eastAsia="仿宋_GB2312" w:cs="仿宋_GB2312"/>
          <w:color w:val="auto"/>
          <w:sz w:val="32"/>
          <w:szCs w:val="32"/>
        </w:rPr>
        <w:t>名义发布的公文。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）研究各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人民政府和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政府各部门请示</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政府的事项，提出审核意见，报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政府领导同志审批。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）督促检查各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人民政府和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政府各部门对</w:t>
      </w:r>
      <w:r>
        <w:rPr>
          <w:rFonts w:hint="eastAsia" w:ascii="仿宋_GB2312" w:hAnsi="仿宋_GB2312" w:eastAsia="仿宋_GB2312" w:cs="仿宋_GB2312"/>
          <w:color w:val="auto"/>
          <w:sz w:val="32"/>
          <w:szCs w:val="32"/>
          <w:lang w:eastAsia="zh-CN"/>
        </w:rPr>
        <w:t>省政府重大决策部署、省政府领导重要批示指示和县</w:t>
      </w:r>
      <w:r>
        <w:rPr>
          <w:rFonts w:hint="eastAsia" w:ascii="仿宋_GB2312" w:hAnsi="仿宋_GB2312" w:eastAsia="仿宋_GB2312" w:cs="仿宋_GB2312"/>
          <w:color w:val="auto"/>
          <w:sz w:val="32"/>
          <w:szCs w:val="32"/>
        </w:rPr>
        <w:t>政府决定事项、</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政府领导同志指示及</w:t>
      </w:r>
      <w:r>
        <w:rPr>
          <w:rFonts w:hint="eastAsia" w:ascii="仿宋_GB2312" w:hAnsi="仿宋_GB2312" w:eastAsia="仿宋_GB2312" w:cs="仿宋_GB2312"/>
          <w:color w:val="auto"/>
          <w:sz w:val="32"/>
          <w:szCs w:val="32"/>
          <w:lang w:eastAsia="zh-CN"/>
        </w:rPr>
        <w:t>中国（</w:t>
      </w:r>
      <w:r>
        <w:rPr>
          <w:rFonts w:hint="eastAsia" w:ascii="仿宋_GB2312" w:hAnsi="仿宋_GB2312" w:eastAsia="仿宋_GB2312" w:cs="仿宋_GB2312"/>
          <w:bCs/>
          <w:color w:val="auto"/>
          <w:sz w:val="32"/>
          <w:szCs w:val="32"/>
        </w:rPr>
        <w:t>海南</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自由贸易试验区（自由贸易港）政策</w:t>
      </w:r>
      <w:r>
        <w:rPr>
          <w:rFonts w:hint="eastAsia" w:ascii="仿宋_GB2312" w:hAnsi="仿宋_GB2312" w:eastAsia="仿宋_GB2312" w:cs="仿宋_GB2312"/>
          <w:color w:val="auto"/>
          <w:sz w:val="32"/>
          <w:szCs w:val="32"/>
        </w:rPr>
        <w:t>的贯彻落实情况，及时向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人大、</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政协和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人大、</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政协交</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政府的有关议案、提案的办理工作。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）负责全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政务信息的采编、分析、上报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政府门户网站。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）负责全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政务公开日常工作，负责指导、监督全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政府信息公开工作。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pacing w:val="0"/>
          <w:sz w:val="32"/>
          <w:szCs w:val="32"/>
        </w:rPr>
        <w:t>负责接待群众来访，收集重要信访信息，调查并参与协调群众来访反映的重要情况，督办重要的群众来访事项。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rPr>
        <w:t>向</w:t>
      </w:r>
      <w:r>
        <w:rPr>
          <w:rFonts w:hint="eastAsia" w:ascii="仿宋_GB2312" w:hAnsi="仿宋_GB2312" w:eastAsia="仿宋_GB2312" w:cs="仿宋_GB2312"/>
          <w:color w:val="auto"/>
          <w:spacing w:val="0"/>
          <w:sz w:val="32"/>
          <w:szCs w:val="32"/>
          <w:lang w:eastAsia="zh-CN"/>
        </w:rPr>
        <w:t>各镇党委、政府</w:t>
      </w:r>
      <w:r>
        <w:rPr>
          <w:rFonts w:hint="eastAsia" w:ascii="仿宋_GB2312" w:hAnsi="仿宋_GB2312" w:eastAsia="仿宋_GB2312" w:cs="仿宋_GB2312"/>
          <w:color w:val="auto"/>
          <w:spacing w:val="0"/>
          <w:sz w:val="32"/>
          <w:szCs w:val="32"/>
        </w:rPr>
        <w:t>和部门转交信访案件及其他信访事项，并负责督促落实。</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eastAsia="仿宋_GB2312"/>
          <w:b w:val="0"/>
          <w:color w:val="auto"/>
          <w:sz w:val="32"/>
          <w:lang w:eastAsia="zh-CN"/>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pacing w:val="0"/>
          <w:sz w:val="32"/>
          <w:szCs w:val="32"/>
        </w:rPr>
        <w:t>）负责</w:t>
      </w:r>
      <w:r>
        <w:rPr>
          <w:rFonts w:hint="eastAsia" w:ascii="仿宋_GB2312" w:hAnsi="仿宋_GB2312" w:eastAsia="仿宋_GB2312" w:cs="仿宋_GB2312"/>
          <w:color w:val="auto"/>
          <w:spacing w:val="0"/>
          <w:sz w:val="32"/>
          <w:szCs w:val="32"/>
          <w:lang w:eastAsia="zh-CN"/>
        </w:rPr>
        <w:t>牵头</w:t>
      </w:r>
      <w:r>
        <w:rPr>
          <w:rFonts w:hint="eastAsia" w:ascii="仿宋_GB2312" w:hAnsi="仿宋_GB2312" w:eastAsia="仿宋_GB2312" w:cs="仿宋_GB2312"/>
          <w:color w:val="auto"/>
          <w:spacing w:val="0"/>
          <w:sz w:val="32"/>
          <w:szCs w:val="32"/>
        </w:rPr>
        <w:t>推进全</w:t>
      </w:r>
      <w:r>
        <w:rPr>
          <w:rFonts w:hint="eastAsia" w:ascii="仿宋_GB2312" w:hAnsi="仿宋_GB2312" w:eastAsia="仿宋_GB2312" w:cs="仿宋_GB2312"/>
          <w:color w:val="auto"/>
          <w:spacing w:val="0"/>
          <w:sz w:val="32"/>
          <w:szCs w:val="32"/>
          <w:lang w:val="en-US" w:eastAsia="zh-CN"/>
        </w:rPr>
        <w:t>县</w:t>
      </w:r>
      <w:r>
        <w:rPr>
          <w:rFonts w:hint="eastAsia" w:ascii="仿宋_GB2312" w:hAnsi="仿宋_GB2312" w:eastAsia="仿宋_GB2312" w:cs="仿宋_GB2312"/>
          <w:color w:val="auto"/>
          <w:spacing w:val="0"/>
          <w:sz w:val="32"/>
          <w:szCs w:val="32"/>
        </w:rPr>
        <w:t>行政审批制度改革工作。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eastAsia="仿宋_GB2312"/>
          <w:b w:val="0"/>
          <w:color w:val="auto"/>
          <w:sz w:val="32"/>
        </w:rPr>
      </w:pPr>
      <w:r>
        <w:rPr>
          <w:rFonts w:hint="eastAsia" w:ascii="仿宋_GB2312" w:eastAsia="仿宋_GB2312"/>
          <w:b w:val="0"/>
          <w:color w:val="auto"/>
          <w:sz w:val="32"/>
          <w:lang w:eastAsia="zh-CN"/>
        </w:rPr>
        <w:t>（</w:t>
      </w:r>
      <w:r>
        <w:rPr>
          <w:rFonts w:hint="eastAsia" w:ascii="仿宋_GB2312" w:eastAsia="仿宋_GB2312"/>
          <w:b w:val="0"/>
          <w:color w:val="auto"/>
          <w:sz w:val="32"/>
          <w:lang w:val="en-US" w:eastAsia="zh-CN"/>
        </w:rPr>
        <w:t>十三）负责</w:t>
      </w:r>
      <w:r>
        <w:rPr>
          <w:rFonts w:hint="eastAsia" w:ascii="仿宋_GB2312" w:eastAsia="仿宋_GB2312"/>
          <w:b w:val="0"/>
          <w:color w:val="auto"/>
          <w:sz w:val="32"/>
        </w:rPr>
        <w:t>监督指导全县机关、团体、企事业单位和其他组织的档案工作，依法查处档案违法案件。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rPr>
          <w:rFonts w:hint="eastAsia" w:ascii="仿宋_GB2312" w:eastAsia="仿宋_GB2312"/>
          <w:b w:val="0"/>
          <w:color w:val="auto"/>
          <w:sz w:val="32"/>
          <w:lang w:eastAsia="zh-CN"/>
        </w:rPr>
      </w:pPr>
      <w:r>
        <w:rPr>
          <w:rFonts w:hint="eastAsia" w:ascii="仿宋_GB2312" w:hAnsi="Times New Roman" w:eastAsia="仿宋_GB2312" w:cs="Times New Roman"/>
          <w:b w:val="0"/>
          <w:color w:val="auto"/>
          <w:kern w:val="2"/>
          <w:sz w:val="32"/>
          <w:lang w:val="en-US" w:eastAsia="zh-CN" w:bidi="ar-SA"/>
        </w:rPr>
        <w:t>（十</w:t>
      </w:r>
      <w:r>
        <w:rPr>
          <w:rFonts w:hint="eastAsia" w:ascii="仿宋_GB2312" w:eastAsia="仿宋_GB2312" w:cs="Times New Roman"/>
          <w:b w:val="0"/>
          <w:color w:val="auto"/>
          <w:kern w:val="2"/>
          <w:sz w:val="32"/>
          <w:lang w:val="en-US" w:eastAsia="zh-CN" w:bidi="ar-SA"/>
        </w:rPr>
        <w:t>四</w:t>
      </w:r>
      <w:r>
        <w:rPr>
          <w:rFonts w:hint="eastAsia" w:ascii="仿宋_GB2312" w:hAnsi="Times New Roman" w:eastAsia="仿宋_GB2312" w:cs="Times New Roman"/>
          <w:b w:val="0"/>
          <w:color w:val="auto"/>
          <w:kern w:val="2"/>
          <w:sz w:val="32"/>
          <w:lang w:val="en-US" w:eastAsia="zh-CN" w:bidi="ar-SA"/>
        </w:rPr>
        <w:t>）</w:t>
      </w:r>
      <w:r>
        <w:rPr>
          <w:rFonts w:hint="eastAsia" w:ascii="仿宋_GB2312" w:eastAsia="仿宋_GB2312"/>
          <w:b w:val="0"/>
          <w:color w:val="auto"/>
          <w:sz w:val="32"/>
          <w:lang w:eastAsia="zh-CN"/>
        </w:rPr>
        <w:t>负责指导全县公共机构节能管理工作。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eastAsia="仿宋_GB2312"/>
          <w:b w:val="0"/>
          <w:color w:val="auto"/>
          <w:sz w:val="32"/>
          <w:lang w:eastAsia="zh-CN"/>
        </w:rPr>
        <w:t>（</w:t>
      </w:r>
      <w:r>
        <w:rPr>
          <w:rFonts w:hint="eastAsia" w:ascii="仿宋_GB2312" w:eastAsia="仿宋_GB2312"/>
          <w:b w:val="0"/>
          <w:color w:val="auto"/>
          <w:sz w:val="32"/>
          <w:lang w:val="en-US" w:eastAsia="zh-CN"/>
        </w:rPr>
        <w:t>十五）</w:t>
      </w:r>
      <w:r>
        <w:rPr>
          <w:rFonts w:hint="eastAsia" w:ascii="仿宋_GB2312" w:hAnsi="仿宋_GB2312" w:eastAsia="仿宋_GB2312" w:cs="仿宋_GB2312"/>
          <w:color w:val="auto"/>
          <w:spacing w:val="0"/>
          <w:sz w:val="32"/>
          <w:szCs w:val="32"/>
        </w:rPr>
        <w:t>负责审批全县机关和财政预算管理事业单位的公务用车编制</w:t>
      </w:r>
      <w:r>
        <w:rPr>
          <w:rFonts w:hint="eastAsia" w:ascii="仿宋_GB2312" w:hAnsi="仿宋_GB2312" w:eastAsia="仿宋_GB2312" w:cs="仿宋_GB2312"/>
          <w:color w:val="auto"/>
          <w:spacing w:val="0"/>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rPr>
          <w:rFonts w:hint="eastAsia" w:ascii="仿宋_GB2312" w:hAnsi="仿宋_GB2312" w:eastAsia="仿宋_GB2312"/>
          <w:b w:val="0"/>
          <w:bCs/>
          <w:sz w:val="32"/>
          <w:lang w:eastAsia="zh-CN"/>
        </w:rPr>
      </w:pPr>
      <w:r>
        <w:rPr>
          <w:rFonts w:hint="eastAsia" w:ascii="仿宋_GB2312" w:hAnsi="仿宋_GB2312" w:eastAsia="仿宋_GB2312" w:cs="仿宋_GB2312"/>
          <w:color w:val="auto"/>
          <w:spacing w:val="0"/>
          <w:sz w:val="32"/>
          <w:szCs w:val="32"/>
          <w:lang w:eastAsia="zh-CN"/>
        </w:rPr>
        <w:t>（十</w:t>
      </w:r>
      <w:r>
        <w:rPr>
          <w:rFonts w:hint="eastAsia" w:ascii="仿宋_GB2312" w:hAnsi="仿宋_GB2312" w:eastAsia="仿宋_GB2312" w:cs="仿宋_GB2312"/>
          <w:color w:val="auto"/>
          <w:spacing w:val="0"/>
          <w:sz w:val="32"/>
          <w:szCs w:val="32"/>
          <w:lang w:val="en-US" w:eastAsia="zh-CN"/>
        </w:rPr>
        <w:t>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b w:val="0"/>
          <w:bCs/>
          <w:sz w:val="32"/>
          <w:lang w:eastAsia="zh-CN"/>
        </w:rPr>
        <w:t>负责组织建立健全全县党政机关办公用房管理制度，对党政机关办公用房实行统一集中管理。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b w:val="0"/>
          <w:bCs/>
          <w:sz w:val="32"/>
          <w:lang w:eastAsia="zh-CN"/>
        </w:rPr>
      </w:pPr>
      <w:r>
        <w:rPr>
          <w:rFonts w:hint="eastAsia" w:ascii="仿宋_GB2312" w:hAnsi="仿宋_GB2312" w:eastAsia="仿宋_GB2312"/>
          <w:b w:val="0"/>
          <w:bCs/>
          <w:sz w:val="32"/>
          <w:lang w:eastAsia="zh-CN"/>
        </w:rPr>
        <w:t>（十</w:t>
      </w:r>
      <w:r>
        <w:rPr>
          <w:rFonts w:hint="eastAsia" w:ascii="仿宋_GB2312" w:hAnsi="仿宋_GB2312" w:eastAsia="仿宋_GB2312"/>
          <w:b w:val="0"/>
          <w:bCs/>
          <w:sz w:val="32"/>
          <w:lang w:val="en-US" w:eastAsia="zh-CN"/>
        </w:rPr>
        <w:t>七</w:t>
      </w:r>
      <w:r>
        <w:rPr>
          <w:rFonts w:hint="eastAsia" w:ascii="仿宋_GB2312" w:hAnsi="仿宋_GB2312" w:eastAsia="仿宋_GB2312"/>
          <w:b w:val="0"/>
          <w:bCs/>
          <w:sz w:val="32"/>
          <w:lang w:eastAsia="zh-CN"/>
        </w:rPr>
        <w:t>）</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政府和上级部门交办的其他任务。</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屯昌县人民政府办公室2019年</w:t>
      </w:r>
      <w:r>
        <w:rPr>
          <w:rFonts w:hint="eastAsia" w:ascii="仿宋_GB2312" w:hAnsi="黑体" w:eastAsia="仿宋_GB2312" w:cs="仿宋_GB2312"/>
          <w:sz w:val="32"/>
          <w:szCs w:val="32"/>
        </w:rPr>
        <w:t>部门预算编制范围的二级预算单位包括：</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屯昌县政府投资工程建设管理与社会资本合作中心</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屯昌县人民政府办公室2019年</w:t>
      </w:r>
      <w:r>
        <w:rPr>
          <w:rFonts w:hint="eastAsia" w:ascii="黑体" w:hAnsi="黑体" w:eastAsia="黑体" w:cs="黑体"/>
          <w:sz w:val="32"/>
          <w:szCs w:val="32"/>
        </w:rPr>
        <w:t>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hint="eastAsia" w:ascii="黑体" w:hAnsi="黑体" w:eastAsia="黑体" w:cs="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屯昌县人民政府办公室2019年</w:t>
      </w:r>
      <w:r>
        <w:rPr>
          <w:rFonts w:hint="eastAsia" w:ascii="黑体" w:hAnsi="黑体" w:eastAsia="黑体" w:cs="黑体"/>
          <w:sz w:val="32"/>
          <w:szCs w:val="32"/>
        </w:rPr>
        <w:t>部门预算情况说明</w:t>
      </w:r>
    </w:p>
    <w:p>
      <w:pPr>
        <w:jc w:val="center"/>
        <w:rPr>
          <w:rFonts w:ascii="黑体" w:hAnsi="黑体" w:eastAsia="黑体"/>
          <w:sz w:val="32"/>
          <w:szCs w:val="32"/>
        </w:rPr>
      </w:pPr>
    </w:p>
    <w:p>
      <w:pPr>
        <w:numPr>
          <w:ilvl w:val="0"/>
          <w:numId w:val="7"/>
        </w:numPr>
        <w:ind w:firstLine="640" w:firstLineChars="200"/>
        <w:jc w:val="left"/>
        <w:rPr>
          <w:rFonts w:hint="eastAsia" w:ascii="黑体" w:hAnsi="黑体" w:eastAsia="黑体"/>
          <w:sz w:val="32"/>
          <w:szCs w:val="32"/>
        </w:rPr>
      </w:pPr>
      <w:r>
        <w:rPr>
          <w:rFonts w:hint="eastAsia" w:ascii="黑体" w:hAnsi="黑体" w:eastAsia="黑体"/>
          <w:sz w:val="32"/>
          <w:szCs w:val="32"/>
        </w:rPr>
        <w:t>关于</w:t>
      </w:r>
      <w:r>
        <w:rPr>
          <w:rFonts w:hint="eastAsia" w:ascii="黑体" w:hAnsi="黑体" w:eastAsia="黑体" w:cs="黑体"/>
          <w:sz w:val="32"/>
          <w:szCs w:val="32"/>
          <w:lang w:eastAsia="zh-CN"/>
        </w:rPr>
        <w:t>屯昌县人民政府办公室</w:t>
      </w:r>
      <w:r>
        <w:rPr>
          <w:rFonts w:hint="eastAsia" w:ascii="黑体" w:hAnsi="黑体" w:eastAsia="黑体"/>
          <w:sz w:val="32"/>
          <w:szCs w:val="32"/>
          <w:lang w:eastAsia="zh-CN"/>
        </w:rPr>
        <w:t>2019年</w:t>
      </w:r>
      <w:r>
        <w:rPr>
          <w:rFonts w:hint="eastAsia" w:ascii="黑体" w:hAnsi="黑体" w:eastAsia="黑体"/>
          <w:sz w:val="32"/>
          <w:szCs w:val="32"/>
        </w:rPr>
        <w:t>财政拨款收支预算情况的总体说明</w:t>
      </w:r>
    </w:p>
    <w:p>
      <w:pPr>
        <w:numPr>
          <w:ilvl w:val="0"/>
          <w:numId w:val="0"/>
        </w:numPr>
        <w:ind w:firstLine="960" w:firstLineChars="300"/>
        <w:jc w:val="left"/>
        <w:rPr>
          <w:rFonts w:ascii="仿宋_GB2312" w:hAnsi="黑体" w:eastAsia="仿宋_GB2312"/>
          <w:sz w:val="32"/>
          <w:szCs w:val="32"/>
        </w:rPr>
      </w:pPr>
      <w:r>
        <w:rPr>
          <w:rFonts w:hint="eastAsia" w:ascii="仿宋_GB2312" w:hAnsi="黑体" w:eastAsia="仿宋_GB2312"/>
          <w:sz w:val="32"/>
          <w:szCs w:val="32"/>
          <w:lang w:eastAsia="zh-CN"/>
        </w:rPr>
        <w:t>屯昌县人民政府办公室2019年</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729.51</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729.51</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729.51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729.51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555.01</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68.87</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65.22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40.42</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屯昌县人民政府办公室2019年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屯昌县人民政府办公室2019年</w:t>
      </w:r>
      <w:r>
        <w:rPr>
          <w:rFonts w:hint="eastAsia" w:ascii="仿宋_GB2312" w:hAnsi="黑体" w:eastAsia="仿宋_GB2312"/>
          <w:sz w:val="32"/>
          <w:szCs w:val="32"/>
        </w:rPr>
        <w:t>一般公共预算当年拨款</w:t>
      </w:r>
      <w:r>
        <w:rPr>
          <w:rFonts w:hint="eastAsia" w:ascii="仿宋_GB2312" w:hAnsi="黑体" w:eastAsia="仿宋_GB2312"/>
          <w:sz w:val="32"/>
          <w:szCs w:val="32"/>
          <w:lang w:val="en-US" w:eastAsia="zh-CN"/>
        </w:rPr>
        <w:t>729.51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一般公共服务支出、社会保障和就业支出、卫生健康支出及住房保障支出都相应增加经费。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555.01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76.08</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68.87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9.44</w:t>
      </w:r>
      <w:r>
        <w:rPr>
          <w:rFonts w:hint="eastAsia" w:ascii="仿宋_GB2312" w:hAnsi="黑体" w:eastAsia="仿宋_GB2312"/>
          <w:sz w:val="32"/>
          <w:szCs w:val="32"/>
        </w:rPr>
        <w:t>%；卫生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65.22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8.94</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40.42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5.54</w:t>
      </w:r>
      <w:r>
        <w:rPr>
          <w:rFonts w:hint="eastAsia" w:ascii="仿宋_GB2312" w:hAnsi="黑体" w:eastAsia="仿宋_GB2312" w:cs="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highlight w:val="yellow"/>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（款）行政运行</w:t>
      </w:r>
      <w:r>
        <w:rPr>
          <w:rFonts w:hint="eastAsia" w:ascii="仿宋_GB2312" w:hAnsi="黑体" w:eastAsia="仿宋_GB2312" w:cs="仿宋_GB2312"/>
          <w:sz w:val="32"/>
          <w:szCs w:val="32"/>
          <w:lang w:eastAsia="zh-CN"/>
        </w:rPr>
        <w:t>、一般管理事务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2019年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555.01</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201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470.80万元，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84.21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基本支出和项目支出</w:t>
      </w:r>
      <w:r>
        <w:rPr>
          <w:rFonts w:hint="eastAsia" w:ascii="仿宋_GB2312" w:hAnsi="黑体" w:eastAsia="仿宋_GB2312"/>
          <w:sz w:val="32"/>
          <w:szCs w:val="32"/>
        </w:rPr>
        <w:t>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机关事业单位基本养老保险费支出、抚恤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2019年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68.87</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201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54.37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抚恤和其他优抚支出</w:t>
      </w:r>
      <w:r>
        <w:rPr>
          <w:rFonts w:hint="eastAsia" w:ascii="仿宋_GB2312" w:hAnsi="黑体" w:eastAsia="仿宋_GB2312"/>
          <w:sz w:val="32"/>
          <w:szCs w:val="32"/>
        </w:rPr>
        <w:t>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2019年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65.22</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201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39.79万元，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25.43</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经费。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 xml:space="preserve">4. </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住房保障</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住房改革支出、住房公积金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2019年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40.42</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201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31.54万元，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住房改革支出</w:t>
      </w:r>
      <w:r>
        <w:rPr>
          <w:rFonts w:hint="eastAsia" w:ascii="仿宋_GB2312" w:hAnsi="黑体" w:eastAsia="仿宋_GB2312" w:cs="仿宋_GB2312"/>
          <w:sz w:val="32"/>
          <w:szCs w:val="32"/>
        </w:rPr>
        <w:t>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rPr>
        <w:t xml:space="preserve"> </w:t>
      </w:r>
      <w:r>
        <w:rPr>
          <w:rFonts w:hint="eastAsia" w:ascii="仿宋_GB2312" w:hAnsi="仿宋_GB2312" w:eastAsia="仿宋_GB2312" w:cs="仿宋_GB2312"/>
          <w:sz w:val="32"/>
          <w:szCs w:val="32"/>
          <w:lang w:eastAsia="zh-CN"/>
        </w:rPr>
        <w:t>工资福利支出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基本工资、津贴补贴、绩效工资、机关事业单位基本养老保险缴费、公务员医疗补助经费、住房公积金等</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2019年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478.70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201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372.39</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106.31</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机关事业单位基本养老保险缴费、公务员医疗补助经费</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hint="eastAsia"/>
        </w:rPr>
        <w:t xml:space="preserve"> </w:t>
      </w:r>
      <w:r>
        <w:rPr>
          <w:rFonts w:hint="eastAsia" w:ascii="仿宋_GB2312" w:hAnsi="仿宋_GB2312" w:eastAsia="仿宋_GB2312" w:cs="仿宋_GB2312"/>
          <w:sz w:val="32"/>
          <w:szCs w:val="32"/>
          <w:lang w:eastAsia="zh-CN"/>
        </w:rPr>
        <w:t>商品和服务支出</w:t>
      </w:r>
      <w:r>
        <w:rPr>
          <w:rFonts w:hint="eastAsia" w:ascii="仿宋_GB2312" w:hAnsi="黑体" w:eastAsia="仿宋_GB2312"/>
          <w:sz w:val="32"/>
          <w:szCs w:val="32"/>
        </w:rPr>
        <w:t>（类）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sz w:val="32"/>
          <w:szCs w:val="32"/>
        </w:rPr>
        <w:t>（款）</w:t>
      </w:r>
      <w:r>
        <w:rPr>
          <w:rFonts w:hint="eastAsia" w:ascii="仿宋_GB2312" w:hAnsi="黑体" w:eastAsia="仿宋_GB2312"/>
          <w:sz w:val="32"/>
          <w:szCs w:val="32"/>
          <w:lang w:eastAsia="zh-CN"/>
        </w:rPr>
        <w:t>办公费、公务车运行维护费、其他交通费、</w:t>
      </w:r>
      <w:r>
        <w:rPr>
          <w:rFonts w:hint="eastAsia" w:ascii="仿宋_GB2312" w:hAnsi="仿宋_GB2312" w:eastAsia="仿宋_GB2312" w:cs="仿宋_GB2312"/>
          <w:sz w:val="32"/>
          <w:szCs w:val="32"/>
          <w:lang w:eastAsia="zh-CN"/>
        </w:rPr>
        <w:t>商品和服务支出等</w:t>
      </w:r>
      <w:r>
        <w:rPr>
          <w:rFonts w:hint="eastAsia" w:ascii="仿宋_GB2312" w:hAnsi="黑体" w:eastAsia="仿宋_GB2312"/>
          <w:sz w:val="32"/>
          <w:szCs w:val="32"/>
        </w:rPr>
        <w:t>（项）</w:t>
      </w:r>
      <w:r>
        <w:rPr>
          <w:rFonts w:hint="eastAsia" w:ascii="仿宋_GB2312" w:hAnsi="黑体" w:eastAsia="仿宋_GB2312"/>
          <w:sz w:val="32"/>
          <w:szCs w:val="32"/>
          <w:lang w:eastAsia="zh-CN"/>
        </w:rPr>
        <w:t>2019年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92.64</w:t>
      </w:r>
      <w:r>
        <w:rPr>
          <w:rFonts w:hint="eastAsia" w:ascii="仿宋_GB2312" w:hAnsi="黑体" w:eastAsia="仿宋_GB2312"/>
          <w:sz w:val="32"/>
          <w:szCs w:val="32"/>
        </w:rPr>
        <w:t>万元，</w:t>
      </w:r>
      <w:r>
        <w:rPr>
          <w:rFonts w:hint="eastAsia" w:ascii="仿宋_GB2312" w:hAnsi="黑体" w:eastAsia="仿宋_GB2312"/>
          <w:sz w:val="32"/>
          <w:szCs w:val="32"/>
          <w:lang w:eastAsia="zh-CN"/>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20.37万元，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72.27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办公费和其他交通费增加经费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sz w:val="32"/>
          <w:szCs w:val="32"/>
        </w:rPr>
        <w:t>（款）</w:t>
      </w:r>
      <w:r>
        <w:rPr>
          <w:rFonts w:hint="eastAsia" w:ascii="仿宋_GB2312" w:hAnsi="黑体" w:eastAsia="仿宋_GB2312"/>
          <w:sz w:val="32"/>
          <w:szCs w:val="32"/>
          <w:lang w:eastAsia="zh-CN"/>
        </w:rPr>
        <w:t>生活补助</w:t>
      </w:r>
      <w:r>
        <w:rPr>
          <w:rFonts w:hint="eastAsia" w:ascii="仿宋_GB2312" w:hAnsi="黑体" w:eastAsia="仿宋_GB2312"/>
          <w:sz w:val="32"/>
          <w:szCs w:val="32"/>
        </w:rPr>
        <w:t>支出（项）</w:t>
      </w:r>
      <w:r>
        <w:rPr>
          <w:rFonts w:hint="eastAsia" w:ascii="仿宋_GB2312" w:hAnsi="黑体" w:eastAsia="仿宋_GB2312"/>
          <w:sz w:val="32"/>
          <w:szCs w:val="32"/>
          <w:lang w:eastAsia="zh-CN"/>
        </w:rPr>
        <w:t>2019年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4.01</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rPr>
        <w:t>，主要是人数</w:t>
      </w:r>
      <w:r>
        <w:rPr>
          <w:rFonts w:hint="eastAsia" w:ascii="仿宋_GB2312" w:hAnsi="黑体" w:eastAsia="仿宋_GB2312"/>
          <w:sz w:val="32"/>
          <w:szCs w:val="32"/>
          <w:lang w:eastAsia="zh-CN"/>
        </w:rPr>
        <w:t>不变</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屯昌县人民政府办公室2019年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屯昌县人民政府办公室2019年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575.35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eastAsia="zh-CN"/>
        </w:rPr>
        <w:t>（工资福利支出）</w:t>
      </w:r>
      <w:r>
        <w:rPr>
          <w:rFonts w:hint="eastAsia" w:ascii="仿宋_GB2312" w:hAnsi="黑体" w:eastAsia="仿宋_GB2312" w:cs="仿宋_GB2312"/>
          <w:sz w:val="32"/>
          <w:szCs w:val="32"/>
          <w:lang w:val="en-US" w:eastAsia="zh-CN"/>
        </w:rPr>
        <w:t>478.70</w:t>
      </w:r>
      <w:r>
        <w:rPr>
          <w:rFonts w:hint="eastAsia" w:ascii="仿宋_GB2312" w:hAnsi="黑体" w:eastAsia="仿宋_GB2312"/>
          <w:sz w:val="32"/>
          <w:szCs w:val="32"/>
        </w:rPr>
        <w:t>万元，主要包括：基本工资、津贴补贴、奖金、绩效工资、机关事业单位基本养老保险缴费、公务员医疗补助缴费、其他社会保障缴费、住房公积金、</w:t>
      </w:r>
      <w:r>
        <w:rPr>
          <w:rFonts w:hint="eastAsia" w:ascii="仿宋_GB2312" w:hAnsi="黑体" w:eastAsia="仿宋_GB2312"/>
          <w:sz w:val="32"/>
          <w:szCs w:val="32"/>
          <w:lang w:eastAsia="zh-CN"/>
        </w:rPr>
        <w:t>医疗费。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eastAsia="zh-CN"/>
        </w:rPr>
        <w:t>（商品和服务支出）</w:t>
      </w:r>
      <w:r>
        <w:rPr>
          <w:rFonts w:hint="eastAsia" w:ascii="仿宋_GB2312" w:hAnsi="黑体" w:eastAsia="仿宋_GB2312" w:cs="仿宋_GB2312"/>
          <w:sz w:val="32"/>
          <w:szCs w:val="32"/>
          <w:lang w:val="en-US" w:eastAsia="zh-CN"/>
        </w:rPr>
        <w:t>92.64</w:t>
      </w:r>
      <w:r>
        <w:rPr>
          <w:rFonts w:hint="eastAsia" w:ascii="仿宋_GB2312" w:hAnsi="黑体" w:eastAsia="仿宋_GB2312"/>
          <w:sz w:val="32"/>
          <w:szCs w:val="32"/>
        </w:rPr>
        <w:t>万元，主要包括：办公费、邮电费</w:t>
      </w:r>
      <w:r>
        <w:rPr>
          <w:rFonts w:hint="eastAsia" w:ascii="仿宋_GB2312" w:hAnsi="黑体" w:eastAsia="仿宋_GB2312"/>
          <w:sz w:val="32"/>
          <w:szCs w:val="32"/>
          <w:lang w:eastAsia="zh-CN"/>
        </w:rPr>
        <w:t>、</w:t>
      </w:r>
      <w:r>
        <w:rPr>
          <w:rFonts w:hint="eastAsia" w:ascii="仿宋_GB2312" w:hAnsi="黑体" w:eastAsia="仿宋_GB2312"/>
          <w:sz w:val="32"/>
          <w:szCs w:val="32"/>
        </w:rPr>
        <w:t>维修（护）费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、其他交通费用、其他商品和服务支出</w:t>
      </w:r>
      <w:r>
        <w:rPr>
          <w:rFonts w:hint="eastAsia" w:ascii="仿宋_GB2312" w:hAnsi="黑体" w:eastAsia="仿宋_GB2312"/>
          <w:sz w:val="32"/>
          <w:szCs w:val="32"/>
        </w:rPr>
        <w:t>。</w:t>
      </w:r>
    </w:p>
    <w:p>
      <w:pPr>
        <w:numPr>
          <w:ilvl w:val="0"/>
          <w:numId w:val="0"/>
        </w:numPr>
        <w:ind w:leftChars="0" w:firstLine="960" w:firstLineChars="3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二、</w:t>
      </w:r>
      <w:r>
        <w:rPr>
          <w:rFonts w:hint="eastAsia" w:ascii="黑体" w:hAnsi="黑体" w:eastAsia="黑体" w:cs="Times New Roman"/>
          <w:sz w:val="32"/>
          <w:shd w:val="clear" w:color="auto" w:fill="FFFFFF"/>
          <w:lang w:eastAsia="zh-CN"/>
        </w:rPr>
        <w:t>屯昌县人民政府办公室2019年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numPr>
          <w:ilvl w:val="0"/>
          <w:numId w:val="0"/>
        </w:numPr>
        <w:ind w:firstLine="960" w:firstLineChars="300"/>
        <w:rPr>
          <w:rFonts w:ascii="Times New Roman" w:hAnsi="Times New Roman" w:eastAsia="仿宋_GB2312" w:cs="Times New Roman"/>
          <w:sz w:val="32"/>
          <w:shd w:val="clear" w:color="auto" w:fill="FFFFFF"/>
        </w:rPr>
      </w:pPr>
      <w:r>
        <w:rPr>
          <w:rFonts w:hint="eastAsia" w:ascii="仿宋_GB2312" w:hAnsi="黑体" w:eastAsia="仿宋_GB2312"/>
          <w:sz w:val="32"/>
          <w:szCs w:val="32"/>
          <w:lang w:eastAsia="zh-CN"/>
        </w:rPr>
        <w:t>屯昌县人民政府办公室2019年</w:t>
      </w:r>
      <w:r>
        <w:rPr>
          <w:rFonts w:hint="eastAsia" w:ascii="仿宋_GB2312" w:hAnsi="黑体" w:eastAsia="仿宋_GB2312"/>
          <w:sz w:val="32"/>
          <w:szCs w:val="32"/>
        </w:rPr>
        <w:t>“三公”经费预算数为</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万元，其中：</w:t>
      </w:r>
    </w:p>
    <w:p>
      <w:pPr>
        <w:numPr>
          <w:ilvl w:val="0"/>
          <w:numId w:val="0"/>
        </w:numPr>
        <w:ind w:leftChars="0"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numPr>
          <w:ilvl w:val="0"/>
          <w:numId w:val="0"/>
        </w:numPr>
        <w:ind w:leftChars="0"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numPr>
          <w:ilvl w:val="0"/>
          <w:numId w:val="0"/>
        </w:numPr>
        <w:ind w:leftChars="0" w:firstLine="640"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屯昌县人民政府办公室2019年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highlight w:val="yellow"/>
        </w:rPr>
      </w:pPr>
      <w:r>
        <w:rPr>
          <w:rFonts w:hint="eastAsia" w:ascii="楷体" w:hAnsi="楷体" w:eastAsia="楷体"/>
          <w:sz w:val="32"/>
          <w:szCs w:val="32"/>
        </w:rPr>
        <w:t>（一）</w:t>
      </w:r>
      <w:r>
        <w:rPr>
          <w:rFonts w:hint="eastAsia" w:ascii="楷体" w:hAnsi="楷体" w:eastAsia="楷体"/>
          <w:sz w:val="32"/>
          <w:szCs w:val="32"/>
          <w:lang w:eastAsia="zh-CN"/>
        </w:rPr>
        <w:t>没有</w:t>
      </w:r>
      <w:r>
        <w:rPr>
          <w:rFonts w:hint="eastAsia" w:ascii="楷体" w:hAnsi="楷体" w:eastAsia="楷体"/>
          <w:sz w:val="32"/>
          <w:szCs w:val="32"/>
        </w:rPr>
        <w:t>政府性基金预算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屯昌县人民政府办公室</w:t>
      </w:r>
      <w:r>
        <w:rPr>
          <w:rFonts w:hint="eastAsia" w:ascii="仿宋_GB2312" w:hAnsi="黑体" w:eastAsia="仿宋_GB2312"/>
          <w:sz w:val="32"/>
          <w:szCs w:val="32"/>
          <w:lang w:eastAsia="zh-CN"/>
        </w:rPr>
        <w:t>2019年没有</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1120" w:firstLineChars="350"/>
        <w:rPr>
          <w:rFonts w:ascii="仿宋_GB2312" w:hAnsi="黑体" w:eastAsia="仿宋_GB2312"/>
          <w:sz w:val="32"/>
          <w:szCs w:val="32"/>
        </w:rPr>
      </w:pPr>
      <w:r>
        <w:rPr>
          <w:rFonts w:hint="eastAsia" w:ascii="仿宋_GB2312" w:hAnsi="黑体" w:eastAsia="仿宋_GB2312"/>
          <w:sz w:val="32"/>
          <w:szCs w:val="32"/>
        </w:rPr>
        <w:t>无政府性基金预算。</w:t>
      </w:r>
    </w:p>
    <w:p>
      <w:pPr>
        <w:ind w:firstLine="640"/>
        <w:jc w:val="left"/>
        <w:rPr>
          <w:rFonts w:ascii="楷体" w:hAnsi="楷体" w:eastAsia="楷体"/>
          <w:sz w:val="32"/>
          <w:szCs w:val="32"/>
          <w:highlight w:val="yellow"/>
        </w:rPr>
      </w:pPr>
      <w:r>
        <w:rPr>
          <w:rFonts w:hint="eastAsia" w:ascii="楷体" w:hAnsi="楷体" w:eastAsia="楷体"/>
          <w:sz w:val="32"/>
          <w:szCs w:val="32"/>
        </w:rPr>
        <w:t>（三）政府性基金预算当年拨款具体使用情况</w:t>
      </w:r>
    </w:p>
    <w:p>
      <w:pPr>
        <w:ind w:firstLine="1280" w:firstLineChars="400"/>
        <w:rPr>
          <w:rFonts w:hint="eastAsia" w:ascii="仿宋_GB2312" w:hAnsi="黑体" w:eastAsia="仿宋_GB2312"/>
          <w:sz w:val="32"/>
          <w:szCs w:val="32"/>
          <w:lang w:eastAsia="zh-CN"/>
        </w:rPr>
      </w:pPr>
      <w:r>
        <w:rPr>
          <w:rFonts w:hint="eastAsia" w:ascii="仿宋_GB2312" w:hAnsi="黑体" w:eastAsia="仿宋_GB2312"/>
          <w:sz w:val="32"/>
          <w:szCs w:val="32"/>
        </w:rPr>
        <w:t>无政府性基金预算</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屯昌县人民政府办公室2019年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屯昌县人民政府办公室</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；支出包括：一般公共服务支出、社会保障和就业支出、医疗卫生与计划生育支出、住房保障支出。</w:t>
      </w:r>
      <w:r>
        <w:rPr>
          <w:rFonts w:hint="eastAsia" w:ascii="仿宋_GB2312" w:hAnsi="黑体" w:eastAsia="仿宋_GB2312" w:cs="仿宋_GB2312"/>
          <w:sz w:val="32"/>
          <w:szCs w:val="32"/>
          <w:lang w:eastAsia="zh-CN"/>
        </w:rPr>
        <w:t>屯昌县人民政府办公室2019年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729.51</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屯昌县人民政府办公室2019年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屯昌县人民政府办公室2019年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729.51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万元；经费拨款收入</w:t>
      </w:r>
      <w:r>
        <w:rPr>
          <w:rFonts w:hint="eastAsia" w:ascii="仿宋_GB2312" w:hAnsi="黑体" w:eastAsia="仿宋_GB2312"/>
          <w:sz w:val="32"/>
          <w:szCs w:val="32"/>
          <w:lang w:val="en-US" w:eastAsia="zh-CN"/>
        </w:rPr>
        <w:t>729.51</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屯昌县人民政府办公室2019年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hd w:val="clear" w:color="auto" w:fill="FFFFFF"/>
          <w:lang w:eastAsia="zh-CN"/>
        </w:rPr>
        <w:t>屯昌县人民政府办公室</w:t>
      </w:r>
      <w:r>
        <w:rPr>
          <w:rFonts w:hint="eastAsia" w:ascii="仿宋_GB2312" w:hAnsi="仿宋_GB2312" w:eastAsia="仿宋_GB2312" w:cs="仿宋_GB2312"/>
          <w:sz w:val="32"/>
          <w:szCs w:val="32"/>
          <w:lang w:eastAsia="zh-CN"/>
        </w:rPr>
        <w:t>2</w:t>
      </w:r>
      <w:r>
        <w:rPr>
          <w:rFonts w:hint="eastAsia" w:ascii="仿宋_GB2312" w:hAnsi="黑体" w:eastAsia="仿宋_GB2312" w:cs="仿宋_GB2312"/>
          <w:sz w:val="32"/>
          <w:szCs w:val="32"/>
          <w:lang w:eastAsia="zh-CN"/>
        </w:rPr>
        <w:t>019年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729.51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575.35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78.87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154.16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21.13</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2019年</w:t>
      </w:r>
      <w:r>
        <w:rPr>
          <w:rFonts w:hint="eastAsia" w:ascii="仿宋_GB2312" w:hAnsi="仿宋_GB2312" w:eastAsia="仿宋_GB2312" w:cs="仿宋_GB2312"/>
          <w:sz w:val="32"/>
          <w:shd w:val="clear" w:color="auto" w:fill="FFFFFF"/>
          <w:lang w:eastAsia="zh-CN"/>
        </w:rPr>
        <w:t>屯昌县人民政府办公室</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屯昌县政府投资工程建设管理与社会资本合作中心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38.4</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2019年</w:t>
      </w:r>
      <w:r>
        <w:rPr>
          <w:rFonts w:hint="eastAsia" w:ascii="仿宋_GB2312" w:hAnsi="仿宋_GB2312" w:eastAsia="仿宋_GB2312" w:cs="仿宋_GB2312"/>
          <w:sz w:val="32"/>
          <w:shd w:val="clear" w:color="auto" w:fill="FFFFFF"/>
          <w:lang w:eastAsia="zh-CN"/>
        </w:rPr>
        <w:t>屯昌县人民政府办公室</w:t>
      </w:r>
      <w:r>
        <w:rPr>
          <w:rFonts w:hint="eastAsia" w:ascii="仿宋_GB2312" w:hAnsi="黑体" w:eastAsia="仿宋_GB2312" w:cs="仿宋_GB2312"/>
          <w:sz w:val="32"/>
          <w:szCs w:val="32"/>
        </w:rPr>
        <w:t>本级及下属各预算单位无政府采购预算。</w:t>
      </w:r>
    </w:p>
    <w:p>
      <w:pPr>
        <w:ind w:firstLine="640" w:firstLineChars="200"/>
        <w:rPr>
          <w:rFonts w:hint="eastAsia"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年12月31日，</w:t>
      </w:r>
      <w:r>
        <w:rPr>
          <w:rFonts w:hint="eastAsia" w:ascii="仿宋_GB2312" w:hAnsi="仿宋_GB2312" w:eastAsia="仿宋_GB2312" w:cs="仿宋_GB2312"/>
          <w:sz w:val="32"/>
          <w:shd w:val="clear" w:color="auto" w:fill="FFFFFF"/>
          <w:lang w:eastAsia="zh-CN"/>
        </w:rPr>
        <w:t>屯昌县人民政府办公室</w:t>
      </w:r>
      <w:r>
        <w:rPr>
          <w:rFonts w:hint="eastAsia" w:ascii="仿宋_GB2312" w:hAnsi="黑体" w:eastAsia="仿宋_GB2312" w:cs="仿宋_GB2312"/>
          <w:sz w:val="32"/>
          <w:szCs w:val="32"/>
        </w:rPr>
        <w:t>本级本级及下属各预算单位共有车辆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辆，其中，领导干部用车0辆，机要通信应急用车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辆、一般执法执勤用车0辆、特种专业技术用车0辆、其他用车2辆。单位价值100万元以上设备0台（套）。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_GB2312" w:eastAsia="仿宋_GB2312"/>
          <w:sz w:val="32"/>
          <w:szCs w:val="32"/>
        </w:rPr>
      </w:pPr>
      <w:r>
        <w:rPr>
          <w:rFonts w:hint="eastAsia" w:ascii="仿宋_GB2312" w:hAnsi="黑体" w:eastAsia="仿宋_GB2312" w:cs="仿宋_GB2312"/>
          <w:sz w:val="32"/>
          <w:szCs w:val="32"/>
          <w:lang w:eastAsia="zh-CN"/>
        </w:rPr>
        <w:t>2019年</w:t>
      </w:r>
      <w:r>
        <w:rPr>
          <w:rFonts w:hint="eastAsia" w:ascii="仿宋_GB2312" w:hAnsi="仿宋_GB2312" w:eastAsia="仿宋_GB2312" w:cs="仿宋_GB2312"/>
          <w:sz w:val="32"/>
          <w:shd w:val="clear" w:color="auto" w:fill="FFFFFF"/>
          <w:lang w:eastAsia="zh-CN"/>
        </w:rPr>
        <w:t>屯昌县人民政府办公室</w:t>
      </w:r>
      <w:r>
        <w:rPr>
          <w:rFonts w:hint="eastAsia" w:ascii="仿宋_GB2312" w:hAnsi="黑体" w:eastAsia="仿宋_GB2312" w:cs="仿宋_GB2312"/>
          <w:sz w:val="32"/>
          <w:szCs w:val="32"/>
        </w:rPr>
        <w:t>本级</w:t>
      </w:r>
      <w:r>
        <w:rPr>
          <w:rFonts w:hint="eastAsia" w:ascii="仿宋_GB2312" w:eastAsia="仿宋_GB2312"/>
          <w:sz w:val="32"/>
          <w:szCs w:val="32"/>
        </w:rPr>
        <w:t>组织对“</w:t>
      </w:r>
      <w:r>
        <w:rPr>
          <w:rFonts w:hint="eastAsia" w:ascii="仿宋_GB2312" w:eastAsia="仿宋_GB2312"/>
          <w:sz w:val="32"/>
          <w:szCs w:val="32"/>
          <w:lang w:eastAsia="zh-CN"/>
        </w:rPr>
        <w:t>县政府法律顾问费</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个项目</w:t>
      </w:r>
      <w:r>
        <w:rPr>
          <w:rFonts w:hint="eastAsia" w:ascii="仿宋_GB2312" w:hAnsi="黑体" w:eastAsia="仿宋_GB2312" w:cs="仿宋_GB2312"/>
          <w:sz w:val="32"/>
          <w:szCs w:val="32"/>
        </w:rPr>
        <w:t>实行绩效目标管理，</w:t>
      </w:r>
      <w:r>
        <w:rPr>
          <w:rFonts w:hint="eastAsia" w:ascii="仿宋_GB2312" w:eastAsia="仿宋_GB2312"/>
          <w:sz w:val="32"/>
          <w:szCs w:val="32"/>
        </w:rPr>
        <w:t>进行了重点绩效评价，</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eastAsia="zh-CN"/>
        </w:rPr>
        <w:t>资金</w:t>
      </w:r>
      <w:r>
        <w:rPr>
          <w:rFonts w:hint="eastAsia" w:ascii="仿宋_GB2312" w:hAnsi="黑体" w:eastAsia="仿宋_GB2312" w:cs="仿宋_GB2312"/>
          <w:sz w:val="32"/>
          <w:szCs w:val="32"/>
          <w:lang w:val="en-US" w:eastAsia="zh-CN"/>
        </w:rPr>
        <w:t>11.5</w:t>
      </w:r>
      <w:r>
        <w:rPr>
          <w:rFonts w:hint="eastAsia" w:ascii="仿宋_GB2312" w:hAnsi="黑体" w:eastAsia="仿宋_GB2312"/>
          <w:sz w:val="32"/>
          <w:szCs w:val="32"/>
        </w:rPr>
        <w:t>万元。</w:t>
      </w:r>
      <w:r>
        <w:rPr>
          <w:rFonts w:hint="eastAsia" w:ascii="仿宋_GB2312" w:eastAsia="仿宋_GB2312"/>
          <w:sz w:val="32"/>
          <w:szCs w:val="32"/>
        </w:rPr>
        <w:t>从评价情况来看，绩效自评</w:t>
      </w:r>
      <w:r>
        <w:rPr>
          <w:rFonts w:hint="eastAsia" w:ascii="仿宋_GB2312" w:eastAsia="仿宋_GB2312"/>
          <w:sz w:val="32"/>
          <w:szCs w:val="32"/>
          <w:lang w:eastAsia="zh-CN"/>
        </w:rPr>
        <w:t>结果良好</w:t>
      </w:r>
      <w:r>
        <w:rPr>
          <w:rFonts w:hint="eastAsia" w:ascii="仿宋_GB2312"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r>
        <w:rPr>
          <w:rFonts w:hint="eastAsia" w:ascii="黑体" w:hAnsi="黑体" w:eastAsia="黑体"/>
          <w:b/>
          <w:sz w:val="32"/>
          <w:szCs w:val="32"/>
          <w:lang w:val="en-US" w:eastAsia="zh-CN"/>
        </w:rPr>
        <w:t xml:space="preserve"> </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十四、一般公共服务（类）财政事务（款）行政运行（项）：指用于保障机构正常运行、开展日常工作的基本支出。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十五、一般公共服务（类）财政事务（款）财政国库业务（项）：指用于财政国库集中收付业务方面的支出。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十六、一般公共服务（类）财政事务（款）财政委托业务（项）：指用于财政委托第三方开展专业性业务方面的支出。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十七、一般公共服务（类）财政事务（款）事业运行（财政）（项）：指用于事业单位的基本支出，不包括行政单位。</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十八、一般公共服务（类）财政事务（款）其他财政事务支出（项）：用于其他财政事务方面的支出。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十九、社会保障和就业支出（类）行政事业单位离退休（款）机关事业单位基本养老保险缴费支出（项）：指用于单位缴纳的基本养老保险费支出。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二十、社会保障和就业支出（类）抚恤（款）其他优抚支出（项）：指用于其他优抚方面的支出。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一、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二、医疗卫生与计划生育支出（类）行政事业单位医疗（款）事业单位医疗（项）：反映财政部门集中安排的事业单位基本医疗保险缴费经费，未参加医疗保险的事业单位的公费医疗经费，按国家规定享受离休人员待遇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二十三、医疗卫生与计划生育支出（类）行政事业单位医疗（款）公务员医疗补助（项）：反映财政部门集中安排的公务员医疗补助经费。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二十四、住房保障支出（类）住房改革支出（款）住房公积金（项）：指用于按规定比例为职工缴纳的住房公积金支出。</w:t>
      </w:r>
    </w:p>
    <w:sectPr>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1CB42"/>
    <w:multiLevelType w:val="singleLevel"/>
    <w:tmpl w:val="9D21CB42"/>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98D5AA"/>
    <w:multiLevelType w:val="singleLevel"/>
    <w:tmpl w:val="5C98D5AA"/>
    <w:lvl w:ilvl="0" w:tentative="0">
      <w:start w:val="2"/>
      <w:numFmt w:val="chineseCounting"/>
      <w:suff w:val="nothing"/>
      <w:lvlText w:val="（%1）"/>
      <w:lvlJc w:val="left"/>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8494F"/>
    <w:rsid w:val="15A1409B"/>
    <w:rsid w:val="16AF24FD"/>
    <w:rsid w:val="17125F34"/>
    <w:rsid w:val="178E2DAA"/>
    <w:rsid w:val="194C2783"/>
    <w:rsid w:val="19DE5E9B"/>
    <w:rsid w:val="1DAF5345"/>
    <w:rsid w:val="237136E2"/>
    <w:rsid w:val="23B416D4"/>
    <w:rsid w:val="24D7294D"/>
    <w:rsid w:val="2B46544E"/>
    <w:rsid w:val="34D741E4"/>
    <w:rsid w:val="3F905B35"/>
    <w:rsid w:val="42C17EC4"/>
    <w:rsid w:val="4A5525F5"/>
    <w:rsid w:val="4D5B154B"/>
    <w:rsid w:val="4D79405F"/>
    <w:rsid w:val="4E6C1E78"/>
    <w:rsid w:val="4FAD7788"/>
    <w:rsid w:val="5224106B"/>
    <w:rsid w:val="5D576FDC"/>
    <w:rsid w:val="5D9148AC"/>
    <w:rsid w:val="60F14632"/>
    <w:rsid w:val="62F4392F"/>
    <w:rsid w:val="66EB10E8"/>
    <w:rsid w:val="67EF2094"/>
    <w:rsid w:val="6A884B9D"/>
    <w:rsid w:val="70DD1B37"/>
    <w:rsid w:val="7610702C"/>
    <w:rsid w:val="76274FF4"/>
    <w:rsid w:val="79AF72CE"/>
    <w:rsid w:val="7B0F25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SA"/>
    </w:rPr>
  </w:style>
  <w:style w:type="paragraph" w:customStyle="1" w:styleId="7">
    <w:name w:val="列出段落1"/>
    <w:basedOn w:val="1"/>
    <w:qFormat/>
    <w:uiPriority w:val="34"/>
    <w:pPr>
      <w:ind w:firstLine="420" w:firstLineChars="200"/>
    </w:p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caizhengju</Company>
  <Pages>14</Pages>
  <Words>856</Words>
  <Characters>4885</Characters>
  <Lines>40</Lines>
  <Paragraphs>11</Paragraphs>
  <TotalTime>0</TotalTime>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2018-03-17T10:37:00Z</dcterms:created>
  <dc:creator>null,null,总收发</dc:creator>
  <cp:lastModifiedBy>Yao</cp:lastModifiedBy>
  <dcterms:modified xsi:type="dcterms:W3CDTF">2020-08-13T03:34:03Z</dcterms:modified>
  <dc:title>2018年琼海市财政局部门预算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