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ascii="黑体" w:hAnsi="宋体" w:eastAsia="黑体" w:cs="黑体"/>
          <w:sz w:val="32"/>
          <w:szCs w:val="32"/>
        </w:rPr>
        <w:t>附件</w:t>
      </w:r>
      <w:r>
        <w:rPr>
          <w:rFonts w:hint="eastAsia" w:ascii="黑体" w:hAnsi="宋体" w:eastAsia="黑体" w:cs="黑体"/>
          <w:sz w:val="32"/>
          <w:szCs w:val="32"/>
          <w:lang w:val="en-US"/>
        </w:rPr>
        <w:t>1</w:t>
      </w:r>
    </w:p>
    <w:p>
      <w:pPr>
        <w:keepNext w:val="0"/>
        <w:keepLines w:val="0"/>
        <w:widowControl/>
        <w:suppressLineNumbers w:val="0"/>
        <w:spacing w:before="0" w:beforeAutospacing="1" w:after="0" w:afterAutospacing="1"/>
        <w:ind w:left="0" w:right="0"/>
        <w:rPr>
          <w:rFonts w:hint="eastAsia" w:ascii="宋体" w:hAnsi="宋体" w:eastAsia="宋体" w:cs="宋体"/>
          <w:sz w:val="30"/>
          <w:szCs w:val="30"/>
          <w:lang w:val="en-US"/>
        </w:rPr>
      </w:pPr>
    </w:p>
    <w:p>
      <w:pPr>
        <w:keepNext w:val="0"/>
        <w:keepLines w:val="0"/>
        <w:widowControl/>
        <w:suppressLineNumbers w:val="0"/>
        <w:spacing w:before="0" w:beforeAutospacing="1" w:after="0" w:afterAutospacing="1"/>
        <w:ind w:left="0" w:right="0"/>
        <w:jc w:val="center"/>
        <w:rPr>
          <w:rFonts w:hint="eastAsia" w:ascii="黑体" w:hAnsi="ˎ̥" w:eastAsia="黑体" w:cs="黑体"/>
          <w:sz w:val="44"/>
          <w:szCs w:val="44"/>
          <w:lang w:val="en-US"/>
        </w:rPr>
      </w:pPr>
      <w:r>
        <w:rPr>
          <w:rFonts w:hint="eastAsia" w:ascii="黑体" w:hAnsi="ˎ̥" w:eastAsia="黑体" w:cs="黑体"/>
          <w:sz w:val="44"/>
          <w:szCs w:val="44"/>
        </w:rPr>
        <w:t>海南省</w:t>
      </w:r>
      <w:r>
        <w:rPr>
          <w:rFonts w:hint="eastAsia" w:ascii="黑体" w:hAnsi="ˎ̥" w:eastAsia="黑体" w:cs="黑体"/>
          <w:sz w:val="44"/>
          <w:szCs w:val="44"/>
          <w:lang w:val="en-US"/>
        </w:rPr>
        <w:t>海南省屯昌县屯城镇人民政府2021</w:t>
      </w:r>
      <w:r>
        <w:rPr>
          <w:rFonts w:hint="eastAsia" w:ascii="黑体" w:hAnsi="ˎ̥" w:eastAsia="黑体" w:cs="黑体"/>
          <w:sz w:val="44"/>
          <w:szCs w:val="44"/>
        </w:rPr>
        <w:t>年度部门决算</w:t>
      </w:r>
    </w:p>
    <w:p>
      <w:pPr>
        <w:keepNext w:val="0"/>
        <w:keepLines w:val="0"/>
        <w:widowControl/>
        <w:suppressLineNumbers w:val="0"/>
        <w:spacing w:before="0" w:beforeAutospacing="1" w:after="0" w:afterAutospacing="1"/>
        <w:ind w:left="0" w:right="0"/>
        <w:jc w:val="center"/>
        <w:rPr>
          <w:rFonts w:hint="eastAsia" w:ascii="黑体" w:hAnsi="ˎ̥" w:eastAsia="黑体" w:cs="黑体"/>
          <w:sz w:val="44"/>
          <w:szCs w:val="44"/>
          <w:lang w:val="en-US"/>
        </w:rPr>
      </w:pPr>
      <w:r>
        <w:rPr>
          <w:rFonts w:hint="eastAsia" w:ascii="黑体" w:hAnsi="ˎ̥" w:eastAsia="黑体" w:cs="黑体"/>
          <w:sz w:val="44"/>
          <w:szCs w:val="44"/>
        </w:rPr>
        <w:t>（参考模板）</w:t>
      </w:r>
    </w:p>
    <w:p>
      <w:pPr>
        <w:keepNext w:val="0"/>
        <w:keepLines w:val="0"/>
        <w:widowControl/>
        <w:suppressLineNumbers w:val="0"/>
        <w:spacing w:before="0" w:beforeAutospacing="1" w:after="0" w:afterAutospacing="1"/>
        <w:ind w:left="0" w:right="0"/>
        <w:jc w:val="center"/>
        <w:rPr>
          <w:rFonts w:hint="eastAsia" w:ascii="黑体" w:hAnsi="ˎ̥" w:eastAsia="黑体" w:cs="黑体"/>
          <w:b/>
          <w:bCs w:val="0"/>
          <w:sz w:val="32"/>
          <w:szCs w:val="32"/>
          <w:lang w:val="en-US"/>
        </w:rPr>
      </w:pPr>
    </w:p>
    <w:p>
      <w:pPr>
        <w:keepNext w:val="0"/>
        <w:keepLines w:val="0"/>
        <w:widowControl/>
        <w:suppressLineNumbers w:val="0"/>
        <w:spacing w:before="0" w:beforeAutospacing="1" w:after="0" w:afterAutospacing="1"/>
        <w:ind w:left="0" w:right="0"/>
        <w:jc w:val="center"/>
        <w:rPr>
          <w:rFonts w:hint="eastAsia" w:ascii="黑体" w:hAnsi="宋体" w:eastAsia="黑体" w:cs="黑体"/>
          <w:sz w:val="44"/>
          <w:szCs w:val="44"/>
          <w:lang w:val="en-US"/>
        </w:rPr>
      </w:pPr>
      <w:bookmarkStart w:id="0" w:name="_Toc11440_WPSOffice_Type2"/>
      <w:r>
        <w:rPr>
          <w:rFonts w:hint="eastAsia" w:ascii="黑体" w:hAnsi="宋体" w:eastAsia="黑体" w:cs="黑体"/>
          <w:sz w:val="44"/>
          <w:szCs w:val="44"/>
        </w:rPr>
        <w:t>目</w:t>
      </w:r>
      <w:r>
        <w:rPr>
          <w:rFonts w:hint="eastAsia" w:ascii="黑体" w:hAnsi="宋体" w:eastAsia="黑体" w:cs="黑体"/>
          <w:sz w:val="44"/>
          <w:szCs w:val="44"/>
          <w:lang w:val="en-US"/>
        </w:rPr>
        <w:t xml:space="preserve">  </w:t>
      </w:r>
      <w:r>
        <w:rPr>
          <w:rFonts w:hint="eastAsia" w:ascii="黑体" w:hAnsi="宋体" w:eastAsia="黑体" w:cs="黑体"/>
          <w:sz w:val="44"/>
          <w:szCs w:val="44"/>
        </w:rPr>
        <w:t>录</w:t>
      </w:r>
    </w:p>
    <w:p>
      <w:pPr>
        <w:pStyle w:val="11"/>
        <w:keepNext w:val="0"/>
        <w:keepLines w:val="0"/>
        <w:widowControl/>
        <w:suppressLineNumbers w:val="0"/>
        <w:tabs>
          <w:tab w:val="right" w:leader="dot" w:pos="8306"/>
        </w:tabs>
        <w:spacing w:before="0" w:beforeAutospacing="1" w:after="0" w:afterAutospacing="1"/>
        <w:ind w:left="0" w:right="0"/>
        <w:rPr>
          <w:rFonts w:hint="eastAsia" w:eastAsiaTheme="minorEastAsia"/>
          <w:sz w:val="32"/>
          <w:szCs w:val="32"/>
          <w:lang w:val="en-US" w:eastAsia="zh-CN"/>
        </w:rPr>
      </w:pPr>
      <w:r>
        <w:rPr>
          <w:rFonts w:hint="eastAsia" w:ascii="黑体" w:hAnsi="ˎ̥" w:eastAsia="黑体" w:cs="黑体"/>
          <w:sz w:val="32"/>
          <w:szCs w:val="32"/>
        </w:rPr>
        <w:t>第一部分</w:t>
      </w:r>
      <w:r>
        <w:rPr>
          <w:rFonts w:hint="eastAsia" w:ascii="黑体" w:hAnsi="ˎ̥" w:eastAsia="黑体" w:cs="黑体"/>
          <w:sz w:val="32"/>
          <w:szCs w:val="32"/>
          <w:lang w:val="en-US"/>
        </w:rPr>
        <w:t xml:space="preserve">  </w:t>
      </w:r>
      <w:r>
        <w:rPr>
          <w:rFonts w:hint="eastAsia" w:ascii="黑体" w:hAnsi="ˎ̥" w:eastAsia="黑体" w:cs="黑体"/>
          <w:sz w:val="32"/>
          <w:szCs w:val="32"/>
          <w:shd w:val="clear" w:fill="FFFFFF"/>
          <w:lang w:val="en-US" w:eastAsia="zh-CN"/>
        </w:rPr>
        <w:t>屯昌县屯城镇人民政府</w:t>
      </w:r>
      <w:r>
        <w:rPr>
          <w:rFonts w:hint="eastAsia" w:ascii="黑体" w:hAnsi="ˎ̥" w:eastAsia="黑体" w:cs="黑体"/>
          <w:sz w:val="32"/>
          <w:szCs w:val="32"/>
        </w:rPr>
        <w:t>部门</w:t>
      </w:r>
      <w:r>
        <w:rPr>
          <w:rFonts w:hint="eastAsia" w:ascii="黑体" w:hAnsi="ˎ̥" w:eastAsia="黑体" w:cs="黑体"/>
          <w:sz w:val="32"/>
          <w:szCs w:val="32"/>
          <w:lang w:val="en-US"/>
        </w:rPr>
        <w:t>(</w:t>
      </w:r>
      <w:r>
        <w:rPr>
          <w:rFonts w:hint="eastAsia" w:ascii="黑体" w:hAnsi="ˎ̥" w:eastAsia="黑体" w:cs="黑体"/>
          <w:sz w:val="32"/>
          <w:szCs w:val="32"/>
        </w:rPr>
        <w:t>单位</w:t>
      </w:r>
      <w:r>
        <w:rPr>
          <w:rFonts w:hint="eastAsia" w:ascii="黑体" w:hAnsi="ˎ̥" w:eastAsia="黑体" w:cs="黑体"/>
          <w:sz w:val="32"/>
          <w:szCs w:val="32"/>
          <w:lang w:val="en-US"/>
        </w:rPr>
        <w:t>)</w:t>
      </w:r>
      <w:r>
        <w:rPr>
          <w:rFonts w:hint="eastAsia" w:ascii="黑体" w:hAnsi="ˎ̥" w:eastAsia="黑体" w:cs="黑体"/>
          <w:sz w:val="32"/>
          <w:szCs w:val="32"/>
        </w:rPr>
        <w:t>概况</w:t>
      </w:r>
      <w:r>
        <w:rPr>
          <w:sz w:val="32"/>
          <w:szCs w:val="32"/>
          <w:lang w:val="en-US"/>
        </w:rPr>
        <w:tab/>
      </w:r>
      <w:r>
        <w:rPr>
          <w:rFonts w:hint="eastAsia"/>
          <w:sz w:val="32"/>
          <w:szCs w:val="32"/>
          <w:lang w:val="en-US" w:eastAsia="zh-CN"/>
        </w:rPr>
        <w:t>4</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ascii="仿宋" w:hAnsi="仿宋" w:eastAsia="仿宋" w:cs="仿宋"/>
          <w:sz w:val="32"/>
          <w:szCs w:val="32"/>
        </w:rPr>
        <w:t>一、部门职责</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4</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二、机构设置</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5</w:t>
      </w:r>
    </w:p>
    <w:p>
      <w:pPr>
        <w:pStyle w:val="11"/>
        <w:keepNext w:val="0"/>
        <w:keepLines w:val="0"/>
        <w:widowControl/>
        <w:suppressLineNumbers w:val="0"/>
        <w:tabs>
          <w:tab w:val="right" w:leader="dot" w:pos="8306"/>
        </w:tabs>
        <w:spacing w:before="0" w:beforeAutospacing="1" w:after="0" w:afterAutospacing="1"/>
        <w:ind w:left="0" w:right="0"/>
        <w:rPr>
          <w:rFonts w:hint="eastAsia" w:eastAsiaTheme="minorEastAsia"/>
          <w:sz w:val="32"/>
          <w:szCs w:val="32"/>
          <w:lang w:val="en-US" w:eastAsia="zh-CN"/>
        </w:rPr>
      </w:pPr>
      <w:r>
        <w:rPr>
          <w:rFonts w:hint="eastAsia" w:ascii="黑体" w:hAnsi="ˎ̥" w:eastAsia="黑体" w:cs="黑体"/>
          <w:sz w:val="32"/>
          <w:szCs w:val="32"/>
        </w:rPr>
        <w:t>第二部分</w:t>
      </w:r>
      <w:r>
        <w:rPr>
          <w:rFonts w:hint="eastAsia" w:ascii="黑体" w:hAnsi="ˎ̥" w:eastAsia="黑体" w:cs="黑体"/>
          <w:sz w:val="32"/>
          <w:szCs w:val="32"/>
          <w:lang w:val="en-US"/>
        </w:rPr>
        <w:t xml:space="preserve">  XXXX2021</w:t>
      </w:r>
      <w:r>
        <w:rPr>
          <w:rFonts w:hint="eastAsia" w:ascii="黑体" w:hAnsi="ˎ̥" w:eastAsia="黑体" w:cs="黑体"/>
          <w:sz w:val="32"/>
          <w:szCs w:val="32"/>
        </w:rPr>
        <w:t>年度部门决算公开表</w:t>
      </w:r>
      <w:r>
        <w:rPr>
          <w:sz w:val="32"/>
          <w:szCs w:val="32"/>
          <w:lang w:val="en-US"/>
        </w:rPr>
        <w:tab/>
      </w:r>
      <w:r>
        <w:rPr>
          <w:rFonts w:hint="eastAsia"/>
          <w:sz w:val="32"/>
          <w:szCs w:val="32"/>
          <w:lang w:val="en-US" w:eastAsia="zh-CN"/>
        </w:rPr>
        <w:t>5</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一、收入支出决算公开表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5</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二、收入决算公开表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三、支出决算公开表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四、财政拨款收入支出决算公开表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7</w:t>
      </w:r>
    </w:p>
    <w:p>
      <w:pPr>
        <w:pStyle w:val="11"/>
        <w:keepNext w:val="0"/>
        <w:keepLines w:val="0"/>
        <w:widowControl/>
        <w:suppressLineNumbers w:val="0"/>
        <w:tabs>
          <w:tab w:val="right" w:leader="dot" w:pos="8306"/>
        </w:tabs>
        <w:spacing w:before="0" w:beforeAutospacing="1" w:after="0" w:afterAutospacing="1"/>
        <w:ind w:left="0" w:right="0"/>
        <w:rPr>
          <w:rFonts w:hint="eastAsia" w:eastAsiaTheme="minorEastAsia"/>
          <w:sz w:val="32"/>
          <w:szCs w:val="32"/>
          <w:lang w:val="en-US" w:eastAsia="zh-CN"/>
        </w:rPr>
      </w:pPr>
      <w:r>
        <w:rPr>
          <w:rFonts w:hint="eastAsia" w:ascii="黑体" w:hAnsi="宋体" w:eastAsia="黑体" w:cs="黑体"/>
          <w:sz w:val="32"/>
          <w:szCs w:val="32"/>
        </w:rPr>
        <w:t>第三部分</w:t>
      </w:r>
      <w:r>
        <w:rPr>
          <w:sz w:val="32"/>
          <w:szCs w:val="32"/>
          <w:lang w:val="en-US"/>
        </w:rPr>
        <w:t xml:space="preserve"> </w:t>
      </w:r>
      <w:r>
        <w:rPr>
          <w:rFonts w:hint="eastAsia"/>
          <w:b/>
          <w:bCs/>
          <w:color w:val="auto"/>
          <w:sz w:val="32"/>
          <w:szCs w:val="32"/>
          <w:shd w:val="clear" w:fill="FFFFFF"/>
          <w:lang w:val="en-US" w:eastAsia="zh-CN"/>
        </w:rPr>
        <w:t>屯昌县屯城镇</w:t>
      </w:r>
      <w:r>
        <w:rPr>
          <w:rFonts w:hint="eastAsia" w:ascii="黑体" w:hAnsi="ˎ̥" w:eastAsia="黑体" w:cs="黑体"/>
          <w:sz w:val="32"/>
          <w:szCs w:val="32"/>
          <w:lang w:val="en-US"/>
        </w:rPr>
        <w:t>2021</w:t>
      </w:r>
      <w:r>
        <w:rPr>
          <w:rFonts w:hint="eastAsia" w:ascii="黑体" w:hAnsi="ˎ̥" w:eastAsia="黑体" w:cs="黑体"/>
          <w:sz w:val="32"/>
          <w:szCs w:val="32"/>
        </w:rPr>
        <w:t>年度部门决算情况说明</w:t>
      </w:r>
      <w:r>
        <w:rPr>
          <w:sz w:val="32"/>
          <w:szCs w:val="32"/>
          <w:lang w:val="en-US"/>
        </w:rPr>
        <w:tab/>
      </w:r>
      <w:r>
        <w:rPr>
          <w:rFonts w:hint="eastAsia"/>
          <w:sz w:val="32"/>
          <w:szCs w:val="32"/>
          <w:lang w:val="en-US" w:eastAsia="zh-CN"/>
        </w:rPr>
        <w:t>7</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一、收入支出决算总体情况说明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7</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二、收入决算情况说明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7</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三、支出决算情况说明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8</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四、财政拨款收入支出决算情况说明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8</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9</w:t>
      </w:r>
    </w:p>
    <w:p>
      <w:pPr>
        <w:pStyle w:val="11"/>
        <w:keepNext w:val="0"/>
        <w:keepLines w:val="0"/>
        <w:widowControl/>
        <w:suppressLineNumbers w:val="0"/>
        <w:tabs>
          <w:tab w:val="right" w:leader="dot" w:pos="8306"/>
        </w:tabs>
        <w:spacing w:before="0" w:beforeAutospacing="1" w:after="0" w:afterAutospacing="1"/>
        <w:ind w:left="0" w:leftChars="0" w:right="0"/>
        <w:rPr>
          <w:rFonts w:hint="default" w:ascii="仿宋" w:hAnsi="仿宋" w:eastAsia="仿宋" w:cs="仿宋"/>
          <w:sz w:val="32"/>
          <w:szCs w:val="32"/>
          <w:lang w:val="en-US" w:eastAsia="zh-CN"/>
        </w:rPr>
      </w:pP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11</w:t>
      </w:r>
    </w:p>
    <w:p>
      <w:pPr>
        <w:pStyle w:val="11"/>
        <w:keepNext w:val="0"/>
        <w:keepLines w:val="0"/>
        <w:widowControl/>
        <w:numPr>
          <w:numId w:val="0"/>
        </w:numPr>
        <w:suppressLineNumbers w:val="0"/>
        <w:tabs>
          <w:tab w:val="left" w:pos="8115"/>
          <w:tab w:val="right" w:leader="dot" w:pos="8306"/>
        </w:tabs>
        <w:spacing w:before="0" w:beforeAutospacing="1" w:after="0" w:afterAutospacing="1"/>
        <w:ind w:leftChars="0" w:right="0" w:rightChars="0"/>
        <w:rPr>
          <w:rFonts w:hint="default" w:ascii="仿宋" w:hAnsi="仿宋" w:eastAsia="仿宋" w:cs="仿宋"/>
          <w:sz w:val="32"/>
          <w:szCs w:val="32"/>
          <w:lang w:val="en-US" w:eastAsia="zh-CN"/>
        </w:rPr>
      </w:pPr>
      <w:r>
        <w:rPr>
          <w:rFonts w:hint="eastAsia" w:ascii="仿宋" w:hAnsi="仿宋" w:eastAsia="仿宋" w:cs="仿宋"/>
          <w:bCs/>
          <w:sz w:val="32"/>
          <w:szCs w:val="32"/>
          <w:lang w:val="en-US" w:eastAsia="zh-CN"/>
        </w:rPr>
        <w:t>七、</w:t>
      </w:r>
      <w:r>
        <w:rPr>
          <w:rFonts w:hint="eastAsia" w:ascii="仿宋" w:hAnsi="仿宋" w:eastAsia="仿宋" w:cs="仿宋"/>
          <w:bCs/>
          <w:sz w:val="32"/>
          <w:szCs w:val="32"/>
        </w:rPr>
        <w:t>政府性基金预算财政拨款收入支出决算情况说明</w:t>
      </w:r>
      <w:r>
        <w:rPr>
          <w:rFonts w:hint="eastAsia" w:ascii="仿宋" w:hAnsi="仿宋" w:eastAsia="仿宋" w:cs="仿宋"/>
          <w:bCs/>
          <w:sz w:val="32"/>
          <w:szCs w:val="32"/>
          <w:lang w:val="en-US" w:eastAsia="zh-CN"/>
        </w:rPr>
        <w:t>...12</w:t>
      </w:r>
    </w:p>
    <w:p>
      <w:pPr>
        <w:pStyle w:val="11"/>
        <w:keepNext w:val="0"/>
        <w:keepLines w:val="0"/>
        <w:widowControl/>
        <w:numPr>
          <w:numId w:val="0"/>
        </w:numPr>
        <w:suppressLineNumbers w:val="0"/>
        <w:tabs>
          <w:tab w:val="right" w:leader="dot" w:pos="8306"/>
        </w:tabs>
        <w:spacing w:before="0" w:beforeAutospacing="1" w:after="0" w:afterAutospacing="1"/>
        <w:ind w:leftChars="0" w:right="0" w:rightChars="0"/>
        <w:rPr>
          <w:rFonts w:hint="default" w:ascii="仿宋" w:hAnsi="仿宋" w:eastAsia="仿宋" w:cs="仿宋"/>
          <w:sz w:val="32"/>
          <w:szCs w:val="32"/>
          <w:lang w:val="en-US" w:eastAsia="zh-CN"/>
        </w:rPr>
      </w:pPr>
      <w:r>
        <w:rPr>
          <w:rFonts w:hint="eastAsia" w:ascii="仿宋" w:hAnsi="仿宋" w:eastAsia="仿宋" w:cs="仿宋"/>
          <w:bCs/>
          <w:sz w:val="32"/>
          <w:szCs w:val="32"/>
          <w:lang w:val="en-US" w:eastAsia="zh-CN"/>
        </w:rPr>
        <w:t>八、</w:t>
      </w: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eastAsia="zh-CN"/>
        </w:rPr>
        <w:t>13</w:t>
      </w:r>
    </w:p>
    <w:p>
      <w:pPr>
        <w:keepNext w:val="0"/>
        <w:keepLines w:val="0"/>
        <w:widowControl/>
        <w:suppressLineNumbers w:val="0"/>
        <w:spacing w:before="0" w:beforeAutospacing="1" w:after="0" w:afterAutospacing="1"/>
        <w:ind w:left="0" w:right="0"/>
        <w:rPr>
          <w:rFonts w:hint="eastAsia" w:ascii="仿宋" w:hAnsi="仿宋" w:eastAsia="仿宋" w:cs="仿宋"/>
          <w:sz w:val="32"/>
          <w:szCs w:val="32"/>
          <w:lang w:val="en-US"/>
        </w:rPr>
      </w:pPr>
      <w:r>
        <w:rPr>
          <w:rFonts w:hint="eastAsia" w:ascii="仿宋" w:hAnsi="仿宋" w:eastAsia="仿宋" w:cs="仿宋"/>
          <w:bCs/>
          <w:sz w:val="32"/>
          <w:szCs w:val="32"/>
        </w:rPr>
        <w:t>九、一般公共预算财政拨款“三公”经费支出决算情况说明</w:t>
      </w:r>
    </w:p>
    <w:p>
      <w:pPr>
        <w:pStyle w:val="11"/>
        <w:keepNext w:val="0"/>
        <w:keepLines w:val="0"/>
        <w:widowControl/>
        <w:suppressLineNumbers w:val="0"/>
        <w:tabs>
          <w:tab w:val="right" w:leader="dot" w:pos="8306"/>
        </w:tabs>
        <w:spacing w:before="0" w:beforeAutospacing="1" w:after="0" w:afterAutospacing="1"/>
        <w:ind w:left="0" w:leftChars="0" w:right="0"/>
        <w:rPr>
          <w:rFonts w:hint="default" w:ascii="仿宋" w:hAnsi="仿宋" w:eastAsia="仿宋" w:cs="仿宋"/>
          <w:sz w:val="32"/>
          <w:szCs w:val="32"/>
          <w:lang w:val="en-US" w:eastAsia="zh-CN"/>
        </w:rPr>
      </w:pPr>
      <w:r>
        <w:rPr>
          <w:rFonts w:hint="eastAsia" w:ascii="仿宋" w:hAnsi="仿宋" w:eastAsia="仿宋" w:cs="仿宋"/>
          <w:sz w:val="32"/>
          <w:szCs w:val="32"/>
          <w:lang w:val="en-US"/>
        </w:rPr>
        <w:tab/>
      </w:r>
      <w:r>
        <w:rPr>
          <w:rFonts w:hint="eastAsia" w:ascii="仿宋" w:hAnsi="仿宋" w:eastAsia="仿宋" w:cs="仿宋"/>
          <w:sz w:val="32"/>
          <w:szCs w:val="32"/>
          <w:lang w:val="en-US" w:eastAsia="zh-CN"/>
        </w:rPr>
        <w:t>13</w:t>
      </w:r>
    </w:p>
    <w:p>
      <w:pPr>
        <w:keepNext w:val="0"/>
        <w:keepLines w:val="0"/>
        <w:widowControl/>
        <w:suppressLineNumbers w:val="0"/>
        <w:spacing w:before="0" w:beforeAutospacing="1" w:after="0" w:afterAutospacing="1"/>
        <w:ind w:left="0" w:right="0"/>
        <w:rPr>
          <w:rFonts w:hint="eastAsia" w:ascii="仿宋" w:hAnsi="仿宋" w:eastAsia="仿宋" w:cs="仿宋"/>
          <w:sz w:val="32"/>
          <w:szCs w:val="32"/>
          <w:lang w:val="en-US"/>
        </w:rPr>
      </w:pPr>
      <w:r>
        <w:rPr>
          <w:rFonts w:hint="eastAsia" w:ascii="仿宋" w:hAnsi="仿宋" w:eastAsia="仿宋" w:cs="仿宋"/>
          <w:bCs/>
          <w:sz w:val="32"/>
          <w:szCs w:val="32"/>
        </w:rPr>
        <w:t>十、政府性基金预算财政拨款“三公”经费支出决算情况说明</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lang w:val="en-US"/>
        </w:rPr>
        <w:tab/>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5</w:t>
      </w:r>
    </w:p>
    <w:p>
      <w:pPr>
        <w:keepNext w:val="0"/>
        <w:keepLines w:val="0"/>
        <w:widowControl/>
        <w:suppressLineNumbers w:val="0"/>
        <w:spacing w:before="0" w:beforeAutospacing="1" w:after="0" w:afterAutospacing="1"/>
        <w:ind w:left="0" w:right="0"/>
        <w:rPr>
          <w:rFonts w:hint="eastAsia" w:ascii="仿宋" w:hAnsi="仿宋" w:eastAsia="仿宋" w:cs="仿宋"/>
          <w:sz w:val="32"/>
          <w:szCs w:val="32"/>
          <w:lang w:val="en-US"/>
        </w:rPr>
      </w:pPr>
      <w:r>
        <w:rPr>
          <w:rFonts w:hint="eastAsia" w:ascii="仿宋" w:hAnsi="仿宋" w:eastAsia="仿宋" w:cs="仿宋"/>
          <w:bCs/>
          <w:sz w:val="32"/>
          <w:szCs w:val="32"/>
        </w:rPr>
        <w:t>十一、国有资本经营预算财政拨款“三公”经费支出决算情况说明</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sz w:val="32"/>
          <w:szCs w:val="32"/>
          <w:lang w:val="en-US"/>
        </w:rPr>
        <w:tab/>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5</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十二、预算绩效情况说明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leftChars="0" w:right="0"/>
        <w:rPr>
          <w:rFonts w:hint="eastAsia" w:ascii="仿宋" w:hAnsi="仿宋" w:eastAsia="仿宋" w:cs="仿宋"/>
          <w:sz w:val="32"/>
          <w:szCs w:val="32"/>
          <w:lang w:val="en-US"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6</w:t>
      </w:r>
    </w:p>
    <w:p>
      <w:pPr>
        <w:pStyle w:val="11"/>
        <w:keepNext w:val="0"/>
        <w:keepLines w:val="0"/>
        <w:widowControl/>
        <w:suppressLineNumbers w:val="0"/>
        <w:tabs>
          <w:tab w:val="right" w:leader="dot" w:pos="8306"/>
        </w:tabs>
        <w:spacing w:before="0" w:beforeAutospacing="1" w:after="0" w:afterAutospacing="1"/>
        <w:ind w:left="0" w:right="0"/>
        <w:rPr>
          <w:rFonts w:hint="eastAsia" w:eastAsiaTheme="minorEastAsia"/>
          <w:sz w:val="32"/>
          <w:szCs w:val="32"/>
          <w:lang w:val="en-US" w:eastAsia="zh-CN"/>
        </w:rPr>
      </w:pPr>
      <w:r>
        <w:rPr>
          <w:rFonts w:hint="eastAsia" w:ascii="黑体" w:hAnsi="ˎ̥" w:eastAsia="黑体" w:cs="黑体"/>
          <w:sz w:val="32"/>
          <w:szCs w:val="32"/>
        </w:rPr>
        <w:t>第四部分</w:t>
      </w:r>
      <w:r>
        <w:rPr>
          <w:rFonts w:hint="eastAsia" w:ascii="黑体" w:hAnsi="ˎ̥" w:eastAsia="黑体" w:cs="黑体"/>
          <w:sz w:val="32"/>
          <w:szCs w:val="32"/>
          <w:lang w:val="en-US"/>
        </w:rPr>
        <w:t xml:space="preserve">  </w:t>
      </w:r>
      <w:r>
        <w:rPr>
          <w:rFonts w:hint="eastAsia" w:ascii="黑体" w:hAnsi="ˎ̥" w:eastAsia="黑体" w:cs="黑体"/>
          <w:sz w:val="32"/>
          <w:szCs w:val="32"/>
        </w:rPr>
        <w:t>名词解释</w:t>
      </w:r>
      <w:r>
        <w:rPr>
          <w:sz w:val="32"/>
          <w:szCs w:val="32"/>
          <w:lang w:val="en-US"/>
        </w:rPr>
        <w:tab/>
      </w:r>
      <w:bookmarkStart w:id="1" w:name="_Toc15425_WPSOffice_Level1Page"/>
      <w:r>
        <w:rPr>
          <w:sz w:val="32"/>
          <w:szCs w:val="32"/>
          <w:lang w:val="en-US"/>
        </w:rPr>
        <w:t>1</w:t>
      </w:r>
      <w:bookmarkEnd w:id="0"/>
      <w:bookmarkEnd w:id="1"/>
      <w:r>
        <w:rPr>
          <w:rFonts w:hint="eastAsia"/>
          <w:sz w:val="32"/>
          <w:szCs w:val="32"/>
          <w:lang w:val="en-US" w:eastAsia="zh-CN"/>
        </w:rPr>
        <w:t>7</w:t>
      </w:r>
      <w:bookmarkStart w:id="119" w:name="_GoBack"/>
      <w:bookmarkEnd w:id="119"/>
    </w:p>
    <w:p>
      <w:pPr>
        <w:keepNext w:val="0"/>
        <w:keepLines w:val="0"/>
        <w:widowControl/>
        <w:suppressLineNumbers w:val="0"/>
        <w:spacing w:before="0" w:beforeAutospacing="1" w:after="0" w:afterAutospacing="1"/>
        <w:ind w:left="0" w:right="0"/>
        <w:jc w:val="left"/>
        <w:rPr>
          <w:rFonts w:hint="eastAsia" w:ascii="黑体" w:hAnsi="宋体" w:eastAsia="黑体" w:cs="黑体"/>
          <w:sz w:val="32"/>
          <w:szCs w:val="32"/>
          <w:lang w:val="en-US"/>
        </w:rPr>
      </w:pPr>
    </w:p>
    <w:p>
      <w:pPr>
        <w:keepNext w:val="0"/>
        <w:keepLines w:val="0"/>
        <w:widowControl/>
        <w:suppressLineNumbers w:val="0"/>
        <w:spacing w:before="0" w:beforeAutospacing="1" w:after="0" w:afterAutospacing="1"/>
        <w:ind w:left="0" w:right="0"/>
        <w:jc w:val="center"/>
        <w:rPr>
          <w:rFonts w:hint="eastAsia" w:ascii="黑体" w:hAnsi="ˎ̥" w:eastAsia="黑体" w:cs="黑体"/>
          <w:b/>
          <w:bCs w:val="0"/>
          <w:sz w:val="32"/>
          <w:szCs w:val="32"/>
          <w:lang w:val="en-US"/>
        </w:rPr>
      </w:pPr>
    </w:p>
    <w:p>
      <w:pPr>
        <w:keepNext w:val="0"/>
        <w:keepLines w:val="0"/>
        <w:widowControl/>
        <w:numPr>
          <w:numId w:val="0"/>
        </w:numPr>
        <w:suppressLineNumbers w:val="0"/>
        <w:spacing w:before="0" w:beforeAutospacing="1" w:after="0" w:afterAutospacing="1"/>
        <w:ind w:right="0" w:rightChars="0"/>
        <w:jc w:val="both"/>
        <w:rPr>
          <w:rFonts w:ascii="楷体" w:hAnsi="楷体" w:eastAsia="楷体" w:cs="楷体"/>
          <w:sz w:val="32"/>
          <w:szCs w:val="32"/>
          <w:lang w:val="en-US"/>
        </w:rPr>
      </w:pPr>
      <w:bookmarkStart w:id="2" w:name="_Toc10720_WPSOffice_Level1"/>
      <w:bookmarkStart w:id="3" w:name="_Toc1704_WPSOffice_Level1"/>
      <w:bookmarkStart w:id="4" w:name="_Toc23465_WPSOffice_Level1"/>
      <w:bookmarkStart w:id="5" w:name="_Toc32433_WPSOffice_Level1"/>
      <w:bookmarkStart w:id="6" w:name="_Toc10049_WPSOffice_Level1"/>
      <w:bookmarkStart w:id="7" w:name="_Toc22941_WPSOffice_Level1"/>
      <w:bookmarkStart w:id="8" w:name="_Toc24238_WPSOffice_Level2"/>
      <w:bookmarkStart w:id="9" w:name="_Toc20274_WPSOffice_Level2"/>
      <w:bookmarkStart w:id="10" w:name="_Toc20205_WPSOffice_Level2"/>
      <w:bookmarkStart w:id="11" w:name="_Toc14159_WPSOffice_Level2"/>
      <w:bookmarkStart w:id="12" w:name="_Toc32622_WPSOffice_Level2"/>
      <w:bookmarkStart w:id="13" w:name="_Toc26580_WPSOffice_Level2"/>
    </w:p>
    <w:p>
      <w:pPr>
        <w:keepNext w:val="0"/>
        <w:keepLines w:val="0"/>
        <w:widowControl/>
        <w:numPr>
          <w:numId w:val="0"/>
        </w:numPr>
        <w:suppressLineNumbers w:val="0"/>
        <w:spacing w:before="0" w:beforeAutospacing="1" w:after="0" w:afterAutospacing="1"/>
        <w:ind w:right="0" w:rightChars="0"/>
        <w:jc w:val="both"/>
        <w:rPr>
          <w:rFonts w:ascii="楷体" w:hAnsi="楷体" w:eastAsia="楷体" w:cs="楷体"/>
          <w:sz w:val="32"/>
          <w:szCs w:val="32"/>
          <w:lang w:val="en-US"/>
        </w:rPr>
      </w:pPr>
      <w:r>
        <w:rPr>
          <w:rFonts w:hint="eastAsia" w:ascii="黑体" w:hAnsi="ˎ̥" w:eastAsia="黑体" w:cs="黑体"/>
          <w:sz w:val="32"/>
          <w:szCs w:val="32"/>
        </w:rPr>
        <w:t>第</w:t>
      </w:r>
      <w:r>
        <w:rPr>
          <w:rFonts w:hint="eastAsia" w:ascii="黑体" w:hAnsi="ˎ̥" w:eastAsia="黑体" w:cs="黑体"/>
          <w:sz w:val="32"/>
          <w:szCs w:val="32"/>
          <w:lang w:val="en-US" w:eastAsia="zh-CN"/>
        </w:rPr>
        <w:t>一</w:t>
      </w:r>
      <w:r>
        <w:rPr>
          <w:rFonts w:hint="eastAsia" w:ascii="黑体" w:hAnsi="ˎ̥" w:eastAsia="黑体" w:cs="黑体"/>
          <w:sz w:val="32"/>
          <w:szCs w:val="32"/>
        </w:rPr>
        <w:t>部分</w:t>
      </w:r>
      <w:r>
        <w:rPr>
          <w:rFonts w:hint="eastAsia" w:ascii="黑体" w:hAnsi="ˎ̥" w:eastAsia="黑体" w:cs="黑体"/>
          <w:sz w:val="32"/>
          <w:szCs w:val="32"/>
          <w:lang w:val="en-US" w:eastAsia="zh-CN"/>
        </w:rPr>
        <w:t xml:space="preserve">   </w:t>
      </w:r>
      <w:r>
        <w:rPr>
          <w:rFonts w:hint="eastAsia" w:ascii="黑体" w:hAnsi="宋体" w:eastAsia="黑体" w:cs="黑体"/>
          <w:kern w:val="0"/>
          <w:sz w:val="32"/>
          <w:szCs w:val="32"/>
          <w:shd w:val="clear" w:fill="FFFFFF"/>
          <w:lang w:val="en-US" w:eastAsia="zh-CN" w:bidi="ar"/>
        </w:rPr>
        <w:t>屯昌县屯城镇人民政府</w:t>
      </w:r>
      <w:r>
        <w:rPr>
          <w:rFonts w:hint="eastAsia" w:ascii="黑体" w:hAnsi="ˎ̥" w:eastAsia="黑体" w:cs="黑体"/>
          <w:sz w:val="32"/>
          <w:szCs w:val="32"/>
        </w:rPr>
        <w:t>部门（单位）部门概况</w:t>
      </w:r>
      <w:bookmarkEnd w:id="2"/>
      <w:bookmarkEnd w:id="3"/>
      <w:bookmarkEnd w:id="4"/>
      <w:bookmarkEnd w:id="5"/>
      <w:bookmarkEnd w:id="6"/>
      <w:bookmarkEnd w:id="7"/>
    </w:p>
    <w:p>
      <w:pPr>
        <w:keepNext w:val="0"/>
        <w:keepLines w:val="0"/>
        <w:widowControl w:val="0"/>
        <w:numPr>
          <w:ilvl w:val="0"/>
          <w:numId w:val="1"/>
        </w:numPr>
        <w:suppressLineNumbers w:val="0"/>
        <w:autoSpaceDE w:val="0"/>
        <w:autoSpaceDN/>
        <w:snapToGrid w:val="0"/>
        <w:spacing w:before="0" w:beforeAutospacing="0" w:after="0" w:afterAutospacing="0" w:line="590" w:lineRule="exact"/>
        <w:ind w:left="0" w:right="0" w:firstLine="640" w:firstLineChars="200"/>
        <w:jc w:val="left"/>
        <w:rPr>
          <w:rFonts w:hint="eastAsia" w:ascii="黑体" w:hAnsi="宋体" w:eastAsia="黑体" w:cs="黑体"/>
          <w:sz w:val="32"/>
          <w:szCs w:val="32"/>
        </w:rPr>
      </w:pPr>
      <w:r>
        <w:rPr>
          <w:rFonts w:hint="eastAsia" w:ascii="黑体" w:hAnsi="宋体" w:eastAsia="黑体" w:cs="黑体"/>
          <w:sz w:val="32"/>
          <w:szCs w:val="32"/>
        </w:rPr>
        <w:t>部门</w:t>
      </w:r>
      <w:bookmarkEnd w:id="8"/>
      <w:r>
        <w:rPr>
          <w:rFonts w:hint="eastAsia" w:ascii="黑体" w:hAnsi="宋体" w:eastAsia="黑体" w:cs="黑体"/>
          <w:sz w:val="32"/>
          <w:szCs w:val="32"/>
        </w:rPr>
        <w:t>（单位）职责</w:t>
      </w:r>
      <w:bookmarkEnd w:id="9"/>
      <w:bookmarkEnd w:id="10"/>
      <w:bookmarkEnd w:id="11"/>
      <w:bookmarkEnd w:id="12"/>
      <w:bookmarkEnd w:id="13"/>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kern w:val="0"/>
          <w:sz w:val="32"/>
          <w:szCs w:val="32"/>
          <w:lang w:val="en-US" w:eastAsia="zh-CN" w:bidi="ar"/>
        </w:rPr>
        <w:t>屯昌县屯城镇人民政府是2002年由屯郊乡、大同乡、屯昌镇三个乡镇合并而成，下辖2</w:t>
      </w:r>
      <w:r>
        <w:rPr>
          <w:rFonts w:hint="eastAsia" w:ascii="仿宋_GB2312" w:eastAsia="仿宋_GB2312" w:cs="仿宋_GB2312"/>
          <w:kern w:val="0"/>
          <w:sz w:val="32"/>
          <w:szCs w:val="32"/>
          <w:lang w:val="en-US" w:eastAsia="zh-CN" w:bidi="ar"/>
        </w:rPr>
        <w:t>9</w:t>
      </w:r>
      <w:r>
        <w:rPr>
          <w:rFonts w:hint="eastAsia" w:ascii="仿宋_GB2312" w:hAnsi="宋体" w:eastAsia="仿宋_GB2312" w:cs="仿宋_GB2312"/>
          <w:kern w:val="0"/>
          <w:sz w:val="32"/>
          <w:szCs w:val="32"/>
          <w:lang w:val="en-US" w:eastAsia="zh-CN" w:bidi="ar"/>
        </w:rPr>
        <w:t>个村（居）委会，115个自然村，231个村民小组，</w:t>
      </w:r>
      <w:r>
        <w:rPr>
          <w:rFonts w:hint="eastAsia" w:ascii="仿宋_GB2312" w:hAnsi="宋体" w:eastAsia="仿宋_GB2312" w:cs="仿宋_GB2312"/>
          <w:color w:val="auto"/>
          <w:kern w:val="0"/>
          <w:sz w:val="32"/>
          <w:szCs w:val="32"/>
          <w:lang w:val="en-US" w:eastAsia="zh-CN" w:bidi="ar"/>
        </w:rPr>
        <w:t>总人口9</w:t>
      </w:r>
      <w:r>
        <w:rPr>
          <w:rFonts w:hint="eastAsia" w:ascii="仿宋_GB2312" w:eastAsia="仿宋_GB2312" w:cs="仿宋_GB2312"/>
          <w:color w:val="auto"/>
          <w:kern w:val="0"/>
          <w:sz w:val="32"/>
          <w:szCs w:val="32"/>
          <w:lang w:val="en-US" w:eastAsia="zh-CN" w:bidi="ar"/>
        </w:rPr>
        <w:t>965</w:t>
      </w:r>
      <w:r>
        <w:rPr>
          <w:rFonts w:hint="eastAsia" w:ascii="仿宋_GB2312" w:hAnsi="宋体" w:eastAsia="仿宋_GB2312" w:cs="仿宋_GB2312"/>
          <w:color w:val="auto"/>
          <w:kern w:val="0"/>
          <w:sz w:val="32"/>
          <w:szCs w:val="32"/>
          <w:lang w:val="en-US" w:eastAsia="zh-CN" w:bidi="ar"/>
        </w:rPr>
        <w:t>6人，其中农业人口57</w:t>
      </w:r>
      <w:r>
        <w:rPr>
          <w:rFonts w:hint="eastAsia" w:ascii="仿宋_GB2312" w:eastAsia="仿宋_GB2312" w:cs="仿宋_GB2312"/>
          <w:color w:val="auto"/>
          <w:kern w:val="0"/>
          <w:sz w:val="32"/>
          <w:szCs w:val="32"/>
          <w:lang w:val="en-US" w:eastAsia="zh-CN" w:bidi="ar"/>
        </w:rPr>
        <w:t>04</w:t>
      </w:r>
      <w:r>
        <w:rPr>
          <w:rFonts w:hint="eastAsia" w:ascii="仿宋_GB2312" w:hAnsi="宋体" w:eastAsia="仿宋_GB2312" w:cs="仿宋_GB2312"/>
          <w:color w:val="auto"/>
          <w:kern w:val="0"/>
          <w:sz w:val="32"/>
          <w:szCs w:val="32"/>
          <w:lang w:val="en-US" w:eastAsia="zh-CN" w:bidi="ar"/>
        </w:rPr>
        <w:t>8人。单位人员公务员编制54名,现实有人员</w:t>
      </w:r>
      <w:r>
        <w:rPr>
          <w:rFonts w:hint="eastAsia" w:ascii="仿宋_GB2312" w:eastAsia="仿宋_GB2312" w:cs="仿宋_GB2312"/>
          <w:color w:val="auto"/>
          <w:kern w:val="0"/>
          <w:sz w:val="32"/>
          <w:szCs w:val="32"/>
          <w:lang w:val="en-US" w:eastAsia="zh-CN" w:bidi="ar"/>
        </w:rPr>
        <w:t>54</w:t>
      </w:r>
      <w:r>
        <w:rPr>
          <w:rFonts w:hint="eastAsia" w:ascii="仿宋_GB2312" w:hAnsi="宋体" w:eastAsia="仿宋_GB2312" w:cs="仿宋_GB2312"/>
          <w:color w:val="auto"/>
          <w:kern w:val="0"/>
          <w:sz w:val="32"/>
          <w:szCs w:val="32"/>
          <w:lang w:val="en-US" w:eastAsia="zh-CN" w:bidi="ar"/>
        </w:rPr>
        <w:t>名,事业编制46名，现实有人员4</w:t>
      </w:r>
      <w:r>
        <w:rPr>
          <w:rFonts w:hint="eastAsia" w:ascii="仿宋_GB2312" w:eastAsia="仿宋_GB2312" w:cs="仿宋_GB2312"/>
          <w:color w:val="auto"/>
          <w:kern w:val="0"/>
          <w:sz w:val="32"/>
          <w:szCs w:val="32"/>
          <w:lang w:val="en-US" w:eastAsia="zh-CN" w:bidi="ar"/>
        </w:rPr>
        <w:t>1</w:t>
      </w:r>
      <w:r>
        <w:rPr>
          <w:rFonts w:hint="eastAsia" w:ascii="仿宋_GB2312" w:hAnsi="宋体" w:eastAsia="仿宋_GB2312" w:cs="仿宋_GB2312"/>
          <w:color w:val="auto"/>
          <w:kern w:val="0"/>
          <w:sz w:val="32"/>
          <w:szCs w:val="32"/>
          <w:lang w:val="en-US" w:eastAsia="zh-CN" w:bidi="ar"/>
        </w:rPr>
        <w:t>名</w:t>
      </w:r>
      <w:r>
        <w:rPr>
          <w:rFonts w:hint="eastAsia" w:ascii="仿宋_GB2312" w:hAnsi="宋体" w:eastAsia="仿宋_GB2312" w:cs="仿宋_GB2312"/>
          <w:color w:val="auto"/>
          <w:kern w:val="0"/>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eastAsia="仿宋_GB2312" w:cs="仿宋_GB2312"/>
          <w:kern w:val="0"/>
          <w:sz w:val="32"/>
          <w:szCs w:val="32"/>
        </w:rPr>
      </w:pPr>
      <w:r>
        <w:rPr>
          <w:rFonts w:hint="eastAsia" w:ascii="仿宋_GB2312" w:hAnsi="宋体" w:eastAsia="仿宋_GB2312" w:cs="仿宋_GB2312"/>
          <w:kern w:val="0"/>
          <w:sz w:val="32"/>
          <w:szCs w:val="32"/>
          <w:lang w:val="en-US" w:eastAsia="zh-CN" w:bidi="ar"/>
        </w:rPr>
        <w:t>其主要职责：</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eastAsia="仿宋_GB2312" w:cs="仿宋_GB2312"/>
          <w:kern w:val="0"/>
          <w:sz w:val="32"/>
          <w:szCs w:val="32"/>
        </w:rPr>
      </w:pPr>
      <w:r>
        <w:rPr>
          <w:rFonts w:hint="eastAsia" w:ascii="仿宋_GB2312" w:hAnsi="宋体" w:eastAsia="仿宋_GB2312" w:cs="仿宋_GB2312"/>
          <w:kern w:val="0"/>
          <w:sz w:val="32"/>
          <w:szCs w:val="32"/>
          <w:lang w:val="en-US" w:eastAsia="zh-CN" w:bidi="ar"/>
        </w:rPr>
        <w:t>(一)落实政策：宣传、落实好党的路线、方针、政策和国家的法律、法规，稳定农村基本经济制度，坚持依法行政，推进政务公开，加强对村民委员会的指导，提高、培育村民委员会自治能力。</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eastAsia="仿宋_GB2312" w:cs="仿宋_GB2312"/>
          <w:kern w:val="0"/>
          <w:sz w:val="32"/>
          <w:szCs w:val="32"/>
        </w:rPr>
      </w:pPr>
      <w:r>
        <w:rPr>
          <w:rFonts w:hint="eastAsia" w:ascii="仿宋_GB2312" w:hAnsi="宋体" w:eastAsia="仿宋_GB2312" w:cs="仿宋_GB2312"/>
          <w:kern w:val="0"/>
          <w:sz w:val="32"/>
          <w:szCs w:val="32"/>
          <w:lang w:val="en-US" w:eastAsia="zh-CN" w:bidi="ar"/>
        </w:rPr>
        <w:t>(二)促进发展：科学制定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eastAsia="仿宋_GB2312" w:cs="仿宋_GB2312"/>
          <w:kern w:val="0"/>
          <w:sz w:val="32"/>
          <w:szCs w:val="32"/>
        </w:rPr>
      </w:pPr>
      <w:r>
        <w:rPr>
          <w:rFonts w:hint="eastAsia" w:ascii="仿宋_GB2312" w:hAnsi="宋体" w:eastAsia="仿宋_GB2312" w:cs="仿宋_GB2312"/>
          <w:kern w:val="0"/>
          <w:sz w:val="32"/>
          <w:szCs w:val="32"/>
          <w:lang w:val="en-US" w:eastAsia="zh-CN" w:bidi="ar"/>
        </w:rPr>
        <w:t>(三)维护稳定： 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eastAsia="仿宋_GB2312" w:cs="仿宋_GB2312"/>
          <w:kern w:val="0"/>
          <w:sz w:val="32"/>
          <w:szCs w:val="32"/>
        </w:rPr>
      </w:pPr>
      <w:r>
        <w:rPr>
          <w:rFonts w:hint="eastAsia" w:ascii="仿宋_GB2312" w:hAnsi="宋体" w:eastAsia="仿宋_GB2312" w:cs="仿宋_GB2312"/>
          <w:kern w:val="0"/>
          <w:sz w:val="32"/>
          <w:szCs w:val="32"/>
          <w:lang w:val="en-US" w:eastAsia="zh-CN" w:bidi="ar"/>
        </w:rPr>
        <w:t>(四)加强管理： 加强民政、教育、科技、文化、卫生、计划生育、安全生产、劳动保障和乡村规划等社会管理，加强社会主义精神文明建设，做好防灾减灾工作，加强环境保护，努力改善农村人居环境，不断提高农村人口素质和农民生活质量。</w:t>
      </w:r>
    </w:p>
    <w:p>
      <w:pPr>
        <w:keepNext w:val="0"/>
        <w:keepLines w:val="0"/>
        <w:widowControl/>
        <w:suppressLineNumbers w:val="0"/>
        <w:shd w:val="clear" w:fill="FFFFFF"/>
        <w:snapToGrid w:val="0"/>
        <w:spacing w:before="0" w:beforeAutospacing="1" w:after="0" w:afterAutospacing="1"/>
        <w:ind w:left="480" w:leftChars="200" w:right="0" w:rightChars="0" w:firstLine="640" w:firstLineChars="200"/>
        <w:jc w:val="left"/>
        <w:rPr>
          <w:rFonts w:hint="eastAsia" w:ascii="仿宋_GB2312"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lang w:val="en-US" w:eastAsia="zh-CN" w:bidi="ar"/>
        </w:rPr>
        <w:t>(五)提供服务： 进一步发展和完善农业社会化服务体系，引导各类协会和农村专业合作经济组织发展农村社会公益事业和集体公益事业。加强农村基础设施建设，增加公共产品，提供政策、科技、市场信息和社会救济、救助服务，及时向上级党委、政府反映社情民意，进一步密切党群关系。</w:t>
      </w:r>
    </w:p>
    <w:p>
      <w:pPr>
        <w:keepNext w:val="0"/>
        <w:keepLines w:val="0"/>
        <w:widowControl/>
        <w:suppressLineNumbers w:val="0"/>
        <w:spacing w:before="0" w:beforeAutospacing="1" w:after="0" w:afterAutospacing="1"/>
        <w:ind w:right="0" w:firstLine="640" w:firstLineChars="200"/>
        <w:rPr>
          <w:rFonts w:hint="eastAsia" w:ascii="黑体" w:hAnsi="宋体" w:eastAsia="黑体" w:cs="黑体"/>
          <w:sz w:val="32"/>
          <w:szCs w:val="32"/>
          <w:lang w:val="en-US"/>
        </w:rPr>
      </w:pPr>
      <w:bookmarkStart w:id="14" w:name="_Toc6572_WPSOffice_Level2"/>
      <w:bookmarkStart w:id="15" w:name="_Toc4833_WPSOffice_Level2"/>
      <w:bookmarkStart w:id="16" w:name="_Toc24059_WPSOffice_Level2"/>
      <w:bookmarkStart w:id="17" w:name="_Toc24474_WPSOffice_Level2"/>
      <w:bookmarkStart w:id="18" w:name="_Toc17796_WPSOffice_Level2"/>
      <w:r>
        <w:rPr>
          <w:rFonts w:hint="eastAsia" w:ascii="黑体" w:hAnsi="宋体" w:eastAsia="黑体" w:cs="黑体"/>
          <w:sz w:val="32"/>
          <w:szCs w:val="32"/>
        </w:rPr>
        <w:t>二、机构设置</w:t>
      </w:r>
      <w:bookmarkEnd w:id="14"/>
      <w:bookmarkEnd w:id="15"/>
      <w:bookmarkEnd w:id="16"/>
      <w:bookmarkEnd w:id="17"/>
      <w:bookmarkEnd w:id="18"/>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纳入屯昌县屯城镇人民政府部门2021年度部门决算编制范围的二级预算单位包括：</w:t>
      </w:r>
    </w:p>
    <w:p>
      <w:pPr>
        <w:keepNext w:val="0"/>
        <w:keepLines w:val="0"/>
        <w:widowControl/>
        <w:numPr>
          <w:ilvl w:val="0"/>
          <w:numId w:val="2"/>
        </w:numPr>
        <w:suppressLineNumbers w:val="0"/>
        <w:autoSpaceDE w:val="0"/>
        <w:autoSpaceDN/>
        <w:snapToGrid w:val="0"/>
        <w:spacing w:before="0" w:beforeAutospacing="0" w:after="0" w:afterAutospacing="1" w:line="590" w:lineRule="exact"/>
        <w:ind w:left="0" w:right="0" w:firstLine="640" w:firstLineChars="200"/>
        <w:jc w:val="left"/>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lang w:val="en-US" w:eastAsia="zh-CN" w:bidi="ar"/>
        </w:rPr>
        <w:t>屯昌县屯城镇人民政府部门本级</w:t>
      </w:r>
    </w:p>
    <w:p>
      <w:pPr>
        <w:keepNext w:val="0"/>
        <w:keepLines w:val="0"/>
        <w:widowControl/>
        <w:numPr>
          <w:ilvl w:val="0"/>
          <w:numId w:val="2"/>
        </w:numPr>
        <w:suppressLineNumbers w:val="0"/>
        <w:autoSpaceDE w:val="0"/>
        <w:autoSpaceDN/>
        <w:snapToGrid w:val="0"/>
        <w:spacing w:before="0" w:beforeAutospacing="0" w:after="0" w:afterAutospacing="1" w:line="590" w:lineRule="exact"/>
        <w:ind w:left="0" w:right="0" w:firstLine="640" w:firstLineChars="200"/>
        <w:jc w:val="left"/>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lang w:val="en-US" w:eastAsia="zh-CN" w:bidi="ar"/>
        </w:rPr>
        <w:t>屯城镇农业服务中心（下属单位）</w:t>
      </w:r>
    </w:p>
    <w:p>
      <w:pPr>
        <w:keepNext w:val="0"/>
        <w:keepLines w:val="0"/>
        <w:widowControl/>
        <w:numPr>
          <w:ilvl w:val="0"/>
          <w:numId w:val="2"/>
        </w:numPr>
        <w:suppressLineNumbers w:val="0"/>
        <w:autoSpaceDE w:val="0"/>
        <w:autoSpaceDN/>
        <w:snapToGrid w:val="0"/>
        <w:spacing w:before="0" w:beforeAutospacing="0" w:after="0" w:afterAutospacing="1" w:line="590" w:lineRule="exact"/>
        <w:ind w:left="0" w:right="0" w:firstLine="640" w:firstLineChars="200"/>
        <w:jc w:val="left"/>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lang w:val="en-US" w:eastAsia="zh-CN" w:bidi="ar"/>
        </w:rPr>
        <w:t>屯城镇社会服务中心（下属单位）</w:t>
      </w:r>
    </w:p>
    <w:p>
      <w:pPr>
        <w:keepNext w:val="0"/>
        <w:keepLines w:val="0"/>
        <w:widowControl/>
        <w:numPr>
          <w:ilvl w:val="0"/>
          <w:numId w:val="2"/>
        </w:numPr>
        <w:suppressLineNumbers w:val="0"/>
        <w:autoSpaceDE w:val="0"/>
        <w:autoSpaceDN/>
        <w:snapToGrid w:val="0"/>
        <w:spacing w:before="0" w:beforeAutospacing="0" w:after="0" w:afterAutospacing="1" w:line="590" w:lineRule="exact"/>
        <w:ind w:left="0" w:right="0" w:firstLine="640" w:firstLineChars="200"/>
        <w:jc w:val="left"/>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lang w:val="en-US" w:eastAsia="zh-CN" w:bidi="ar"/>
        </w:rPr>
        <w:t>屯城镇执法中队（应急中队）（下属单位）</w:t>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bookmarkStart w:id="19" w:name="_Toc30690_WPSOffice_Level1"/>
      <w:bookmarkStart w:id="20" w:name="_Toc15521_WPSOffice_Level1"/>
      <w:bookmarkStart w:id="21" w:name="_Toc8164_WPSOffice_Level1"/>
      <w:bookmarkStart w:id="22" w:name="_Toc28253_WPSOffice_Level1"/>
      <w:bookmarkStart w:id="23" w:name="_Toc6234_WPSOffice_Level1"/>
      <w:bookmarkStart w:id="24" w:name="_Toc30451_WPSOffice_Level1"/>
      <w:bookmarkStart w:id="25" w:name="_Toc32695_WPSOffice_Level2"/>
      <w:bookmarkStart w:id="26" w:name="_Toc8867_WPSOffice_Level2"/>
      <w:bookmarkStart w:id="27" w:name="_Toc6211_WPSOffice_Level2"/>
      <w:bookmarkStart w:id="28" w:name="_Toc11518_WPSOffice_Level2"/>
      <w:bookmarkStart w:id="29" w:name="_Toc32472_WPSOffice_Level2"/>
      <w:bookmarkStart w:id="30" w:name="_Toc4029_WPSOffice_Level2"/>
      <w:r>
        <w:rPr>
          <w:rFonts w:hint="eastAsia" w:ascii="黑体" w:hAnsi="ˎ̥" w:eastAsia="黑体" w:cs="黑体"/>
          <w:sz w:val="32"/>
          <w:szCs w:val="32"/>
        </w:rPr>
        <w:t>第二部分</w:t>
      </w:r>
      <w:r>
        <w:rPr>
          <w:rFonts w:hint="eastAsia" w:ascii="黑体" w:hAnsi="ˎ̥" w:eastAsia="黑体" w:cs="黑体"/>
          <w:sz w:val="32"/>
          <w:szCs w:val="32"/>
          <w:lang w:val="en-US"/>
        </w:rPr>
        <w:t xml:space="preserve">  海南省屯昌县屯城镇人民政府2021</w:t>
      </w:r>
      <w:r>
        <w:rPr>
          <w:rFonts w:hint="eastAsia" w:ascii="黑体" w:hAnsi="ˎ̥" w:eastAsia="黑体" w:cs="黑体"/>
          <w:sz w:val="32"/>
          <w:szCs w:val="32"/>
        </w:rPr>
        <w:t>年度部门决算公开报表</w:t>
      </w:r>
      <w:bookmarkEnd w:id="19"/>
      <w:bookmarkEnd w:id="20"/>
      <w:bookmarkEnd w:id="21"/>
      <w:bookmarkEnd w:id="22"/>
      <w:bookmarkEnd w:id="23"/>
      <w:bookmarkEnd w:id="24"/>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r>
        <w:rPr>
          <w:rFonts w:hint="eastAsia" w:ascii="黑体" w:hAnsi="宋体" w:eastAsia="黑体" w:cs="黑体"/>
          <w:sz w:val="32"/>
          <w:szCs w:val="32"/>
        </w:rPr>
        <w:t>一、收入支出决算公开表（见正文附件）</w:t>
      </w:r>
      <w:bookmarkEnd w:id="25"/>
      <w:bookmarkEnd w:id="26"/>
      <w:bookmarkEnd w:id="27"/>
      <w:r>
        <w:rPr>
          <w:rFonts w:hint="eastAsia" w:ascii="黑体" w:hAnsi="宋体" w:eastAsia="黑体" w:cs="黑体"/>
          <w:sz w:val="32"/>
          <w:szCs w:val="32"/>
        </w:rPr>
        <w:t>。</w:t>
      </w:r>
      <w:bookmarkEnd w:id="28"/>
      <w:bookmarkEnd w:id="29"/>
      <w:bookmarkEnd w:id="30"/>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31" w:name="_Toc26621_WPSOffice_Level2"/>
      <w:bookmarkStart w:id="32" w:name="_Toc23139_WPSOffice_Level2"/>
      <w:bookmarkStart w:id="33" w:name="_Toc25608_WPSOffice_Level2"/>
      <w:bookmarkStart w:id="34" w:name="_Toc14349_WPSOffice_Level2"/>
      <w:bookmarkStart w:id="35" w:name="_Toc28622_WPSOffice_Level2"/>
      <w:bookmarkStart w:id="36" w:name="_Toc30334_WPSOffice_Level2"/>
      <w:r>
        <w:rPr>
          <w:rFonts w:hint="eastAsia" w:ascii="黑体" w:hAnsi="宋体" w:eastAsia="黑体" w:cs="黑体"/>
          <w:sz w:val="32"/>
          <w:szCs w:val="32"/>
        </w:rPr>
        <w:t>二、收入决算公开表（见正文附件）</w:t>
      </w:r>
      <w:bookmarkEnd w:id="31"/>
      <w:bookmarkEnd w:id="32"/>
      <w:bookmarkEnd w:id="33"/>
      <w:r>
        <w:rPr>
          <w:rFonts w:hint="eastAsia" w:ascii="黑体" w:hAnsi="宋体" w:eastAsia="黑体" w:cs="黑体"/>
          <w:sz w:val="32"/>
          <w:szCs w:val="32"/>
        </w:rPr>
        <w:t>。</w:t>
      </w:r>
      <w:bookmarkEnd w:id="34"/>
      <w:bookmarkEnd w:id="35"/>
      <w:bookmarkEnd w:id="36"/>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37" w:name="_Toc17626_WPSOffice_Level2"/>
      <w:bookmarkStart w:id="38" w:name="_Toc3262_WPSOffice_Level2"/>
      <w:bookmarkStart w:id="39" w:name="_Toc17858_WPSOffice_Level2"/>
      <w:bookmarkStart w:id="40" w:name="_Toc13854_WPSOffice_Level2"/>
      <w:bookmarkStart w:id="41" w:name="_Toc14658_WPSOffice_Level2"/>
      <w:bookmarkStart w:id="42" w:name="_Toc5489_WPSOffice_Level2"/>
      <w:r>
        <w:rPr>
          <w:rFonts w:hint="eastAsia" w:ascii="黑体" w:hAnsi="宋体" w:eastAsia="黑体" w:cs="黑体"/>
          <w:sz w:val="32"/>
          <w:szCs w:val="32"/>
        </w:rPr>
        <w:t>三、支出决算公开表（见正文附件）</w:t>
      </w:r>
      <w:bookmarkEnd w:id="37"/>
      <w:bookmarkEnd w:id="38"/>
      <w:bookmarkEnd w:id="39"/>
      <w:r>
        <w:rPr>
          <w:rFonts w:hint="eastAsia" w:ascii="黑体" w:hAnsi="宋体" w:eastAsia="黑体" w:cs="黑体"/>
          <w:sz w:val="32"/>
          <w:szCs w:val="32"/>
        </w:rPr>
        <w:t>。</w:t>
      </w:r>
      <w:bookmarkEnd w:id="40"/>
      <w:bookmarkEnd w:id="41"/>
      <w:bookmarkEnd w:id="42"/>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43" w:name="_Toc23591_WPSOffice_Level2"/>
      <w:bookmarkStart w:id="44" w:name="_Toc13701_WPSOffice_Level2"/>
      <w:bookmarkStart w:id="45" w:name="_Toc21415_WPSOffice_Level2"/>
      <w:bookmarkStart w:id="46" w:name="_Toc7988_WPSOffice_Level2"/>
      <w:bookmarkStart w:id="47" w:name="_Toc4265_WPSOffice_Level2"/>
      <w:bookmarkStart w:id="48" w:name="_Toc23493_WPSOffice_Level2"/>
      <w:r>
        <w:rPr>
          <w:rFonts w:hint="eastAsia" w:ascii="黑体" w:hAnsi="宋体" w:eastAsia="黑体" w:cs="黑体"/>
          <w:sz w:val="32"/>
          <w:szCs w:val="32"/>
        </w:rPr>
        <w:t>四、财政拨款收入支出决算公开表（见正文附件）</w:t>
      </w:r>
      <w:bookmarkEnd w:id="43"/>
      <w:bookmarkEnd w:id="44"/>
      <w:bookmarkEnd w:id="45"/>
      <w:r>
        <w:rPr>
          <w:rFonts w:hint="eastAsia" w:ascii="黑体" w:hAnsi="宋体" w:eastAsia="黑体" w:cs="黑体"/>
          <w:sz w:val="32"/>
          <w:szCs w:val="32"/>
        </w:rPr>
        <w:t>。</w:t>
      </w:r>
      <w:bookmarkEnd w:id="46"/>
      <w:bookmarkEnd w:id="47"/>
      <w:bookmarkEnd w:id="48"/>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49" w:name="_Toc7879_WPSOffice_Level2"/>
      <w:bookmarkStart w:id="50" w:name="_Toc25166_WPSOffice_Level2"/>
      <w:bookmarkStart w:id="51" w:name="_Toc22783_WPSOffice_Level2"/>
      <w:bookmarkStart w:id="52" w:name="_Toc23829_WPSOffice_Level2"/>
      <w:bookmarkStart w:id="53" w:name="_Toc13516_WPSOffice_Level2"/>
      <w:bookmarkStart w:id="54" w:name="_Toc2158_WPSOffice_Level2"/>
      <w:r>
        <w:rPr>
          <w:rFonts w:hint="eastAsia" w:ascii="黑体" w:hAnsi="宋体" w:eastAsia="黑体" w:cs="黑体"/>
          <w:sz w:val="32"/>
          <w:szCs w:val="32"/>
        </w:rPr>
        <w:t>五、一般公共预算财政拨款收入支出决算</w:t>
      </w:r>
      <w:bookmarkEnd w:id="49"/>
      <w:bookmarkEnd w:id="50"/>
      <w:bookmarkEnd w:id="51"/>
      <w:bookmarkEnd w:id="52"/>
      <w:r>
        <w:rPr>
          <w:rFonts w:hint="eastAsia" w:ascii="黑体" w:hAnsi="宋体" w:eastAsia="黑体" w:cs="黑体"/>
          <w:sz w:val="32"/>
          <w:szCs w:val="32"/>
        </w:rPr>
        <w:t>公开表</w:t>
      </w:r>
    </w:p>
    <w:p>
      <w:pPr>
        <w:keepNext w:val="0"/>
        <w:keepLines w:val="0"/>
        <w:widowControl/>
        <w:suppressLineNumbers w:val="0"/>
        <w:spacing w:before="0" w:beforeAutospacing="1" w:after="0" w:afterAutospacing="1"/>
        <w:ind w:left="0" w:right="0" w:firstLine="1302" w:firstLineChars="407"/>
        <w:rPr>
          <w:rFonts w:hint="eastAsia" w:ascii="黑体" w:hAnsi="宋体" w:eastAsia="黑体" w:cs="黑体"/>
          <w:sz w:val="32"/>
          <w:szCs w:val="32"/>
          <w:lang w:val="en-US"/>
        </w:rPr>
      </w:pPr>
      <w:r>
        <w:rPr>
          <w:rFonts w:hint="eastAsia" w:ascii="黑体" w:hAnsi="宋体" w:eastAsia="黑体" w:cs="黑体"/>
          <w:sz w:val="32"/>
          <w:szCs w:val="32"/>
        </w:rPr>
        <w:t>（见正文附件）</w:t>
      </w:r>
      <w:bookmarkEnd w:id="53"/>
      <w:bookmarkEnd w:id="54"/>
      <w:r>
        <w:rPr>
          <w:rFonts w:hint="eastAsia" w:ascii="黑体" w:hAnsi="宋体" w:eastAsia="黑体" w:cs="黑体"/>
          <w:sz w:val="32"/>
          <w:szCs w:val="32"/>
        </w:rPr>
        <w:t>。</w:t>
      </w:r>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55" w:name="_Toc2632_WPSOffice_Level2"/>
      <w:bookmarkStart w:id="56" w:name="_Toc8373_WPSOffice_Level2"/>
      <w:bookmarkStart w:id="57" w:name="_Toc25362_WPSOffice_Level2"/>
      <w:bookmarkStart w:id="58" w:name="_Toc5343_WPSOffice_Level2"/>
      <w:bookmarkStart w:id="59" w:name="_Toc17833_WPSOffice_Level2"/>
      <w:bookmarkStart w:id="60" w:name="_Toc17283_WPSOffice_Level2"/>
      <w:r>
        <w:rPr>
          <w:rFonts w:hint="eastAsia" w:ascii="黑体" w:hAnsi="宋体" w:eastAsia="黑体" w:cs="黑体"/>
          <w:sz w:val="32"/>
          <w:szCs w:val="32"/>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rPr>
        <w:t>公开表</w:t>
      </w:r>
    </w:p>
    <w:p>
      <w:pPr>
        <w:keepNext w:val="0"/>
        <w:keepLines w:val="0"/>
        <w:widowControl/>
        <w:suppressLineNumbers w:val="0"/>
        <w:spacing w:before="0" w:beforeAutospacing="1" w:after="0" w:afterAutospacing="1"/>
        <w:ind w:left="0" w:right="0" w:firstLine="1280" w:firstLineChars="40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1210" w:leftChars="304" w:right="0" w:hanging="480" w:hangingChars="150"/>
        <w:rPr>
          <w:rFonts w:hint="eastAsia" w:ascii="黑体" w:hAnsi="宋体" w:eastAsia="黑体" w:cs="黑体"/>
          <w:sz w:val="32"/>
          <w:szCs w:val="32"/>
          <w:lang w:val="en-US"/>
        </w:rPr>
      </w:pPr>
      <w:bookmarkStart w:id="61" w:name="_Toc5594_WPSOffice_Level2"/>
      <w:bookmarkStart w:id="62" w:name="_Toc21310_WPSOffice_Level2"/>
      <w:bookmarkStart w:id="63" w:name="_Toc11799_WPSOffice_Level2"/>
      <w:bookmarkStart w:id="64" w:name="_Toc6020_WPSOffice_Level2"/>
      <w:bookmarkStart w:id="65" w:name="_Toc13345_WPSOffice_Level2"/>
      <w:bookmarkStart w:id="66" w:name="_Toc1533_WPSOffice_Level2"/>
      <w:r>
        <w:rPr>
          <w:rFonts w:hint="eastAsia" w:ascii="黑体" w:hAnsi="宋体" w:eastAsia="黑体" w:cs="黑体"/>
          <w:sz w:val="32"/>
          <w:szCs w:val="32"/>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rPr>
        <w:t>公开表</w:t>
      </w:r>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1210" w:leftChars="304" w:right="0" w:hanging="480" w:hangingChars="150"/>
        <w:rPr>
          <w:rFonts w:hint="eastAsia" w:ascii="黑体" w:hAnsi="宋体" w:eastAsia="黑体" w:cs="黑体"/>
          <w:sz w:val="32"/>
          <w:szCs w:val="32"/>
          <w:lang w:val="en-US"/>
        </w:rPr>
      </w:pPr>
      <w:r>
        <w:rPr>
          <w:rFonts w:hint="eastAsia" w:ascii="黑体" w:hAnsi="宋体" w:eastAsia="黑体" w:cs="黑体"/>
          <w:sz w:val="32"/>
          <w:szCs w:val="32"/>
        </w:rPr>
        <w:t>八、国有资本经营预算财政拨款收入支出决算公开表</w:t>
      </w:r>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bookmarkStart w:id="67" w:name="_Toc29886_WPSOffice_Level2"/>
      <w:bookmarkStart w:id="68" w:name="_Toc19961_WPSOffice_Level2"/>
      <w:bookmarkStart w:id="69" w:name="_Toc1820_WPSOffice_Level2"/>
      <w:bookmarkStart w:id="70" w:name="_Toc9377_WPSOffice_Level2"/>
      <w:r>
        <w:rPr>
          <w:rFonts w:hint="eastAsia" w:ascii="黑体" w:hAnsi="宋体" w:eastAsia="黑体" w:cs="黑体"/>
          <w:sz w:val="32"/>
          <w:szCs w:val="32"/>
          <w:lang w:val="en-US"/>
        </w:rPr>
        <w:t xml:space="preserve">    </w:t>
      </w:r>
      <w:r>
        <w:rPr>
          <w:rFonts w:hint="eastAsia" w:ascii="黑体" w:hAnsi="宋体" w:eastAsia="黑体" w:cs="黑体"/>
          <w:sz w:val="32"/>
          <w:szCs w:val="32"/>
        </w:rPr>
        <w:t>九、一般公共预算财政拨款“三公”经费支出决算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bookmarkEnd w:id="67"/>
      <w:bookmarkEnd w:id="68"/>
      <w:bookmarkEnd w:id="69"/>
      <w:bookmarkEnd w:id="70"/>
      <w:r>
        <w:rPr>
          <w:rFonts w:hint="eastAsia" w:ascii="黑体" w:hAnsi="宋体" w:eastAsia="黑体" w:cs="黑体"/>
          <w:sz w:val="32"/>
          <w:szCs w:val="32"/>
        </w:rPr>
        <w:t>公开表（见正文附件）。</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rPr>
        <w:t>十、政府性基金预算财政拨款“三公”经费支出决算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rPr>
        <w:t>公开表（见正文附件）。</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rPr>
        <w:t>十一、国有资本经营预算财政拨款“三公”经费支出决算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sz w:val="32"/>
          <w:szCs w:val="32"/>
        </w:rPr>
      </w:pPr>
      <w:r>
        <w:rPr>
          <w:rFonts w:hint="eastAsia" w:ascii="黑体" w:hAnsi="宋体" w:eastAsia="黑体" w:cs="黑体"/>
          <w:sz w:val="32"/>
          <w:szCs w:val="32"/>
          <w:lang w:val="en-US"/>
        </w:rPr>
        <w:t xml:space="preserve">          </w:t>
      </w:r>
      <w:r>
        <w:rPr>
          <w:rFonts w:hint="eastAsia" w:ascii="黑体" w:hAnsi="宋体" w:eastAsia="黑体" w:cs="黑体"/>
          <w:sz w:val="32"/>
          <w:szCs w:val="32"/>
        </w:rPr>
        <w:t>公开表（见正文附件）。</w:t>
      </w:r>
      <w:bookmarkStart w:id="71" w:name="_Toc31264_WPSOffice_Level1"/>
      <w:bookmarkStart w:id="72" w:name="_Toc16686_WPSOffice_Level1"/>
      <w:bookmarkStart w:id="73" w:name="_Toc4402_WPSOffice_Level1"/>
      <w:bookmarkStart w:id="74" w:name="_Toc28629_WPSOffice_Level1"/>
      <w:bookmarkStart w:id="75" w:name="_Toc27590_WPSOffice_Level1"/>
      <w:bookmarkStart w:id="76" w:name="_Toc29683_WPSOffice_Level1"/>
    </w:p>
    <w:p>
      <w:pPr>
        <w:keepNext w:val="0"/>
        <w:keepLines w:val="0"/>
        <w:widowControl/>
        <w:suppressLineNumbers w:val="0"/>
        <w:spacing w:before="0" w:beforeAutospacing="1" w:after="0" w:afterAutospacing="1"/>
        <w:ind w:left="0" w:right="0"/>
        <w:rPr>
          <w:rFonts w:hint="eastAsia" w:ascii="黑体" w:hAnsi="ˎ̥" w:eastAsia="黑体" w:cs="黑体"/>
          <w:sz w:val="32"/>
          <w:szCs w:val="32"/>
          <w:lang w:val="en-US"/>
        </w:rPr>
      </w:pPr>
      <w:r>
        <w:rPr>
          <w:rFonts w:hint="eastAsia" w:ascii="黑体" w:hAnsi="ˎ̥" w:eastAsia="黑体" w:cs="黑体"/>
          <w:sz w:val="32"/>
          <w:szCs w:val="32"/>
        </w:rPr>
        <w:t>第三部分</w:t>
      </w:r>
      <w:r>
        <w:rPr>
          <w:rFonts w:hint="eastAsia" w:ascii="黑体" w:hAnsi="ˎ̥" w:eastAsia="黑体" w:cs="黑体"/>
          <w:sz w:val="32"/>
          <w:szCs w:val="32"/>
          <w:lang w:val="en-US"/>
        </w:rPr>
        <w:t>海南省屯昌县屯城镇人民政府2021</w:t>
      </w:r>
      <w:r>
        <w:rPr>
          <w:rFonts w:hint="eastAsia" w:ascii="黑体" w:hAnsi="ˎ̥" w:eastAsia="黑体" w:cs="黑体"/>
          <w:sz w:val="32"/>
          <w:szCs w:val="32"/>
        </w:rPr>
        <w:t>年度部门决算情况说明</w:t>
      </w:r>
      <w:bookmarkEnd w:id="71"/>
      <w:bookmarkEnd w:id="72"/>
      <w:bookmarkEnd w:id="73"/>
      <w:bookmarkEnd w:id="74"/>
      <w:bookmarkEnd w:id="75"/>
      <w:bookmarkEnd w:id="76"/>
    </w:p>
    <w:p>
      <w:pPr>
        <w:keepNext w:val="0"/>
        <w:keepLines w:val="0"/>
        <w:widowControl/>
        <w:suppressLineNumbers w:val="0"/>
        <w:spacing w:before="0" w:beforeAutospacing="1" w:after="0" w:afterAutospacing="1"/>
        <w:ind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一、收入支出决算总体情况说明</w:t>
      </w:r>
      <w:r>
        <w:rPr>
          <w:rFonts w:hint="eastAsia" w:ascii="黑体" w:hAnsi="宋体" w:eastAsia="黑体" w:cs="黑体"/>
          <w:bCs/>
          <w:sz w:val="32"/>
          <w:szCs w:val="32"/>
          <w:lang w:val="en-US"/>
        </w:rPr>
        <w:br w:type="textWrapping"/>
      </w:r>
      <w:r>
        <w:rPr>
          <w:rFonts w:ascii="楷体_GB2312" w:hAnsi="ˎ̥" w:eastAsia="楷体_GB2312" w:cs="楷体_GB2312"/>
          <w:sz w:val="32"/>
          <w:szCs w:val="32"/>
          <w:lang w:val="en-US"/>
        </w:rPr>
        <w:t xml:space="preserve">   </w:t>
      </w:r>
      <w:r>
        <w:rPr>
          <w:rFonts w:hint="default" w:ascii="楷体_GB2312" w:hAnsi="ˎ̥" w:eastAsia="楷体_GB2312" w:cs="楷体_GB2312"/>
          <w:sz w:val="32"/>
          <w:szCs w:val="32"/>
          <w:lang w:val="en-US"/>
        </w:rPr>
        <w:t xml:space="preserve"> </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年度收入总计</w:t>
      </w:r>
      <w:r>
        <w:rPr>
          <w:rFonts w:hint="default" w:ascii="仿宋_GB2312" w:eastAsia="仿宋_GB2312" w:cs="仿宋_GB2312"/>
          <w:sz w:val="32"/>
          <w:szCs w:val="32"/>
          <w:lang w:val="en-US"/>
        </w:rPr>
        <w:t>5,237.48</w:t>
      </w:r>
      <w:r>
        <w:rPr>
          <w:rFonts w:hint="default" w:ascii="仿宋_GB2312" w:hAnsi="ˎ̥" w:eastAsia="仿宋_GB2312" w:cs="仿宋_GB2312"/>
          <w:sz w:val="32"/>
          <w:szCs w:val="32"/>
        </w:rPr>
        <w:t>万元，支出总计</w:t>
      </w:r>
      <w:r>
        <w:rPr>
          <w:rFonts w:hint="default" w:ascii="仿宋_GB2312" w:eastAsia="仿宋_GB2312" w:cs="仿宋_GB2312"/>
          <w:sz w:val="32"/>
          <w:szCs w:val="32"/>
          <w:lang w:val="en-US"/>
        </w:rPr>
        <w:t>5,237.48</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年度相比，收入、支出总计各减少</w:t>
      </w:r>
      <w:r>
        <w:rPr>
          <w:rFonts w:hint="eastAsia" w:ascii="仿宋_GB2312" w:hAnsi="ˎ̥" w:eastAsia="仿宋_GB2312" w:cs="仿宋_GB2312"/>
          <w:sz w:val="32"/>
          <w:szCs w:val="32"/>
          <w:lang w:val="en-US" w:eastAsia="zh-CN"/>
        </w:rPr>
        <w:t>2217.61</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29.75</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。主要原因：一</w:t>
      </w:r>
      <w:r>
        <w:rPr>
          <w:rFonts w:hint="eastAsia" w:ascii="仿宋_GB2312" w:hAnsi="ˎ̥" w:eastAsia="仿宋_GB2312" w:cs="仿宋_GB2312"/>
          <w:sz w:val="32"/>
          <w:szCs w:val="32"/>
          <w:lang w:val="en-US" w:eastAsia="zh-CN"/>
        </w:rPr>
        <w:t>是减少三公经费支出</w:t>
      </w:r>
      <w:r>
        <w:rPr>
          <w:rFonts w:hint="default" w:ascii="仿宋_GB2312" w:hAnsi="ˎ̥" w:eastAsia="仿宋_GB2312" w:cs="仿宋_GB2312"/>
          <w:sz w:val="32"/>
          <w:szCs w:val="32"/>
        </w:rPr>
        <w:t>；二是</w:t>
      </w:r>
      <w:r>
        <w:rPr>
          <w:rFonts w:hint="eastAsia" w:ascii="仿宋_GB2312" w:hAnsi="ˎ̥" w:eastAsia="仿宋_GB2312" w:cs="仿宋_GB2312"/>
          <w:sz w:val="32"/>
          <w:szCs w:val="32"/>
          <w:lang w:val="en-US" w:eastAsia="zh-CN"/>
        </w:rPr>
        <w:t>减少基建支出</w:t>
      </w:r>
      <w:r>
        <w:rPr>
          <w:rFonts w:hint="default" w:ascii="仿宋_GB2312" w:hAnsi="ˎ̥" w:eastAsia="仿宋_GB2312" w:cs="仿宋_GB2312"/>
          <w:sz w:val="32"/>
          <w:szCs w:val="32"/>
        </w:rPr>
        <w:t>。使用非财政拨款结余</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年度决算数增加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rPr>
        <w:t>万元，主要原因</w:t>
      </w:r>
      <w:r>
        <w:rPr>
          <w:rFonts w:hint="eastAsia" w:ascii="仿宋_GB2312" w:hAnsi="ˎ̥" w:eastAsia="仿宋_GB2312" w:cs="仿宋_GB2312"/>
          <w:sz w:val="32"/>
          <w:szCs w:val="32"/>
          <w:lang w:val="en-US" w:eastAsia="zh-CN"/>
        </w:rPr>
        <w:t>无此项基金支出</w:t>
      </w:r>
      <w:r>
        <w:rPr>
          <w:rFonts w:hint="default" w:ascii="仿宋_GB2312" w:hAnsi="ˎ̥" w:eastAsia="仿宋_GB2312" w:cs="仿宋_GB2312"/>
          <w:sz w:val="32"/>
          <w:szCs w:val="32"/>
        </w:rPr>
        <w:t>。年初结转结余</w:t>
      </w:r>
      <w:r>
        <w:rPr>
          <w:rFonts w:hint="default" w:ascii="仿宋_GB2312" w:eastAsia="仿宋_GB2312" w:cs="仿宋_GB2312"/>
          <w:sz w:val="32"/>
          <w:szCs w:val="32"/>
          <w:lang w:val="en-US"/>
        </w:rPr>
        <w:t>569.94</w:t>
      </w:r>
      <w:r>
        <w:rPr>
          <w:rFonts w:hint="default" w:ascii="仿宋_GB2312" w:hAnsi="ˎ̥" w:eastAsia="仿宋_GB2312" w:cs="仿宋_GB2312"/>
          <w:sz w:val="32"/>
          <w:szCs w:val="32"/>
        </w:rPr>
        <w:t>万元，主要</w:t>
      </w:r>
      <w:r>
        <w:rPr>
          <w:rFonts w:hint="eastAsia" w:ascii="仿宋_GB2312" w:hAnsi="ˎ̥" w:eastAsia="仿宋_GB2312" w:cs="仿宋_GB2312"/>
          <w:sz w:val="32"/>
          <w:szCs w:val="32"/>
          <w:lang w:val="en-US" w:eastAsia="zh-CN"/>
        </w:rPr>
        <w:t>原因是基础设施项目未竣工以致未拨款完成</w:t>
      </w:r>
      <w:r>
        <w:rPr>
          <w:rFonts w:hint="default" w:ascii="仿宋_GB2312" w:hAnsi="ˎ̥" w:eastAsia="仿宋_GB2312" w:cs="仿宋_GB2312"/>
          <w:sz w:val="32"/>
          <w:szCs w:val="32"/>
        </w:rPr>
        <w:t>，较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50.46</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8.13</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val="en-US" w:eastAsia="zh-CN"/>
        </w:rPr>
        <w:t>及时拨付工程款</w:t>
      </w:r>
      <w:r>
        <w:rPr>
          <w:rFonts w:hint="default" w:ascii="仿宋_GB2312" w:hAnsi="ˎ̥" w:eastAsia="仿宋_GB2312" w:cs="仿宋_GB2312"/>
          <w:sz w:val="32"/>
          <w:szCs w:val="32"/>
        </w:rPr>
        <w:t>。结余分配</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万元，主要</w:t>
      </w:r>
      <w:r>
        <w:rPr>
          <w:rFonts w:hint="eastAsia" w:ascii="仿宋_GB2312" w:hAnsi="ˎ̥" w:eastAsia="仿宋_GB2312" w:cs="仿宋_GB2312"/>
          <w:sz w:val="32"/>
          <w:szCs w:val="32"/>
          <w:lang w:val="en-US" w:eastAsia="zh-CN"/>
        </w:rPr>
        <w:t>是未有结余分配资金</w:t>
      </w:r>
      <w:r>
        <w:rPr>
          <w:rFonts w:hint="default" w:ascii="仿宋_GB2312" w:hAnsi="ˎ̥" w:eastAsia="仿宋_GB2312" w:cs="仿宋_GB2312"/>
          <w:sz w:val="32"/>
          <w:szCs w:val="32"/>
        </w:rPr>
        <w:t>，年末结转结余</w:t>
      </w:r>
      <w:r>
        <w:rPr>
          <w:rFonts w:hint="default" w:ascii="仿宋_GB2312" w:eastAsia="仿宋_GB2312" w:cs="仿宋_GB2312"/>
          <w:sz w:val="32"/>
          <w:szCs w:val="32"/>
          <w:lang w:val="en-US"/>
        </w:rPr>
        <w:t>412.33</w:t>
      </w:r>
      <w:r>
        <w:rPr>
          <w:rFonts w:hint="default" w:ascii="仿宋_GB2312" w:hAnsi="ˎ̥" w:eastAsia="仿宋_GB2312" w:cs="仿宋_GB2312"/>
          <w:sz w:val="32"/>
          <w:szCs w:val="32"/>
        </w:rPr>
        <w:t>万元，主要是</w:t>
      </w:r>
      <w:r>
        <w:rPr>
          <w:rFonts w:hint="eastAsia" w:ascii="仿宋_GB2312" w:hAnsi="ˎ̥" w:eastAsia="仿宋_GB2312" w:cs="仿宋_GB2312"/>
          <w:kern w:val="0"/>
          <w:sz w:val="32"/>
          <w:szCs w:val="32"/>
          <w:shd w:val="clear" w:fill="FFFFFF"/>
          <w:lang w:val="en-US" w:eastAsia="zh-CN" w:bidi="ar"/>
        </w:rPr>
        <w:t>吉安河综合治理项目工程二期、三期、四期项目经费</w:t>
      </w:r>
      <w:r>
        <w:rPr>
          <w:rFonts w:hint="default" w:ascii="仿宋_GB2312" w:hAnsi="ˎ̥" w:eastAsia="仿宋_GB2312" w:cs="仿宋_GB2312"/>
          <w:sz w:val="32"/>
          <w:szCs w:val="32"/>
        </w:rPr>
        <w:t>，较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664.73</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61.72</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val="en-US" w:eastAsia="zh-CN"/>
        </w:rPr>
        <w:t>是</w:t>
      </w:r>
      <w:r>
        <w:rPr>
          <w:rFonts w:hint="eastAsia" w:ascii="仿宋_GB2312" w:hAnsi="ˎ̥" w:eastAsia="仿宋_GB2312" w:cs="仿宋_GB2312"/>
          <w:kern w:val="0"/>
          <w:sz w:val="32"/>
          <w:szCs w:val="32"/>
          <w:shd w:val="clear" w:fill="FFFFFF"/>
          <w:lang w:val="en-US" w:eastAsia="zh-CN" w:bidi="ar"/>
        </w:rPr>
        <w:t>吉安河综合治理项目工程回收</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二、收入决算情况说明</w:t>
      </w:r>
      <w:r>
        <w:rPr>
          <w:rFonts w:hint="eastAsia" w:ascii="黑体" w:hAnsi="宋体" w:eastAsia="黑体" w:cs="黑体"/>
          <w:bCs/>
          <w:sz w:val="32"/>
          <w:szCs w:val="32"/>
          <w:lang w:val="en-US"/>
        </w:rPr>
        <w:br w:type="textWrapping"/>
      </w: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本年收入合计</w:t>
      </w:r>
      <w:r>
        <w:rPr>
          <w:rFonts w:hint="default" w:ascii="仿宋_GB2312" w:eastAsia="仿宋_GB2312" w:cs="仿宋_GB2312"/>
          <w:sz w:val="32"/>
          <w:szCs w:val="32"/>
          <w:lang w:val="en-US"/>
        </w:rPr>
        <w:t>4,667.53</w:t>
      </w:r>
      <w:r>
        <w:rPr>
          <w:rFonts w:hint="default" w:ascii="仿宋_GB2312" w:hAnsi="ˎ̥" w:eastAsia="仿宋_GB2312" w:cs="仿宋_GB2312"/>
          <w:sz w:val="32"/>
          <w:szCs w:val="32"/>
        </w:rPr>
        <w:t>万元，其中：财政拨款收入</w:t>
      </w:r>
      <w:r>
        <w:rPr>
          <w:rFonts w:hint="default" w:ascii="仿宋_GB2312" w:eastAsia="仿宋_GB2312" w:cs="仿宋_GB2312"/>
          <w:sz w:val="32"/>
          <w:szCs w:val="32"/>
          <w:lang w:val="en-US"/>
        </w:rPr>
        <w:t>4,621.24</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99</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；上级补助收入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；事业收入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；经营收入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；附属单位上缴收入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；其他收入</w:t>
      </w:r>
      <w:r>
        <w:rPr>
          <w:rFonts w:hint="default" w:ascii="仿宋_GB2312" w:eastAsia="仿宋_GB2312" w:cs="仿宋_GB2312"/>
          <w:sz w:val="32"/>
          <w:szCs w:val="32"/>
          <w:lang w:val="en-US"/>
        </w:rPr>
        <w:t>46.30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三、支出决算情况说明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本年支出合计</w:t>
      </w:r>
      <w:r>
        <w:rPr>
          <w:rFonts w:hint="default" w:ascii="仿宋_GB2312" w:hAnsi="ˎ̥" w:eastAsia="仿宋_GB2312" w:cs="仿宋_GB2312"/>
          <w:sz w:val="32"/>
          <w:szCs w:val="32"/>
          <w:lang w:val="en-US"/>
        </w:rPr>
        <w:t>4,825.14</w:t>
      </w:r>
      <w:r>
        <w:rPr>
          <w:rFonts w:hint="default" w:ascii="仿宋_GB2312" w:hAnsi="ˎ̥" w:eastAsia="仿宋_GB2312" w:cs="仿宋_GB2312"/>
          <w:sz w:val="32"/>
          <w:szCs w:val="32"/>
        </w:rPr>
        <w:t>万元，其中：基本支出</w:t>
      </w:r>
      <w:r>
        <w:rPr>
          <w:rFonts w:hint="default" w:ascii="仿宋_GB2312" w:hAnsi="ˎ̥" w:eastAsia="仿宋_GB2312" w:cs="仿宋_GB2312"/>
          <w:sz w:val="32"/>
          <w:szCs w:val="32"/>
          <w:lang w:val="en-US"/>
        </w:rPr>
        <w:t>1,364.61</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28.28</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；项目支出</w:t>
      </w:r>
      <w:r>
        <w:rPr>
          <w:rFonts w:hint="default" w:ascii="仿宋_GB2312" w:hAnsi="ˎ̥" w:eastAsia="仿宋_GB2312" w:cs="仿宋_GB2312"/>
          <w:sz w:val="32"/>
          <w:szCs w:val="32"/>
          <w:lang w:val="en-US"/>
        </w:rPr>
        <w:t>3,460.53</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71.72</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；上缴上级支出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；经营支出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；对附属单位补助支出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四、财政拨款收入支出决算总体情况说明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年度财政拨款收入总计</w:t>
      </w:r>
      <w:r>
        <w:rPr>
          <w:rFonts w:hint="default" w:ascii="仿宋_GB2312" w:hAnsi="ˎ̥" w:eastAsia="仿宋_GB2312" w:cs="仿宋_GB2312"/>
          <w:sz w:val="32"/>
          <w:szCs w:val="32"/>
          <w:lang w:val="en-US"/>
        </w:rPr>
        <w:t>4,622.48</w:t>
      </w:r>
      <w:r>
        <w:rPr>
          <w:rFonts w:hint="default" w:ascii="仿宋_GB2312" w:hAnsi="ˎ̥" w:eastAsia="仿宋_GB2312" w:cs="仿宋_GB2312"/>
          <w:sz w:val="32"/>
          <w:szCs w:val="32"/>
        </w:rPr>
        <w:t>万元，支出总计</w:t>
      </w:r>
      <w:r>
        <w:rPr>
          <w:rFonts w:hint="default" w:ascii="仿宋_GB2312" w:hAnsi="ˎ̥" w:eastAsia="仿宋_GB2312" w:cs="仿宋_GB2312"/>
          <w:sz w:val="32"/>
          <w:szCs w:val="32"/>
          <w:lang w:val="en-US"/>
        </w:rPr>
        <w:t>4,622.48</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年度相比，财政拨款收入、支出总计各减少</w:t>
      </w:r>
      <w:r>
        <w:rPr>
          <w:rFonts w:hint="eastAsia" w:ascii="仿宋_GB2312" w:hAnsi="ˎ̥" w:eastAsia="仿宋_GB2312" w:cs="仿宋_GB2312"/>
          <w:sz w:val="32"/>
          <w:szCs w:val="32"/>
          <w:lang w:val="en-US" w:eastAsia="zh-CN"/>
        </w:rPr>
        <w:t>1339.95</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22.47</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。主要原因：一是</w:t>
      </w:r>
      <w:r>
        <w:rPr>
          <w:rFonts w:hint="eastAsia" w:ascii="仿宋_GB2312" w:hAnsi="ˎ̥" w:eastAsia="仿宋_GB2312" w:cs="仿宋_GB2312"/>
          <w:sz w:val="32"/>
          <w:szCs w:val="32"/>
          <w:lang w:val="en-US" w:eastAsia="zh-CN"/>
        </w:rPr>
        <w:t>预算减少</w:t>
      </w:r>
      <w:r>
        <w:rPr>
          <w:rFonts w:hint="default" w:ascii="仿宋_GB2312" w:hAnsi="ˎ̥" w:eastAsia="仿宋_GB2312" w:cs="仿宋_GB2312"/>
          <w:sz w:val="32"/>
          <w:szCs w:val="32"/>
        </w:rPr>
        <w:t>；二</w:t>
      </w:r>
      <w:r>
        <w:rPr>
          <w:rFonts w:hint="eastAsia" w:ascii="仿宋_GB2312" w:hAnsi="ˎ̥" w:eastAsia="仿宋_GB2312" w:cs="仿宋_GB2312"/>
          <w:sz w:val="32"/>
          <w:szCs w:val="32"/>
          <w:lang w:val="en-US" w:eastAsia="zh-CN"/>
        </w:rPr>
        <w:t>是工程项目竣工陆续拨款</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财政拨款年初结转结余</w:t>
      </w:r>
      <w:r>
        <w:rPr>
          <w:rFonts w:hint="default" w:ascii="仿宋_GB2312" w:hAnsi="ˎ̥" w:eastAsia="仿宋_GB2312" w:cs="仿宋_GB2312"/>
          <w:sz w:val="32"/>
          <w:szCs w:val="32"/>
          <w:lang w:val="en-US"/>
        </w:rPr>
        <w:t>1.24</w:t>
      </w:r>
      <w:r>
        <w:rPr>
          <w:rFonts w:hint="default" w:ascii="仿宋_GB2312" w:hAnsi="ˎ̥" w:eastAsia="仿宋_GB2312" w:cs="仿宋_GB2312"/>
          <w:sz w:val="32"/>
          <w:szCs w:val="32"/>
        </w:rPr>
        <w:t>万元，主要是</w:t>
      </w:r>
      <w:r>
        <w:rPr>
          <w:rFonts w:hint="eastAsia" w:ascii="仿宋_GB2312" w:hAnsi="ˎ̥" w:eastAsia="仿宋_GB2312" w:cs="仿宋_GB2312"/>
          <w:sz w:val="32"/>
          <w:szCs w:val="32"/>
          <w:lang w:val="en-US" w:eastAsia="zh-CN"/>
        </w:rPr>
        <w:t>水利渠道管护员经费未拨付完</w:t>
      </w:r>
      <w:r>
        <w:rPr>
          <w:rFonts w:hint="default" w:ascii="仿宋_GB2312" w:hAnsi="ˎ̥" w:eastAsia="仿宋_GB2312" w:cs="仿宋_GB2312"/>
          <w:sz w:val="32"/>
          <w:szCs w:val="32"/>
        </w:rPr>
        <w:t>，较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415.28</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99.7</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val="en-US" w:eastAsia="zh-CN"/>
        </w:rPr>
        <w:t>是工程款及吉安河款项未完成拨付</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财政拨款年末结转结余</w:t>
      </w:r>
      <w:r>
        <w:rPr>
          <w:rFonts w:hint="default" w:ascii="仿宋_GB2312" w:hAnsi="ˎ̥" w:eastAsia="仿宋_GB2312" w:cs="仿宋_GB2312"/>
          <w:sz w:val="32"/>
          <w:szCs w:val="32"/>
          <w:lang w:val="en-US"/>
        </w:rPr>
        <w:t>1.24</w:t>
      </w:r>
      <w:r>
        <w:rPr>
          <w:rFonts w:hint="default" w:ascii="仿宋_GB2312" w:hAnsi="ˎ̥" w:eastAsia="仿宋_GB2312" w:cs="仿宋_GB2312"/>
          <w:sz w:val="32"/>
          <w:szCs w:val="32"/>
        </w:rPr>
        <w:t>万元，主要是</w:t>
      </w:r>
      <w:r>
        <w:rPr>
          <w:rFonts w:hint="eastAsia" w:ascii="仿宋_GB2312" w:hAnsi="ˎ̥" w:eastAsia="仿宋_GB2312" w:cs="仿宋_GB2312"/>
          <w:sz w:val="32"/>
          <w:szCs w:val="32"/>
          <w:lang w:val="en-US" w:eastAsia="zh-CN"/>
        </w:rPr>
        <w:t>办公设备未完成支付</w:t>
      </w:r>
      <w:r>
        <w:rPr>
          <w:rFonts w:hint="default" w:ascii="仿宋_GB2312" w:hAnsi="ˎ̥" w:eastAsia="仿宋_GB2312" w:cs="仿宋_GB2312"/>
          <w:sz w:val="32"/>
          <w:szCs w:val="32"/>
        </w:rPr>
        <w:t>，较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年度年末决算数减少</w:t>
      </w:r>
      <w:r>
        <w:rPr>
          <w:rFonts w:hint="eastAsia" w:ascii="仿宋_GB2312" w:hAnsi="ˎ̥" w:eastAsia="仿宋_GB2312" w:cs="仿宋_GB2312"/>
          <w:sz w:val="32"/>
          <w:szCs w:val="32"/>
          <w:lang w:val="en-US" w:eastAsia="zh-CN"/>
        </w:rPr>
        <w:t>307.11</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99.60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val="en-US" w:eastAsia="zh-CN"/>
        </w:rPr>
        <w:t>是工程款竣工完成支付</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五、一般公共预算财政拨款支出决算情况说明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bookmarkStart w:id="77" w:name="_Toc17398_WPSOffice_Level2"/>
      <w:bookmarkStart w:id="78" w:name="_Toc13694_WPSOffice_Level2"/>
      <w:bookmarkStart w:id="79" w:name="_Toc21737_WPSOffice_Level2"/>
      <w:bookmarkStart w:id="80" w:name="_Toc23005_WPSOffice_Level2"/>
      <w:bookmarkStart w:id="81" w:name="_Toc19665_WPSOffice_Level2"/>
      <w:bookmarkStart w:id="82" w:name="_Toc9989_WPSOffice_Level2"/>
      <w:r>
        <w:rPr>
          <w:rFonts w:hint="default" w:ascii="仿宋_GB2312" w:hAnsi="ˎ̥" w:eastAsia="仿宋_GB2312" w:cs="仿宋_GB2312"/>
          <w:sz w:val="32"/>
          <w:szCs w:val="32"/>
        </w:rPr>
        <w:t>（一）一般公共预算财政拨款支出决算总体情况</w:t>
      </w:r>
      <w:bookmarkEnd w:id="77"/>
      <w:bookmarkEnd w:id="78"/>
      <w:r>
        <w:rPr>
          <w:rFonts w:hint="default" w:ascii="仿宋_GB2312" w:hAnsi="ˎ̥" w:eastAsia="仿宋_GB2312" w:cs="仿宋_GB2312"/>
          <w:sz w:val="32"/>
          <w:szCs w:val="32"/>
        </w:rPr>
        <w:t>。</w:t>
      </w:r>
      <w:bookmarkEnd w:id="79"/>
      <w:bookmarkEnd w:id="80"/>
      <w:bookmarkEnd w:id="81"/>
      <w:bookmarkEnd w:id="82"/>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w:t>
      </w:r>
      <w:r>
        <w:rPr>
          <w:rFonts w:hint="default" w:ascii="仿宋_GB2312" w:hAnsi="ˎ̥" w:eastAsia="仿宋_GB2312" w:cs="仿宋_GB2312"/>
          <w:sz w:val="32"/>
          <w:szCs w:val="32"/>
          <w:lang w:val="en-US"/>
        </w:rPr>
        <w:t>4,621.24</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95.77</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年度相比，一般公共预算财政拨款支出减少</w:t>
      </w:r>
      <w:r>
        <w:rPr>
          <w:rFonts w:hint="eastAsia" w:ascii="仿宋_GB2312" w:hAnsi="ˎ̥" w:eastAsia="仿宋_GB2312" w:cs="仿宋_GB2312"/>
          <w:sz w:val="32"/>
          <w:szCs w:val="32"/>
          <w:lang w:val="en-US" w:eastAsia="zh-CN"/>
        </w:rPr>
        <w:t>973.88</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17.4</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sz w:val="32"/>
          <w:szCs w:val="32"/>
          <w:lang w:val="en-US" w:eastAsia="zh-CN"/>
        </w:rPr>
        <w:t>回收吉安河项目款项</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bookmarkStart w:id="83" w:name="_Toc18793_WPSOffice_Level2"/>
      <w:bookmarkStart w:id="84" w:name="_Toc2711_WPSOffice_Level2"/>
      <w:bookmarkStart w:id="85" w:name="_Toc19075_WPSOffice_Level2"/>
      <w:bookmarkStart w:id="86" w:name="_Toc27767_WPSOffice_Level2"/>
      <w:bookmarkStart w:id="87" w:name="_Toc19535_WPSOffice_Level2"/>
      <w:bookmarkStart w:id="88" w:name="_Toc23864_WPSOffice_Level2"/>
      <w:r>
        <w:rPr>
          <w:rFonts w:hint="default" w:ascii="仿宋_GB2312" w:hAnsi="ˎ̥" w:eastAsia="仿宋_GB2312" w:cs="仿宋_GB2312"/>
          <w:sz w:val="32"/>
          <w:szCs w:val="32"/>
        </w:rPr>
        <w:t>（二）一般公共预算财政拨款支出决算结构情况</w:t>
      </w:r>
      <w:bookmarkEnd w:id="83"/>
      <w:bookmarkEnd w:id="84"/>
      <w:r>
        <w:rPr>
          <w:rFonts w:hint="default" w:ascii="仿宋_GB2312" w:hAnsi="ˎ̥" w:eastAsia="仿宋_GB2312" w:cs="仿宋_GB2312"/>
          <w:sz w:val="32"/>
          <w:szCs w:val="32"/>
        </w:rPr>
        <w:t>。</w:t>
      </w:r>
      <w:bookmarkEnd w:id="85"/>
      <w:bookmarkEnd w:id="86"/>
      <w:bookmarkEnd w:id="87"/>
      <w:bookmarkEnd w:id="88"/>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w:t>
      </w:r>
      <w:r>
        <w:rPr>
          <w:rFonts w:hint="default" w:ascii="仿宋_GB2312" w:hAnsi="ˎ̥" w:eastAsia="仿宋_GB2312" w:cs="仿宋_GB2312"/>
          <w:sz w:val="32"/>
          <w:szCs w:val="32"/>
          <w:lang w:val="en-US"/>
        </w:rPr>
        <w:t>4,621.24</w:t>
      </w:r>
      <w:r>
        <w:rPr>
          <w:rFonts w:hint="default" w:ascii="仿宋_GB2312" w:hAnsi="ˎ̥" w:eastAsia="仿宋_GB2312" w:cs="仿宋_GB2312"/>
          <w:sz w:val="32"/>
          <w:szCs w:val="32"/>
        </w:rPr>
        <w:t>万元，主要用于以下方面：一般公共服务（类）支出</w:t>
      </w:r>
      <w:r>
        <w:rPr>
          <w:rFonts w:hint="eastAsia" w:ascii="仿宋_GB2312" w:hAnsi="ˎ̥" w:eastAsia="仿宋_GB2312" w:cs="仿宋_GB2312"/>
          <w:sz w:val="32"/>
          <w:szCs w:val="32"/>
          <w:lang w:val="en-US" w:eastAsia="zh-CN"/>
        </w:rPr>
        <w:t>2523.41</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54.6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r>
        <w:rPr>
          <w:rFonts w:hint="eastAsia" w:ascii="仿宋_GB2312" w:hAnsi="ˎ̥" w:eastAsia="仿宋_GB2312" w:cs="仿宋_GB2312"/>
          <w:sz w:val="32"/>
          <w:szCs w:val="32"/>
          <w:lang w:val="en-US" w:eastAsia="zh-CN"/>
        </w:rPr>
        <w:t>卫生健康支出（类）支出166.28万元，占3.6%，</w:t>
      </w:r>
      <w:r>
        <w:rPr>
          <w:rFonts w:hint="default" w:ascii="仿宋_GB2312" w:hAnsi="ˎ̥" w:eastAsia="仿宋_GB2312" w:cs="仿宋_GB2312"/>
          <w:sz w:val="32"/>
          <w:szCs w:val="32"/>
        </w:rPr>
        <w:t>社会保障和就业（类）支出</w:t>
      </w:r>
      <w:r>
        <w:rPr>
          <w:rFonts w:hint="eastAsia" w:ascii="仿宋_GB2312" w:hAnsi="ˎ̥" w:eastAsia="仿宋_GB2312" w:cs="仿宋_GB2312"/>
          <w:sz w:val="32"/>
          <w:szCs w:val="32"/>
          <w:lang w:val="en-US" w:eastAsia="zh-CN"/>
        </w:rPr>
        <w:t>138.51</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3</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；住房保障（类）支出</w:t>
      </w:r>
      <w:r>
        <w:rPr>
          <w:rFonts w:hint="eastAsia" w:ascii="仿宋_GB2312" w:hAnsi="ˎ̥" w:eastAsia="仿宋_GB2312" w:cs="仿宋_GB2312"/>
          <w:sz w:val="32"/>
          <w:szCs w:val="32"/>
          <w:lang w:val="en-US" w:eastAsia="zh-CN"/>
        </w:rPr>
        <w:t>88.43</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1.91</w:t>
      </w:r>
      <w:r>
        <w:rPr>
          <w:rFonts w:hint="default" w:ascii="仿宋_GB2312" w:hAnsi="ˎ̥" w:eastAsia="仿宋_GB2312" w:cs="仿宋_GB2312"/>
          <w:sz w:val="32"/>
          <w:szCs w:val="32"/>
          <w:lang w:val="en-US"/>
        </w:rPr>
        <w:t>%</w:t>
      </w:r>
      <w:r>
        <w:rPr>
          <w:rFonts w:hint="eastAsia" w:ascii="仿宋_GB2312" w:hAnsi="ˎ̥" w:eastAsia="仿宋_GB2312" w:cs="仿宋_GB2312"/>
          <w:sz w:val="32"/>
          <w:szCs w:val="32"/>
          <w:lang w:val="en-US" w:eastAsia="zh-CN"/>
        </w:rPr>
        <w:t>，农林水支出（类）支出1485.6万元，占32.15%</w:t>
      </w:r>
      <w:r>
        <w:rPr>
          <w:rFonts w:hint="default" w:ascii="仿宋_GB2312" w:hAnsi="ˎ̥" w:eastAsia="仿宋_GB2312" w:cs="仿宋_GB2312"/>
          <w:sz w:val="32"/>
          <w:szCs w:val="32"/>
        </w:rPr>
        <w:t>。</w:t>
      </w:r>
      <w:bookmarkStart w:id="89" w:name="_Toc21701_WPSOffice_Level2"/>
      <w:bookmarkStart w:id="90" w:name="_Toc25136_WPSOffice_Level2"/>
      <w:bookmarkStart w:id="91" w:name="_Toc29364_WPSOffice_Level2"/>
      <w:bookmarkStart w:id="92" w:name="_Toc22318_WPSOffice_Level2"/>
      <w:bookmarkStart w:id="93" w:name="_Toc15415_WPSOffice_Level2"/>
      <w:bookmarkStart w:id="94" w:name="_Toc9502_WPSOffice_Level2"/>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rPr>
      </w:pP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w:t>
      </w:r>
      <w:r>
        <w:rPr>
          <w:rFonts w:hint="default" w:ascii="仿宋_GB2312" w:hAnsi="ˎ̥" w:eastAsia="仿宋_GB2312" w:cs="仿宋_GB2312"/>
          <w:color w:val="auto"/>
          <w:sz w:val="32"/>
          <w:szCs w:val="32"/>
        </w:rPr>
        <w:t>三）一般公共预算财政拨款支出决算具体情况</w:t>
      </w:r>
      <w:r>
        <w:rPr>
          <w:rFonts w:hint="default" w:ascii="仿宋_GB2312" w:hAnsi="ˎ̥" w:eastAsia="仿宋_GB2312" w:cs="仿宋_GB2312"/>
          <w:sz w:val="32"/>
          <w:szCs w:val="32"/>
        </w:rPr>
        <w:t>。</w:t>
      </w:r>
      <w:bookmarkEnd w:id="89"/>
      <w:bookmarkEnd w:id="90"/>
      <w:bookmarkEnd w:id="91"/>
      <w:bookmarkEnd w:id="92"/>
      <w:bookmarkEnd w:id="93"/>
      <w:bookmarkEnd w:id="94"/>
    </w:p>
    <w:p>
      <w:pPr>
        <w:keepNext w:val="0"/>
        <w:keepLines w:val="0"/>
        <w:widowControl/>
        <w:suppressLineNumbers w:val="0"/>
        <w:spacing w:before="0" w:beforeAutospacing="1" w:after="0" w:afterAutospacing="1"/>
        <w:ind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年度一般公共预算财政拨款支出年初预算为</w:t>
      </w:r>
      <w:r>
        <w:rPr>
          <w:rFonts w:hint="eastAsia" w:ascii="仿宋_GB2312" w:hAnsi="ˎ̥" w:eastAsia="仿宋_GB2312" w:cs="仿宋_GB2312"/>
          <w:sz w:val="32"/>
          <w:szCs w:val="32"/>
          <w:lang w:val="en-US" w:eastAsia="zh-CN"/>
        </w:rPr>
        <w:t>3002.56</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4,621.24</w:t>
      </w:r>
      <w:r>
        <w:rPr>
          <w:rFonts w:hint="default"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153.91</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。其中：</w:t>
      </w:r>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1.</w:t>
      </w:r>
      <w:r>
        <w:rPr>
          <w:rFonts w:hint="eastAsia" w:ascii="仿宋_GB2312" w:hAnsi="ˎ̥" w:eastAsia="仿宋_GB2312" w:cs="仿宋_GB2312"/>
          <w:b/>
          <w:kern w:val="0"/>
          <w:sz w:val="32"/>
          <w:szCs w:val="32"/>
          <w:shd w:val="clear" w:fill="FFFFFF"/>
          <w:lang w:val="en-US" w:eastAsia="zh-CN" w:bidi="ar"/>
        </w:rPr>
        <w:t>一般公共服务（类）人大事务（款）行政运行（项）。</w:t>
      </w:r>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年初预算为3002.56万元，支出决算为4621.24万元，完成年初预算的153.91%。决算数大于预算数的主要原因：一是受新冠疫情的影响，增加防控经费；二是选派乡村振兴工作队员，增加乡村振兴工作经费。</w:t>
      </w:r>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2.</w:t>
      </w:r>
      <w:r>
        <w:rPr>
          <w:rFonts w:hint="eastAsia" w:ascii="宋体" w:hAnsi="宋体" w:eastAsia="宋体" w:cs="宋体"/>
          <w:kern w:val="0"/>
          <w:sz w:val="24"/>
          <w:szCs w:val="24"/>
          <w:shd w:val="clear" w:fill="FFFFFF"/>
          <w:lang w:val="en-US" w:eastAsia="zh-CN" w:bidi="ar"/>
        </w:rPr>
        <w:t xml:space="preserve"> </w:t>
      </w:r>
      <w:r>
        <w:rPr>
          <w:rFonts w:hint="eastAsia" w:ascii="仿宋_GB2312" w:hAnsi="ˎ̥" w:eastAsia="仿宋_GB2312" w:cs="仿宋_GB2312"/>
          <w:kern w:val="0"/>
          <w:sz w:val="32"/>
          <w:szCs w:val="32"/>
          <w:shd w:val="clear" w:fill="FFFFFF"/>
          <w:lang w:val="en-US" w:eastAsia="zh-CN" w:bidi="ar"/>
        </w:rPr>
        <w:t>文化旅游体育与传媒支出。</w:t>
      </w:r>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年初预算为0.00万元，支出决算为1万元，完成年初预算的1倍。决算数大于预算数的主要原因：一是迎接党的二十大宣传有所增加；二是各类宣传活动增加。</w:t>
      </w:r>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3.</w:t>
      </w:r>
      <w:r>
        <w:rPr>
          <w:rFonts w:hint="eastAsia" w:ascii="宋体" w:hAnsi="宋体" w:eastAsia="宋体" w:cs="宋体"/>
          <w:kern w:val="0"/>
          <w:sz w:val="24"/>
          <w:szCs w:val="24"/>
          <w:shd w:val="clear" w:fill="FFFFFF"/>
          <w:lang w:val="en-US" w:eastAsia="zh-CN" w:bidi="ar"/>
        </w:rPr>
        <w:t xml:space="preserve"> </w:t>
      </w:r>
      <w:r>
        <w:rPr>
          <w:rFonts w:hint="eastAsia" w:ascii="仿宋_GB2312" w:hAnsi="ˎ̥" w:eastAsia="仿宋_GB2312" w:cs="仿宋_GB2312"/>
          <w:kern w:val="0"/>
          <w:sz w:val="32"/>
          <w:szCs w:val="32"/>
          <w:shd w:val="clear" w:fill="FFFFFF"/>
          <w:lang w:val="en-US" w:eastAsia="zh-CN" w:bidi="ar"/>
        </w:rPr>
        <w:t>社会保障和就业支出。</w:t>
      </w:r>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年初预算为125.09万元，支出决算为138.51万元，完成年初预算的110.73%。决算数大于预算数的主要原因：新招录公务员，</w:t>
      </w:r>
      <w:r>
        <w:rPr>
          <w:rFonts w:hint="eastAsia" w:ascii="仿宋_GB2312" w:hAnsi="ˎ̥" w:eastAsia="仿宋_GB2312" w:cs="仿宋_GB2312"/>
          <w:kern w:val="0"/>
          <w:sz w:val="32"/>
          <w:szCs w:val="32"/>
          <w:lang w:val="en-US" w:eastAsia="zh-CN" w:bidi="ar"/>
        </w:rPr>
        <w:t>编制人数增加</w:t>
      </w:r>
      <w:r>
        <w:rPr>
          <w:rFonts w:hint="eastAsia" w:ascii="仿宋_GB2312" w:hAnsi="ˎ̥" w:eastAsia="仿宋_GB2312" w:cs="仿宋_GB2312"/>
          <w:kern w:val="0"/>
          <w:sz w:val="32"/>
          <w:szCs w:val="32"/>
          <w:shd w:val="clear" w:fill="FFFFFF"/>
          <w:lang w:val="en-US" w:eastAsia="zh-CN" w:bidi="ar"/>
        </w:rPr>
        <w:t>。</w:t>
      </w:r>
    </w:p>
    <w:p>
      <w:pPr>
        <w:keepNext w:val="0"/>
        <w:keepLines w:val="0"/>
        <w:widowControl/>
        <w:numPr>
          <w:ilvl w:val="0"/>
          <w:numId w:val="3"/>
        </w:numPr>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卫生健康支出。</w:t>
      </w:r>
    </w:p>
    <w:p>
      <w:pPr>
        <w:keepNext w:val="0"/>
        <w:keepLines w:val="0"/>
        <w:widowControl/>
        <w:suppressLineNumbers w:val="0"/>
        <w:shd w:val="clear" w:fill="FFFFFF"/>
        <w:snapToGrid w:val="0"/>
        <w:spacing w:before="0" w:beforeAutospacing="1" w:after="0" w:afterAutospacing="1"/>
        <w:ind w:left="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年初预算为179.48万元，支出决算为166.28万元，完成年初预算的92.65%。决算数小于预算数的主要原因：有退休人员。</w:t>
      </w:r>
    </w:p>
    <w:p>
      <w:pPr>
        <w:keepNext w:val="0"/>
        <w:keepLines w:val="0"/>
        <w:widowControl/>
        <w:numPr>
          <w:ilvl w:val="0"/>
          <w:numId w:val="3"/>
        </w:numPr>
        <w:suppressLineNumbers w:val="0"/>
        <w:shd w:val="clear" w:fill="FFFFFF"/>
        <w:snapToGrid w:val="0"/>
        <w:spacing w:before="0" w:beforeAutospacing="1" w:after="0" w:afterAutospacing="1"/>
        <w:ind w:left="0" w:leftChars="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城乡社区支出。</w:t>
      </w:r>
    </w:p>
    <w:p>
      <w:pPr>
        <w:keepNext w:val="0"/>
        <w:keepLines w:val="0"/>
        <w:widowControl/>
        <w:suppressLineNumbers w:val="0"/>
        <w:shd w:val="clear" w:fill="FFFFFF"/>
        <w:snapToGrid w:val="0"/>
        <w:spacing w:before="0" w:beforeAutospacing="1" w:after="0" w:afterAutospacing="1"/>
        <w:ind w:left="0" w:right="0" w:rightChars="0" w:firstLine="640" w:firstLineChars="200"/>
        <w:jc w:val="left"/>
        <w:rPr>
          <w:rFonts w:hint="default" w:ascii="仿宋_GB2312" w:hAnsi="ˎ̥" w:eastAsia="仿宋_GB2312" w:cs="仿宋_GB2312"/>
          <w:kern w:val="0"/>
          <w:sz w:val="32"/>
          <w:szCs w:val="32"/>
          <w:shd w:val="clear" w:fill="FFFFFF"/>
          <w:lang w:val="en-US"/>
        </w:rPr>
      </w:pPr>
      <w:r>
        <w:rPr>
          <w:rFonts w:hint="eastAsia" w:ascii="仿宋_GB2312" w:hAnsi="ˎ̥" w:eastAsia="仿宋_GB2312" w:cs="仿宋_GB2312"/>
          <w:kern w:val="0"/>
          <w:sz w:val="32"/>
          <w:szCs w:val="32"/>
          <w:shd w:val="clear" w:fill="FFFFFF"/>
          <w:lang w:val="en-US" w:eastAsia="zh-CN" w:bidi="ar"/>
        </w:rPr>
        <w:t>年初预算为0.00万元，支出决算为17.24万元，完成年初预算的17.24倍。决算数大于预算数的主要原因：基础设施建设项目增加。</w:t>
      </w:r>
    </w:p>
    <w:p>
      <w:pPr>
        <w:keepNext w:val="0"/>
        <w:keepLines w:val="0"/>
        <w:widowControl/>
        <w:numPr>
          <w:ilvl w:val="0"/>
          <w:numId w:val="3"/>
        </w:numPr>
        <w:suppressLineNumbers w:val="0"/>
        <w:shd w:val="clear" w:fill="FFFFFF"/>
        <w:snapToGrid w:val="0"/>
        <w:spacing w:before="0" w:beforeAutospacing="1" w:after="0" w:afterAutospacing="1"/>
        <w:ind w:left="0" w:leftChars="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农林水支出。</w:t>
      </w:r>
    </w:p>
    <w:p>
      <w:pPr>
        <w:keepNext w:val="0"/>
        <w:keepLines w:val="0"/>
        <w:widowControl/>
        <w:suppressLineNumbers w:val="0"/>
        <w:shd w:val="clear" w:fill="FFFFFF"/>
        <w:snapToGrid w:val="0"/>
        <w:spacing w:before="0" w:beforeAutospacing="1" w:after="0" w:afterAutospacing="1"/>
        <w:ind w:left="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年初预算为98.7万元，支出决算为1485.6万元，完成年初预算的15.05倍。决算数大于预算数的主要原因：乡村振兴持续帮扶工作增加。</w:t>
      </w:r>
    </w:p>
    <w:p>
      <w:pPr>
        <w:keepNext w:val="0"/>
        <w:keepLines w:val="0"/>
        <w:widowControl/>
        <w:numPr>
          <w:ilvl w:val="0"/>
          <w:numId w:val="3"/>
        </w:numPr>
        <w:suppressLineNumbers w:val="0"/>
        <w:shd w:val="clear" w:fill="FFFFFF"/>
        <w:snapToGrid w:val="0"/>
        <w:spacing w:before="0" w:beforeAutospacing="1" w:after="0" w:afterAutospacing="1"/>
        <w:ind w:left="0" w:leftChars="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住房保障支出。</w:t>
      </w:r>
    </w:p>
    <w:p>
      <w:pPr>
        <w:keepNext w:val="0"/>
        <w:keepLines w:val="0"/>
        <w:widowControl/>
        <w:suppressLineNumbers w:val="0"/>
        <w:shd w:val="clear" w:fill="FFFFFF"/>
        <w:snapToGrid w:val="0"/>
        <w:spacing w:before="0" w:beforeAutospacing="1" w:after="0" w:afterAutospacing="1"/>
        <w:ind w:left="0" w:right="0" w:rightChars="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年初预算为86.33万元，支出决算为88.43万元，完成年初预算的102.43%。决算数大于预算数的主要原因：住房人数有所增加。</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六、一般公共预算财政拨款基本支出决算情况说明。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年度财政拨款基本支出</w:t>
      </w:r>
      <w:r>
        <w:rPr>
          <w:rFonts w:hint="default" w:ascii="仿宋_GB2312" w:hAnsi="ˎ̥" w:eastAsia="仿宋_GB2312" w:cs="仿宋_GB2312"/>
          <w:sz w:val="32"/>
          <w:szCs w:val="32"/>
          <w:lang w:val="en-US"/>
        </w:rPr>
        <w:t>1,362.59</w:t>
      </w:r>
      <w:r>
        <w:rPr>
          <w:rFonts w:hint="default" w:ascii="仿宋_GB2312" w:hAnsi="ˎ̥" w:eastAsia="仿宋_GB2312" w:cs="仿宋_GB2312"/>
          <w:sz w:val="32"/>
          <w:szCs w:val="32"/>
        </w:rPr>
        <w:t>万元，其中：人员经费</w:t>
      </w:r>
      <w:r>
        <w:rPr>
          <w:rFonts w:hint="default" w:ascii="仿宋_GB2312" w:hAnsi="ˎ̥" w:eastAsia="仿宋_GB2312" w:cs="仿宋_GB2312"/>
          <w:sz w:val="32"/>
          <w:szCs w:val="32"/>
          <w:lang w:val="en-US"/>
        </w:rPr>
        <w:t>1,209.07</w:t>
      </w:r>
      <w:r>
        <w:rPr>
          <w:rFonts w:hint="default" w:ascii="仿宋_GB2312" w:hAnsi="ˎ̥" w:eastAsia="仿宋_GB2312" w:cs="仿宋_GB2312"/>
          <w:sz w:val="32"/>
          <w:szCs w:val="32"/>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default" w:ascii="仿宋_GB2312" w:hAnsi="ˎ̥" w:eastAsia="仿宋_GB2312" w:cs="仿宋_GB2312"/>
          <w:sz w:val="32"/>
          <w:szCs w:val="32"/>
          <w:lang w:val="en-US"/>
        </w:rPr>
        <w:t>153.52</w:t>
      </w:r>
      <w:r>
        <w:rPr>
          <w:rFonts w:hint="default" w:ascii="仿宋_GB2312" w:hAnsi="ˎ̥" w:eastAsia="仿宋_GB2312" w:cs="仿宋_GB2312"/>
          <w:sz w:val="32"/>
          <w:szCs w:val="32"/>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七、政府性基金预算财政拨款支出决算情况说明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（一）政府性基金预算财政拨款支出决算总体情况。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年度相比，政府性基金预算财政拨款支出增加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sz w:val="32"/>
          <w:szCs w:val="32"/>
          <w:lang w:val="en-US" w:eastAsia="zh-CN"/>
        </w:rPr>
        <w:t>无此项科目</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（二）政府性基金预算财政拨款支出决算结构情况。</w:t>
      </w:r>
    </w:p>
    <w:p>
      <w:pPr>
        <w:keepNext w:val="0"/>
        <w:keepLines w:val="0"/>
        <w:widowControl/>
        <w:suppressLineNumbers w:val="0"/>
        <w:spacing w:before="0" w:beforeAutospacing="1" w:after="0" w:afterAutospacing="1"/>
        <w:ind w:left="0" w:right="0" w:firstLine="640" w:firstLineChars="200"/>
        <w:rPr>
          <w:rFonts w:hint="eastAsia" w:ascii="仿宋_GB2312" w:hAnsi="ˎ̥" w:eastAsia="仿宋_GB2312" w:cs="仿宋_GB2312"/>
          <w:sz w:val="32"/>
          <w:szCs w:val="32"/>
          <w:lang w:val="en-US" w:eastAsia="zh-CN"/>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万元，主要用于以下方面：</w:t>
      </w:r>
      <w:r>
        <w:rPr>
          <w:rFonts w:hint="eastAsia" w:ascii="仿宋_GB2312" w:hAnsi="ˎ̥" w:eastAsia="仿宋_GB2312" w:cs="仿宋_GB2312"/>
          <w:sz w:val="32"/>
          <w:szCs w:val="32"/>
          <w:lang w:val="en-US" w:eastAsia="zh-CN"/>
        </w:rPr>
        <w:t>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（三）政府性基金预算财政拨款支出决算具体情况。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年度政府性基金预算财政拨款支出年初预算为</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年度国有资本经营预算财政拨款支出</w:t>
      </w:r>
      <w:r>
        <w:rPr>
          <w:rFonts w:hint="eastAsia" w:ascii="仿宋_GB2312" w:hAnsi="ˎ̥"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年度国有资本经营预算财政拨款支出</w:t>
      </w:r>
      <w:r>
        <w:rPr>
          <w:rFonts w:hint="eastAsia" w:ascii="仿宋_GB2312" w:hAnsi="ˎ̥"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sz w:val="32"/>
          <w:szCs w:val="32"/>
          <w:shd w:val="clear" w:fill="FFFFFF"/>
          <w:lang w:val="en-US" w:eastAsia="zh-CN"/>
        </w:rPr>
        <w:t>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sz w:val="32"/>
          <w:szCs w:val="32"/>
          <w:shd w:val="clear" w:fill="FFFFFF"/>
          <w:lang w:val="en-US"/>
        </w:rPr>
        <w:t>202</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九、一般公共预算财政拨款“三公”经费支出决算情况说明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（一）一般公共预算财政拨款“三公”经费支出决算总体情况说明。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2021</w:t>
      </w:r>
      <w:r>
        <w:rPr>
          <w:rFonts w:hint="default" w:ascii="仿宋_GB2312" w:hAnsi="ˎ̥" w:eastAsia="仿宋_GB2312" w:cs="仿宋_GB2312"/>
          <w:sz w:val="32"/>
          <w:szCs w:val="32"/>
        </w:rPr>
        <w:t>年度一般公共预算财政拨款“三公”经费支出预算为</w:t>
      </w:r>
      <w:r>
        <w:rPr>
          <w:rFonts w:hint="default" w:ascii="仿宋_GB2312" w:hAnsi="ˎ̥" w:eastAsia="仿宋_GB2312" w:cs="仿宋_GB2312"/>
          <w:sz w:val="32"/>
          <w:szCs w:val="32"/>
          <w:lang w:val="en-US"/>
        </w:rPr>
        <w:t>4.00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3.02</w:t>
      </w:r>
      <w:r>
        <w:rPr>
          <w:rFonts w:hint="default" w:ascii="仿宋_GB2312" w:hAnsi="ˎ̥" w:eastAsia="仿宋_GB2312" w:cs="仿宋_GB2312"/>
          <w:sz w:val="32"/>
          <w:szCs w:val="32"/>
        </w:rPr>
        <w:t>万元，完成预算的</w:t>
      </w:r>
      <w:r>
        <w:rPr>
          <w:rFonts w:hint="eastAsia" w:ascii="仿宋_GB2312" w:hAnsi="ˎ̥" w:eastAsia="仿宋_GB2312" w:cs="仿宋_GB2312"/>
          <w:sz w:val="32"/>
          <w:szCs w:val="32"/>
          <w:lang w:val="en-US" w:eastAsia="zh-CN"/>
        </w:rPr>
        <w:t>75.5</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（二）一般公共预算财政拨款“三公”经费支出决算具体情况说明。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年度一般公共预算财政拨款“三公”经费支出决算中，因公出国（境）费支出决算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3.02</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75.5</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。具体情况如下：</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1.</w:t>
      </w:r>
      <w:r>
        <w:rPr>
          <w:rFonts w:hint="default" w:ascii="仿宋_GB2312" w:hAnsi="ˎ̥" w:eastAsia="仿宋_GB2312" w:cs="仿宋_GB2312"/>
          <w:sz w:val="32"/>
          <w:szCs w:val="32"/>
        </w:rPr>
        <w:t>因公出国（境）费支出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万元。全年安排因公出国（境）团组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个，因公出国（境）</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因公出国（境）费支出决算比预算数增加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2.</w:t>
      </w:r>
      <w:r>
        <w:rPr>
          <w:rFonts w:hint="default" w:ascii="仿宋_GB2312" w:hAnsi="ˎ̥" w:eastAsia="仿宋_GB2312" w:cs="仿宋_GB2312"/>
          <w:sz w:val="32"/>
          <w:szCs w:val="32"/>
        </w:rPr>
        <w:t>公务用车购置及运行维护费支出</w:t>
      </w:r>
      <w:r>
        <w:rPr>
          <w:rFonts w:hint="default" w:ascii="仿宋_GB2312" w:hAnsi="ˎ̥" w:eastAsia="仿宋_GB2312" w:cs="仿宋_GB2312"/>
          <w:sz w:val="32"/>
          <w:szCs w:val="32"/>
          <w:lang w:val="en-US"/>
        </w:rPr>
        <w:t>3.02</w:t>
      </w:r>
      <w:r>
        <w:rPr>
          <w:rFonts w:hint="default" w:ascii="仿宋_GB2312" w:hAnsi="ˎ̥" w:eastAsia="仿宋_GB2312" w:cs="仿宋_GB2312"/>
          <w:sz w:val="32"/>
          <w:szCs w:val="32"/>
        </w:rPr>
        <w:t>万元。其中：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万元，全年购置公务用车</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辆，年末公务用车保有量</w:t>
      </w:r>
      <w:r>
        <w:rPr>
          <w:rFonts w:hint="eastAsia" w:ascii="仿宋_GB2312" w:hAnsi="ˎ̥" w:eastAsia="仿宋_GB2312" w:cs="仿宋_GB2312"/>
          <w:sz w:val="32"/>
          <w:szCs w:val="32"/>
          <w:lang w:val="en-US" w:eastAsia="zh-CN"/>
        </w:rPr>
        <w:t>3</w:t>
      </w:r>
      <w:r>
        <w:rPr>
          <w:rFonts w:hint="default" w:ascii="仿宋_GB2312" w:hAnsi="ˎ̥" w:eastAsia="仿宋_GB2312" w:cs="仿宋_GB2312"/>
          <w:sz w:val="32"/>
          <w:szCs w:val="32"/>
        </w:rPr>
        <w:t>辆。</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公务用车运行维护费支出</w:t>
      </w:r>
      <w:r>
        <w:rPr>
          <w:rFonts w:hint="default" w:ascii="仿宋_GB2312" w:hAnsi="ˎ̥" w:eastAsia="仿宋_GB2312" w:cs="仿宋_GB2312"/>
          <w:sz w:val="32"/>
          <w:szCs w:val="32"/>
          <w:lang w:val="en-US"/>
        </w:rPr>
        <w:t>3.02</w:t>
      </w:r>
      <w:r>
        <w:rPr>
          <w:rFonts w:hint="default" w:ascii="仿宋_GB2312" w:hAnsi="ˎ̥" w:eastAsia="仿宋_GB2312" w:cs="仿宋_GB2312"/>
          <w:sz w:val="32"/>
          <w:szCs w:val="32"/>
        </w:rPr>
        <w:t>万元，主要用</w:t>
      </w:r>
      <w:r>
        <w:rPr>
          <w:rFonts w:hint="eastAsia" w:ascii="仿宋_GB2312" w:hAnsi="ˎ̥" w:eastAsia="仿宋_GB2312" w:cs="仿宋_GB2312"/>
          <w:sz w:val="32"/>
          <w:szCs w:val="32"/>
          <w:lang w:val="en-US" w:eastAsia="zh-CN"/>
        </w:rPr>
        <w:t>于公务用车运行维修及燃油费用</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公务用车购置及运行费支出决算数比预算数减少</w:t>
      </w:r>
      <w:r>
        <w:rPr>
          <w:rFonts w:hint="eastAsia" w:ascii="仿宋_GB2312" w:hAnsi="ˎ̥" w:eastAsia="仿宋_GB2312" w:cs="仿宋_GB2312"/>
          <w:sz w:val="32"/>
          <w:szCs w:val="32"/>
          <w:lang w:val="en-US" w:eastAsia="zh-CN"/>
        </w:rPr>
        <w:t>0.8</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val="en-US" w:eastAsia="zh-CN"/>
        </w:rPr>
        <w:t>是公务用车运行维修费减少</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3.</w:t>
      </w:r>
      <w:r>
        <w:rPr>
          <w:rFonts w:hint="default" w:ascii="仿宋_GB2312" w:hAnsi="ˎ̥" w:eastAsia="仿宋_GB2312" w:cs="仿宋_GB2312"/>
          <w:sz w:val="32"/>
          <w:szCs w:val="32"/>
        </w:rPr>
        <w:t>公务接待费支出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国内接待费支出</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rPr>
        <w:t>万元，国内公务接待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国（境）外接待费支出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万元，国（境）外公务接待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公务接待费支出决算数比预算数增加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十、政府性基金预算财政拨款“三公”经费支出决算情况说明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年度政府性基金预算财政拨款“三公”经费支出合计</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十一、国有资本经营预算财政拨款“三公”经费支出决算情况说明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年度国有资本经营预算财政拨款“三公”经费支出合计</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十二、预算绩效情况说明。</w:t>
      </w:r>
    </w:p>
    <w:p>
      <w:pPr>
        <w:keepNext w:val="0"/>
        <w:keepLines w:val="0"/>
        <w:widowControl/>
        <w:numPr>
          <w:ilvl w:val="0"/>
          <w:numId w:val="0"/>
        </w:numPr>
        <w:suppressLineNumbers w:val="0"/>
        <w:autoSpaceDE w:val="0"/>
        <w:autoSpaceDN/>
        <w:snapToGrid w:val="0"/>
        <w:spacing w:before="0" w:beforeAutospacing="0" w:after="0" w:afterAutospacing="1" w:line="590" w:lineRule="exact"/>
        <w:ind w:leftChars="200" w:right="0" w:rightChars="0" w:firstLine="320" w:firstLineChars="100"/>
        <w:jc w:val="left"/>
        <w:rPr>
          <w:rFonts w:hint="eastAsia" w:ascii="仿宋_GB2312" w:hAnsi="ˎ̥" w:eastAsia="仿宋_GB2312" w:cs="仿宋_GB2312"/>
          <w:kern w:val="0"/>
          <w:sz w:val="32"/>
          <w:szCs w:val="32"/>
          <w:shd w:val="clear" w:fill="FFFFFF"/>
          <w:lang w:val="en-US" w:eastAsia="zh-CN" w:bidi="ar"/>
        </w:rPr>
      </w:pPr>
      <w:r>
        <w:rPr>
          <w:rFonts w:hint="eastAsia" w:ascii="仿宋_GB2312" w:hAnsi="ˎ̥" w:eastAsia="仿宋_GB2312" w:cs="仿宋_GB2312"/>
          <w:kern w:val="0"/>
          <w:sz w:val="32"/>
          <w:szCs w:val="32"/>
          <w:shd w:val="clear" w:fill="FFFFFF"/>
          <w:lang w:val="en-US" w:eastAsia="zh-CN" w:bidi="ar"/>
        </w:rPr>
        <w:t>2021年未开展绩效自评工作。</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rPr>
        <w:t>十三、其他重要事项情况说明。</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color w:val="auto"/>
          <w:sz w:val="32"/>
          <w:szCs w:val="32"/>
          <w:lang w:val="en-US"/>
        </w:rPr>
      </w:pPr>
      <w:bookmarkStart w:id="95" w:name="_Toc5978_WPSOffice_Level2"/>
      <w:bookmarkStart w:id="96" w:name="_Toc23598_WPSOffice_Level2"/>
      <w:bookmarkStart w:id="97" w:name="_Toc32639_WPSOffice_Level2"/>
      <w:bookmarkStart w:id="98" w:name="_Toc15565_WPSOffice_Level2"/>
      <w:bookmarkStart w:id="99" w:name="_Toc18325_WPSOffice_Level2"/>
      <w:bookmarkStart w:id="100" w:name="_Toc15262_WPSOffice_Level2"/>
      <w:r>
        <w:rPr>
          <w:rFonts w:hint="eastAsia" w:ascii="楷体" w:hAnsi="楷体" w:eastAsia="楷体" w:cs="楷体"/>
          <w:b/>
          <w:bCs w:val="0"/>
          <w:color w:val="auto"/>
          <w:sz w:val="32"/>
          <w:szCs w:val="32"/>
        </w:rPr>
        <w:t>（一）机关运行经费支出情况。</w:t>
      </w:r>
      <w:bookmarkEnd w:id="95"/>
      <w:bookmarkEnd w:id="96"/>
      <w:bookmarkEnd w:id="97"/>
      <w:bookmarkEnd w:id="98"/>
      <w:bookmarkEnd w:id="99"/>
      <w:bookmarkEnd w:id="100"/>
    </w:p>
    <w:p>
      <w:pPr>
        <w:keepNext w:val="0"/>
        <w:keepLines w:val="0"/>
        <w:widowControl/>
        <w:suppressLineNumbers w:val="0"/>
        <w:autoSpaceDE w:val="0"/>
        <w:autoSpaceDN/>
        <w:snapToGrid w:val="0"/>
        <w:spacing w:before="0" w:beforeAutospacing="0" w:after="0" w:afterAutospacing="1" w:line="590" w:lineRule="exact"/>
        <w:ind w:left="0" w:right="0" w:firstLine="640" w:firstLineChars="200"/>
        <w:jc w:val="left"/>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w:t>
      </w:r>
      <w:r>
        <w:rPr>
          <w:rFonts w:hint="eastAsia" w:ascii="仿宋_GB2312" w:hAnsi="ˎ̥" w:eastAsia="仿宋_GB2312" w:cs="仿宋_GB2312"/>
          <w:sz w:val="32"/>
          <w:szCs w:val="32"/>
          <w:lang w:val="en-US" w:eastAsia="zh-CN"/>
        </w:rPr>
        <w:t>屯昌县屯城镇人民政府</w:t>
      </w:r>
      <w:r>
        <w:rPr>
          <w:rFonts w:hint="default" w:ascii="仿宋_GB2312" w:hAnsi="ˎ̥" w:eastAsia="仿宋_GB2312" w:cs="仿宋_GB2312"/>
          <w:sz w:val="32"/>
          <w:szCs w:val="32"/>
        </w:rPr>
        <w:t>部门（单位）机关运行经费</w:t>
      </w:r>
      <w:r>
        <w:rPr>
          <w:rFonts w:hint="eastAsia" w:ascii="仿宋_GB2312" w:hAnsi="ˎ̥" w:eastAsia="仿宋_GB2312" w:cs="仿宋_GB2312"/>
          <w:sz w:val="32"/>
          <w:szCs w:val="32"/>
          <w:lang w:val="en-US" w:eastAsia="zh-CN"/>
        </w:rPr>
        <w:t>1535.16</w:t>
      </w:r>
      <w:r>
        <w:rPr>
          <w:rFonts w:hint="default" w:ascii="仿宋_GB2312" w:hAnsi="ˎ̥" w:eastAsia="仿宋_GB2312" w:cs="仿宋_GB2312"/>
          <w:sz w:val="32"/>
          <w:szCs w:val="32"/>
        </w:rPr>
        <w:t>万元，比年初预算增加</w:t>
      </w:r>
      <w:r>
        <w:rPr>
          <w:rFonts w:hint="eastAsia" w:ascii="仿宋_GB2312" w:hAnsi="ˎ̥" w:eastAsia="仿宋_GB2312" w:cs="仿宋_GB2312"/>
          <w:sz w:val="32"/>
          <w:szCs w:val="32"/>
          <w:lang w:val="en-US" w:eastAsia="zh-CN"/>
        </w:rPr>
        <w:t>206.06</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15.5</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kern w:val="0"/>
          <w:sz w:val="32"/>
          <w:szCs w:val="32"/>
          <w:shd w:val="clear" w:fill="FFFFFF"/>
          <w:lang w:val="en-US" w:eastAsia="zh-CN" w:bidi="ar"/>
        </w:rPr>
        <w:t>增加新冠疫情防控经费</w:t>
      </w:r>
      <w:r>
        <w:rPr>
          <w:rFonts w:hint="eastAsia" w:ascii="仿宋_GB2312" w:hAnsi="ˎ̥" w:eastAsia="仿宋_GB2312" w:cs="仿宋_GB2312"/>
          <w:kern w:val="0"/>
          <w:sz w:val="32"/>
          <w:szCs w:val="32"/>
          <w:lang w:val="en-US" w:eastAsia="zh-CN" w:bidi="ar"/>
        </w:rPr>
        <w:t>和基础设施的投入</w:t>
      </w:r>
      <w:r>
        <w:rPr>
          <w:rFonts w:hint="eastAsia" w:ascii="仿宋_GB2312" w:hAnsi="ˎ̥" w:eastAsia="仿宋_GB2312" w:cs="仿宋_GB2312"/>
          <w:kern w:val="0"/>
          <w:sz w:val="32"/>
          <w:szCs w:val="32"/>
          <w:shd w:val="clear" w:fill="FFFFFF"/>
          <w:lang w:val="en-US" w:eastAsia="zh-CN" w:bidi="ar"/>
        </w:rPr>
        <w:t>。</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sz w:val="32"/>
          <w:szCs w:val="32"/>
          <w:lang w:val="en-US"/>
        </w:rPr>
      </w:pPr>
      <w:bookmarkStart w:id="101" w:name="_Toc32689_WPSOffice_Level2"/>
      <w:bookmarkStart w:id="102" w:name="_Toc25333_WPSOffice_Level2"/>
      <w:bookmarkStart w:id="103" w:name="_Toc23966_WPSOffice_Level2"/>
      <w:bookmarkStart w:id="104" w:name="_Toc3131_WPSOffice_Level2"/>
      <w:bookmarkStart w:id="105" w:name="_Toc30383_WPSOffice_Level2"/>
      <w:bookmarkStart w:id="106" w:name="_Toc13084_WPSOffice_Level2"/>
      <w:r>
        <w:rPr>
          <w:rFonts w:hint="eastAsia" w:ascii="楷体" w:hAnsi="楷体" w:eastAsia="楷体" w:cs="楷体"/>
          <w:b/>
          <w:bCs w:val="0"/>
          <w:sz w:val="32"/>
          <w:szCs w:val="32"/>
        </w:rPr>
        <w:t>（二）政府采购支出情况。</w:t>
      </w:r>
      <w:bookmarkEnd w:id="101"/>
      <w:bookmarkEnd w:id="102"/>
      <w:bookmarkEnd w:id="103"/>
      <w:bookmarkEnd w:id="104"/>
      <w:bookmarkEnd w:id="105"/>
      <w:bookmarkEnd w:id="106"/>
    </w:p>
    <w:p>
      <w:pPr>
        <w:keepNext w:val="0"/>
        <w:keepLines w:val="0"/>
        <w:widowControl/>
        <w:suppressLineNumbers w:val="0"/>
        <w:shd w:val="clear" w:fill="FFFFFF"/>
        <w:snapToGrid w:val="0"/>
        <w:spacing w:before="0" w:beforeAutospacing="1" w:after="0" w:afterAutospacing="1"/>
        <w:ind w:left="0" w:right="0" w:firstLine="640" w:firstLineChars="200"/>
        <w:jc w:val="left"/>
        <w:rPr>
          <w:rFonts w:hint="eastAsia" w:ascii="仿宋_GB2312" w:hAnsi="ˎ̥" w:eastAsia="仿宋_GB2312" w:cs="仿宋_GB2312"/>
          <w:kern w:val="0"/>
          <w:sz w:val="32"/>
          <w:szCs w:val="32"/>
          <w:shd w:val="clear" w:fill="FFFFFF"/>
        </w:rPr>
      </w:pPr>
      <w:bookmarkStart w:id="107" w:name="_Toc29584_WPSOffice_Level2"/>
      <w:bookmarkStart w:id="108" w:name="_Toc10902_WPSOffice_Level2"/>
      <w:bookmarkStart w:id="109" w:name="_Toc19989_WPSOffice_Level2"/>
      <w:bookmarkStart w:id="110" w:name="_Toc15129_WPSOffice_Level2"/>
      <w:bookmarkStart w:id="111" w:name="_Toc6016_WPSOffice_Level2"/>
      <w:bookmarkStart w:id="112" w:name="_Toc527_WPSOffice_Level2"/>
      <w:r>
        <w:rPr>
          <w:rFonts w:hint="eastAsia" w:ascii="仿宋_GB2312" w:hAnsi="ˎ̥" w:eastAsia="仿宋_GB2312" w:cs="仿宋_GB2312"/>
          <w:kern w:val="0"/>
          <w:sz w:val="32"/>
          <w:szCs w:val="32"/>
          <w:shd w:val="clear" w:fill="FFFFFF"/>
          <w:lang w:val="en-US" w:eastAsia="zh-CN" w:bidi="ar"/>
        </w:rPr>
        <w:t>2020年度</w:t>
      </w:r>
      <w:r>
        <w:rPr>
          <w:rFonts w:hint="eastAsia" w:ascii="仿宋_GB2312" w:hAnsi="宋体" w:eastAsia="仿宋_GB2312" w:cs="仿宋_GB2312"/>
          <w:kern w:val="0"/>
          <w:sz w:val="32"/>
          <w:szCs w:val="32"/>
          <w:shd w:val="clear" w:fill="FFFFFF"/>
          <w:lang w:val="en-US" w:eastAsia="zh-CN" w:bidi="ar"/>
        </w:rPr>
        <w:t>屯昌县屯城镇人民政府</w:t>
      </w:r>
      <w:r>
        <w:rPr>
          <w:rFonts w:hint="eastAsia" w:ascii="仿宋_GB2312" w:hAnsi="ˎ̥" w:eastAsia="仿宋_GB2312" w:cs="仿宋_GB2312"/>
          <w:kern w:val="0"/>
          <w:sz w:val="32"/>
          <w:szCs w:val="32"/>
          <w:shd w:val="clear" w:fill="FFFFFF"/>
          <w:lang w:val="en-US" w:eastAsia="zh-CN" w:bidi="ar"/>
        </w:rPr>
        <w:t xml:space="preserve">部门（单位）政府采购支出总额0万元。 </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rPr>
        <w:t>（三）国有资产占用情况。</w:t>
      </w:r>
      <w:bookmarkEnd w:id="107"/>
      <w:bookmarkEnd w:id="108"/>
      <w:bookmarkEnd w:id="109"/>
      <w:bookmarkEnd w:id="110"/>
      <w:bookmarkEnd w:id="111"/>
      <w:bookmarkEnd w:id="112"/>
    </w:p>
    <w:p>
      <w:pPr>
        <w:keepNext w:val="0"/>
        <w:keepLines w:val="0"/>
        <w:widowControl w:val="0"/>
        <w:suppressLineNumbers w:val="0"/>
        <w:autoSpaceDE w:val="0"/>
        <w:autoSpaceDN/>
        <w:snapToGrid w:val="0"/>
        <w:spacing w:before="0" w:beforeAutospacing="0" w:after="0" w:afterAutospacing="0" w:line="590" w:lineRule="exact"/>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截至2020年度12月31日，</w:t>
      </w:r>
      <w:r>
        <w:rPr>
          <w:rFonts w:hint="eastAsia" w:ascii="仿宋_GB2312" w:hAnsi="ˎ̥" w:eastAsia="仿宋_GB2312" w:cs="仿宋_GB2312"/>
          <w:kern w:val="0"/>
          <w:sz w:val="32"/>
          <w:szCs w:val="32"/>
          <w:lang w:val="en-US" w:eastAsia="zh-CN" w:bidi="ar"/>
        </w:rPr>
        <w:t>本部门占用房屋面积</w:t>
      </w:r>
      <w:r>
        <w:rPr>
          <w:rFonts w:hint="eastAsia" w:ascii="仿宋_GB2312" w:hAnsi="ˎ̥" w:eastAsia="仿宋_GB2312" w:cs="宋体"/>
          <w:kern w:val="0"/>
          <w:sz w:val="32"/>
          <w:szCs w:val="32"/>
          <w:lang w:val="en-US" w:eastAsia="zh-CN" w:bidi="ar"/>
        </w:rPr>
        <w:t>875</w:t>
      </w:r>
      <w:r>
        <w:rPr>
          <w:rFonts w:hint="eastAsia" w:ascii="仿宋_GB2312" w:hAnsi="ˎ̥" w:eastAsia="仿宋_GB2312" w:cs="仿宋_GB2312"/>
          <w:kern w:val="0"/>
          <w:sz w:val="32"/>
          <w:szCs w:val="32"/>
          <w:lang w:val="en-US" w:eastAsia="zh-CN" w:bidi="ar"/>
        </w:rPr>
        <w:t>平方米，其中：办公用房</w:t>
      </w:r>
      <w:r>
        <w:rPr>
          <w:rFonts w:hint="eastAsia" w:ascii="仿宋_GB2312" w:hAnsi="ˎ̥" w:eastAsia="仿宋_GB2312" w:cs="宋体"/>
          <w:kern w:val="0"/>
          <w:sz w:val="32"/>
          <w:szCs w:val="32"/>
          <w:lang w:val="en-US" w:eastAsia="zh-CN" w:bidi="ar"/>
        </w:rPr>
        <w:t>850</w:t>
      </w:r>
      <w:r>
        <w:rPr>
          <w:rFonts w:hint="eastAsia" w:ascii="仿宋_GB2312" w:hAnsi="ˎ̥" w:eastAsia="仿宋_GB2312" w:cs="仿宋_GB2312"/>
          <w:kern w:val="0"/>
          <w:sz w:val="32"/>
          <w:szCs w:val="32"/>
          <w:lang w:val="en-US" w:eastAsia="zh-CN" w:bidi="ar"/>
        </w:rPr>
        <w:t>平方米，业务用房</w:t>
      </w:r>
      <w:r>
        <w:rPr>
          <w:rFonts w:hint="eastAsia" w:ascii="仿宋_GB2312" w:hAnsi="ˎ̥" w:eastAsia="仿宋_GB2312" w:cs="宋体"/>
          <w:kern w:val="0"/>
          <w:sz w:val="32"/>
          <w:szCs w:val="32"/>
          <w:lang w:val="en-US" w:eastAsia="zh-CN" w:bidi="ar"/>
        </w:rPr>
        <w:t>0</w:t>
      </w:r>
      <w:r>
        <w:rPr>
          <w:rFonts w:hint="eastAsia" w:ascii="仿宋_GB2312" w:hAnsi="ˎ̥" w:eastAsia="仿宋_GB2312" w:cs="仿宋_GB2312"/>
          <w:kern w:val="0"/>
          <w:sz w:val="32"/>
          <w:szCs w:val="32"/>
          <w:lang w:val="en-US" w:eastAsia="zh-CN" w:bidi="ar"/>
        </w:rPr>
        <w:t>平方米，其他（不含构筑物）</w:t>
      </w:r>
      <w:r>
        <w:rPr>
          <w:rFonts w:hint="eastAsia" w:ascii="仿宋_GB2312" w:hAnsi="ˎ̥" w:eastAsia="仿宋_GB2312" w:cs="宋体"/>
          <w:kern w:val="0"/>
          <w:sz w:val="32"/>
          <w:szCs w:val="32"/>
          <w:lang w:val="en-US" w:eastAsia="zh-CN" w:bidi="ar"/>
        </w:rPr>
        <w:t>25</w:t>
      </w:r>
      <w:r>
        <w:rPr>
          <w:rFonts w:hint="eastAsia" w:ascii="仿宋_GB2312" w:hAnsi="ˎ̥" w:eastAsia="仿宋_GB2312" w:cs="仿宋_GB2312"/>
          <w:kern w:val="0"/>
          <w:sz w:val="32"/>
          <w:szCs w:val="32"/>
          <w:lang w:val="en-US" w:eastAsia="zh-CN" w:bidi="ar"/>
        </w:rPr>
        <w:t>平方米。</w:t>
      </w:r>
    </w:p>
    <w:p>
      <w:pPr>
        <w:keepNext w:val="0"/>
        <w:keepLines w:val="0"/>
        <w:widowControl/>
        <w:suppressLineNumbers w:val="0"/>
        <w:shd w:val="clear" w:fill="FFFFFF"/>
        <w:snapToGrid w:val="0"/>
        <w:spacing w:before="0" w:beforeAutospacing="1" w:after="0" w:afterAutospacing="1" w:line="578" w:lineRule="exact"/>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本部门共有车辆3辆，其中：从车辆种类说明：越野车2辆、其他用车1辆，其他用车主要是皮卡执法用车；从车辆使用情况说明：副部（省）级及以上领导用车0辆、主要领导干部用车2辆、机要通信用车0辆、应急保障用车0辆、执法执勤用车1辆、特种专业技术用车0辆、离退休干部用车0辆、其他用车0辆。</w:t>
      </w:r>
    </w:p>
    <w:p>
      <w:pPr>
        <w:keepNext w:val="0"/>
        <w:keepLines w:val="0"/>
        <w:widowControl/>
        <w:suppressLineNumbers w:val="0"/>
        <w:shd w:val="clear" w:fill="FFFFFF"/>
        <w:snapToGrid w:val="0"/>
        <w:spacing w:before="0" w:beforeAutospacing="1" w:after="0" w:afterAutospacing="1" w:line="578" w:lineRule="exact"/>
        <w:ind w:left="0" w:right="0" w:firstLine="640" w:firstLineChars="20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bidi="ar"/>
        </w:rPr>
        <w:t>单位价值50万元（含）以上通用设备0台（套），单价100万元（含）以上专用设备0台（套）。</w:t>
      </w:r>
    </w:p>
    <w:p>
      <w:pPr>
        <w:keepNext w:val="0"/>
        <w:keepLines w:val="0"/>
        <w:widowControl/>
        <w:suppressLineNumbers w:val="0"/>
        <w:shd w:val="clear" w:fill="FFFFFF"/>
        <w:snapToGrid w:val="0"/>
        <w:spacing w:before="0" w:beforeAutospacing="1" w:after="0" w:afterAutospacing="1" w:line="578" w:lineRule="exact"/>
        <w:ind w:left="0" w:right="0" w:firstLine="640" w:firstLineChars="200"/>
        <w:jc w:val="left"/>
        <w:rPr>
          <w:rFonts w:hint="default" w:ascii="仿宋_GB2312" w:hAnsi="ˎ̥" w:eastAsia="仿宋_GB2312" w:cs="仿宋_GB2312"/>
          <w:sz w:val="32"/>
          <w:szCs w:val="32"/>
          <w:lang w:val="en-US"/>
        </w:rPr>
      </w:pPr>
      <w:r>
        <w:rPr>
          <w:rFonts w:hint="eastAsia" w:ascii="仿宋_GB2312" w:hAnsi="ˎ̥" w:eastAsia="仿宋_GB2312" w:cs="仿宋_GB2312"/>
          <w:kern w:val="0"/>
          <w:sz w:val="32"/>
          <w:szCs w:val="32"/>
          <w:shd w:val="clear" w:fill="FFFFFF"/>
          <w:lang w:val="en-US" w:eastAsia="zh-CN" w:bidi="ar"/>
        </w:rPr>
        <w:t>年末在建工程0万元。</w:t>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bookmarkStart w:id="113" w:name="_Toc17580_WPSOffice_Level1"/>
      <w:bookmarkStart w:id="114" w:name="_Toc8808_WPSOffice_Level1"/>
      <w:bookmarkStart w:id="115" w:name="_Toc15425_WPSOffice_Level1"/>
      <w:bookmarkStart w:id="116" w:name="_Toc4398_WPSOffice_Level1"/>
      <w:bookmarkStart w:id="117" w:name="_Toc11039_WPSOffice_Level1"/>
      <w:bookmarkStart w:id="118" w:name="_Toc8874_WPSOffice_Level1"/>
      <w:r>
        <w:rPr>
          <w:rFonts w:hint="eastAsia" w:ascii="黑体" w:hAnsi="ˎ̥" w:eastAsia="黑体" w:cs="黑体"/>
          <w:sz w:val="32"/>
          <w:szCs w:val="32"/>
        </w:rPr>
        <w:t>第四部分</w:t>
      </w:r>
      <w:r>
        <w:rPr>
          <w:rFonts w:hint="eastAsia" w:ascii="黑体" w:hAnsi="ˎ̥" w:eastAsia="黑体" w:cs="黑体"/>
          <w:sz w:val="32"/>
          <w:szCs w:val="32"/>
          <w:lang w:val="en-US"/>
        </w:rPr>
        <w:t xml:space="preserve">  </w:t>
      </w:r>
      <w:r>
        <w:rPr>
          <w:rFonts w:hint="eastAsia" w:ascii="黑体" w:hAnsi="ˎ̥" w:eastAsia="黑体" w:cs="黑体"/>
          <w:sz w:val="32"/>
          <w:szCs w:val="32"/>
        </w:rPr>
        <w:t>名词解释</w:t>
      </w:r>
      <w:bookmarkEnd w:id="113"/>
      <w:bookmarkEnd w:id="114"/>
      <w:bookmarkEnd w:id="115"/>
      <w:bookmarkEnd w:id="116"/>
      <w:bookmarkEnd w:id="117"/>
      <w:bookmarkEnd w:id="118"/>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p>
    <w:p>
      <w:pPr>
        <w:keepNext w:val="0"/>
        <w:keepLines w:val="0"/>
        <w:widowControl/>
        <w:numPr>
          <w:ilvl w:val="0"/>
          <w:numId w:val="4"/>
        </w:numPr>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财政拨款收入：指同级政府财政部门当年拨付的各类财政拨款。</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三、事业收入：指事业单位开展专业业务活动及辅助活动取得的收入。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五、附属单位上缴收入：指事业单位取得附属独立核算单位根据有关规定上缴的收入。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六、其他收入：指除上述“财政拨款收入”“事业收入”“上级补助收入”“经营收入”“附属单位上缴收入”等以外的收入。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八、年初结转和结余：指以前年度尚未完成、结转到本年按有关规定继续使用的资金。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九、结余分配：指事业单位按规定提取的专用基金和缴纳的所得税。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十一、基本支出：指为保障机构正常运转、完成日常工作任务而发生的人员支出和公用支出。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十二、项目支出：指在基本支出之外为完成特定行政任务和事业发展目标所发生的支出。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十三、经营支出：指事业单位在专业业务活动及其辅助活动之外开展非独立核算经营活动发生的支出。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ind w:left="0" w:right="0"/>
        <w:rPr>
          <w:rFonts w:hint="default" w:ascii="仿宋_GB2312" w:hAnsi="ˎ̥" w:eastAsia="仿宋_GB2312" w:cs="仿宋_GB2312"/>
          <w:sz w:val="32"/>
          <w:szCs w:val="32"/>
          <w:lang w:val="en-US"/>
        </w:rPr>
      </w:pPr>
    </w:p>
    <w:sectPr>
      <w:footerReference r:id="rId3" w:type="default"/>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74EBC"/>
    <w:multiLevelType w:val="multilevel"/>
    <w:tmpl w:val="B6474EBC"/>
    <w:lvl w:ilvl="0" w:tentative="0">
      <w:start w:val="4"/>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E17F6B1F"/>
    <w:multiLevelType w:val="multilevel"/>
    <w:tmpl w:val="E17F6B1F"/>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0CE7F6A5"/>
    <w:multiLevelType w:val="multilevel"/>
    <w:tmpl w:val="0CE7F6A5"/>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5B7EABD8"/>
    <w:multiLevelType w:val="singleLevel"/>
    <w:tmpl w:val="5B7EABD8"/>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OGExNzdmZjJjYWUwNmU3YWZlOTFmZGY5ZjRkN2EifQ=="/>
  </w:docVars>
  <w:rsids>
    <w:rsidRoot w:val="00000000"/>
    <w:rsid w:val="038B4900"/>
    <w:rsid w:val="07F14A01"/>
    <w:rsid w:val="0D8028B2"/>
    <w:rsid w:val="15342705"/>
    <w:rsid w:val="1BDE6489"/>
    <w:rsid w:val="1C816EC5"/>
    <w:rsid w:val="240B2287"/>
    <w:rsid w:val="26256F6C"/>
    <w:rsid w:val="336F1825"/>
    <w:rsid w:val="337D5F58"/>
    <w:rsid w:val="38D90E04"/>
    <w:rsid w:val="3C515BB7"/>
    <w:rsid w:val="429E5D70"/>
    <w:rsid w:val="45A969EB"/>
    <w:rsid w:val="47543636"/>
    <w:rsid w:val="4911530A"/>
    <w:rsid w:val="4ED70D4F"/>
    <w:rsid w:val="501036E9"/>
    <w:rsid w:val="5C0442AB"/>
    <w:rsid w:val="5D1C280C"/>
    <w:rsid w:val="5EA256F6"/>
    <w:rsid w:val="686C6ABC"/>
    <w:rsid w:val="70676B99"/>
    <w:rsid w:val="77260857"/>
    <w:rsid w:val="7BE71557"/>
    <w:rsid w:val="7BF91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6487</Words>
  <Characters>7194</Characters>
  <TotalTime>20</TotalTime>
  <ScaleCrop>false</ScaleCrop>
  <LinksUpToDate>false</LinksUpToDate>
  <CharactersWithSpaces>8138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2022-10-21T08:45:00Z</dcterms:created>
  <dc:creator>Administrator</dc:creator>
  <cp:lastModifiedBy>A00海南十億光年～</cp:lastModifiedBy>
  <dcterms:modified xsi:type="dcterms:W3CDTF">2022-11-03T08:18:24Z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868C2F8288BE4A9EBEAAA46270E6DAA7</vt:lpwstr>
  </property>
</Properties>
</file>