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屯昌县社会投资项目“五评合一”实施方案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黑体" w:hAnsi="宋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为了有效解决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投资项目前期评估评审过程中存在的环节多、耗时长等突出问题，营造良好营商环境，根据《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屯昌县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推进“一枚印章管审批”改革实施方案》要求，结合实际，现就全面开展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屯昌县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权限内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投资项目固定资产节能审查、建设项目环境影响评价、建设项目入河排污口论证、生产建设项目水土保持方案、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洪水影响评价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等“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评合一”工作，特制定本实施方案。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zh-CN"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zh-CN" w:eastAsia="zh-CN"/>
        </w:rPr>
        <w:t>一、工作目标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对标国内一流营商环境要求，进一步压减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投资项目的审批环节、材料、时间、费用，实施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屯昌县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投资项目“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评合一”等试点改革工作。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zh-CN"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zh-CN" w:eastAsia="zh-CN"/>
        </w:rPr>
        <w:t>二、实施内容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投资项目实施“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评合一”事项主要包括：权限内固定资产节能评估和审查、权限内建设项目环境影响报告书（表）、权限内建设项目排污许可、权限内水土保持审查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权限内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洪水影响评价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。以全面整合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投资项目环保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水保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评合一”为抓手，实行投资项目节能审查、环境影响评价、入河排污口、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水土保持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和洪水影响评价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个事项“一次告知、一次申请、一次踏勘、同步评审、统一（分类）出件”服务模式，并在“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评合一”的基础上探索推进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屯昌县社会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投资项目“多评合一”改革，提高行政审批效率。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zh-CN"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zh-CN" w:eastAsia="zh-CN"/>
        </w:rPr>
        <w:t>三、工作流程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根据项目单位意愿和项目实际情况，将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投资项目前期论证所涉及权限内固定资产节能评估和审查、权限内建设项目环境影响报告书（表）、权限内建设项目排污许可、权限内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水土保持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权限内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洪水影响评价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纳入“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评合一”管理，减少审批环节、优化审批流程，实现“一次告知、一次申请、一次踏勘、同步评审、统一（分类）出件”，具体工作流程如下：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（一）一次告知（靠前服务）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县营商环境建设局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根据项目类别、建设内容和规模，对项目业主出具“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评合一”一次性告知书，明确须评估评审事项清单和编制要求，对项目单位开展前期咨询导办服务。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（二）一次申请（1 个工作日）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项目单位向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政务服务大厅综合窗口提出“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评合一”申请和相关材料，由综合窗口受理，并转送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县营商环境建设局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（三）一次踏勘（3 个工作日）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在各类评估报告编制完成后，项目单位统一报送综合窗口受理，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县营商环境建设局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根据需要作出踏勘决定，明确踏勘具体时间、内容及相关注意事项。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县营商环境建设局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同相关部门人员按照要求进行踏勘，如实记录踏勘情况并形成踏勘结论。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（四）同步评审（7 个工作日）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踏勘结束后，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县营商环境建设局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在 7 个工作日内组织第三方机构评审或组织专家评审，或进行备案，评估（审）完成后，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县营商环境建设局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将评审报告反馈项目单位或编制单位，各评估报告在评审后按专家意见进行修改、补充、完善资料等。时间不计入“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评合一”项目办理周期。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（五）统一（分类）出件（ 7 个工作日）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评估评审完成后，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县营商环境建设局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根据评估报告、评估评审意见及其它法定要求提交材料开展审批，在承诺的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个工作日内出具相关审批或审查意见。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项目业主单位如果不按行政审批部门有效告知补正材料或整改，导致项目无法实施或“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评合一”无法开展的，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县营商环境建设局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可以作出“办件终止”决定，并反馈综合窗口，由综合窗口通知项目单位。因项目类型不同，部分项目无需经过上述所有流程，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县营商环境建设局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可结合实际优化整合评估环节，压缩审批周期，提高审批效率。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zh-CN"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zh-CN" w:eastAsia="zh-CN"/>
        </w:rPr>
        <w:t>、保障措施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（一）统一思想认识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屯昌县社会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投资项目环保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水保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评合一”审批模式是对投资项目前期论证所涉及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个审批事项的整合优化和集成服务，各相关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要自觉服从和服务于深化行政审批制度改革这一总体目标要求，统一思想认识，密切协作配合，形成工作合力，促进工作顺利实施。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（二）健全工作机制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审批改革领导小组统一领导下，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县营商环境建设局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行政主管部门和综合执法部门要按照职责分工，切实做好涉及技术性评估事项审批、踏勘等工作。各部门要高度重视，制定操作细则，完善工作机制，层层压实责任。各部门要积极发挥协调作用，做好咨询受理、告知反馈、集中评审、跟踪督办等工作。评审费用由同级财政部门纳入部门预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政务服务中心要积极协调省事项梳理组，在海南省政务服务网开设“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评合一”服务事项，以便企业线上申请，助力企业“零跑动”。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474" w:bottom="1701" w:left="1587" w:header="851" w:footer="992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C1AAC"/>
    <w:rsid w:val="00057F2B"/>
    <w:rsid w:val="00613021"/>
    <w:rsid w:val="00CB444D"/>
    <w:rsid w:val="01691DCD"/>
    <w:rsid w:val="017026B9"/>
    <w:rsid w:val="0422259E"/>
    <w:rsid w:val="074C70B4"/>
    <w:rsid w:val="0BDA34BC"/>
    <w:rsid w:val="0C7B2ADE"/>
    <w:rsid w:val="0CD32DE6"/>
    <w:rsid w:val="0CD63E82"/>
    <w:rsid w:val="0D0040ED"/>
    <w:rsid w:val="0D9A2D96"/>
    <w:rsid w:val="0E4C1AAC"/>
    <w:rsid w:val="0F332711"/>
    <w:rsid w:val="111472FD"/>
    <w:rsid w:val="12E07F34"/>
    <w:rsid w:val="13B131BE"/>
    <w:rsid w:val="16F11904"/>
    <w:rsid w:val="182338AE"/>
    <w:rsid w:val="19884D08"/>
    <w:rsid w:val="1A0052CA"/>
    <w:rsid w:val="1E822116"/>
    <w:rsid w:val="1F5C5438"/>
    <w:rsid w:val="215D366E"/>
    <w:rsid w:val="21E37683"/>
    <w:rsid w:val="24994023"/>
    <w:rsid w:val="27236D1B"/>
    <w:rsid w:val="28382B36"/>
    <w:rsid w:val="296D2313"/>
    <w:rsid w:val="2ADD43B9"/>
    <w:rsid w:val="2AE63701"/>
    <w:rsid w:val="2DA67D3C"/>
    <w:rsid w:val="30045712"/>
    <w:rsid w:val="3172041E"/>
    <w:rsid w:val="31735B16"/>
    <w:rsid w:val="31904164"/>
    <w:rsid w:val="34752936"/>
    <w:rsid w:val="35AF70A0"/>
    <w:rsid w:val="37FA7742"/>
    <w:rsid w:val="38A46031"/>
    <w:rsid w:val="39B47964"/>
    <w:rsid w:val="39D146B4"/>
    <w:rsid w:val="39E94B68"/>
    <w:rsid w:val="3B3F526B"/>
    <w:rsid w:val="3F5003AB"/>
    <w:rsid w:val="42AC6452"/>
    <w:rsid w:val="446B4E3B"/>
    <w:rsid w:val="44CC6FCD"/>
    <w:rsid w:val="46472B2A"/>
    <w:rsid w:val="47210FE9"/>
    <w:rsid w:val="47AE4445"/>
    <w:rsid w:val="48414CEA"/>
    <w:rsid w:val="4A1944BE"/>
    <w:rsid w:val="4B426467"/>
    <w:rsid w:val="4C0649E9"/>
    <w:rsid w:val="4D423DA3"/>
    <w:rsid w:val="4F660FBA"/>
    <w:rsid w:val="516F6A31"/>
    <w:rsid w:val="52AB27D5"/>
    <w:rsid w:val="54192F7A"/>
    <w:rsid w:val="54196F4D"/>
    <w:rsid w:val="54521470"/>
    <w:rsid w:val="54D53353"/>
    <w:rsid w:val="54F401AF"/>
    <w:rsid w:val="562E69B0"/>
    <w:rsid w:val="5694429D"/>
    <w:rsid w:val="570A69DB"/>
    <w:rsid w:val="5B7D7DF7"/>
    <w:rsid w:val="5CF72180"/>
    <w:rsid w:val="5E494A85"/>
    <w:rsid w:val="5E675FCD"/>
    <w:rsid w:val="5F7E664C"/>
    <w:rsid w:val="5FB67535"/>
    <w:rsid w:val="5FD93A96"/>
    <w:rsid w:val="5FE90D0F"/>
    <w:rsid w:val="65D77EF7"/>
    <w:rsid w:val="66B45809"/>
    <w:rsid w:val="67B462A0"/>
    <w:rsid w:val="68CE2E6D"/>
    <w:rsid w:val="692C77B1"/>
    <w:rsid w:val="6B1319A2"/>
    <w:rsid w:val="6D135B1E"/>
    <w:rsid w:val="6D467B86"/>
    <w:rsid w:val="6D955E7E"/>
    <w:rsid w:val="6E267426"/>
    <w:rsid w:val="6EA663F6"/>
    <w:rsid w:val="6EAD746E"/>
    <w:rsid w:val="6EF41BFD"/>
    <w:rsid w:val="70757549"/>
    <w:rsid w:val="70EF1648"/>
    <w:rsid w:val="75467E96"/>
    <w:rsid w:val="75713B71"/>
    <w:rsid w:val="75C579C9"/>
    <w:rsid w:val="77730525"/>
    <w:rsid w:val="788737DA"/>
    <w:rsid w:val="7A181BED"/>
    <w:rsid w:val="7A1A482D"/>
    <w:rsid w:val="7ABD70DF"/>
    <w:rsid w:val="7B001129"/>
    <w:rsid w:val="7B0C7F59"/>
    <w:rsid w:val="7B7D728B"/>
    <w:rsid w:val="7C06642B"/>
    <w:rsid w:val="7C61077D"/>
    <w:rsid w:val="7C95271E"/>
    <w:rsid w:val="7CD46E35"/>
    <w:rsid w:val="7DEF408E"/>
    <w:rsid w:val="7EE0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200" w:firstLineChars="200"/>
    </w:pPr>
    <w:rPr>
      <w:rFonts w:ascii="等线 Light" w:hAnsi="等线 Light" w:eastAsia="仿宋" w:cs="等线 Light"/>
      <w:szCs w:val="24"/>
    </w:rPr>
  </w:style>
  <w:style w:type="paragraph" w:styleId="3">
    <w:name w:val="Body Text Indent"/>
    <w:basedOn w:val="1"/>
    <w:next w:val="4"/>
    <w:qFormat/>
    <w:uiPriority w:val="0"/>
    <w:pPr>
      <w:spacing w:line="360" w:lineRule="auto"/>
      <w:ind w:firstLine="420"/>
    </w:pPr>
    <w:rPr>
      <w:rFonts w:ascii="宋体" w:hAnsi="Times New Roman"/>
      <w:sz w:val="24"/>
      <w:szCs w:val="20"/>
      <w:lang w:val="zh-CN"/>
    </w:rPr>
  </w:style>
  <w:style w:type="paragraph" w:styleId="4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5">
    <w:name w:val="Body Text First Indent"/>
    <w:basedOn w:val="6"/>
    <w:next w:val="2"/>
    <w:qFormat/>
    <w:uiPriority w:val="0"/>
    <w:pPr>
      <w:spacing w:line="360" w:lineRule="auto"/>
      <w:ind w:firstLine="309" w:firstLineChars="100"/>
      <w:outlineLvl w:val="0"/>
    </w:pPr>
    <w:rPr>
      <w:rFonts w:ascii="仿宋"/>
      <w:bCs/>
      <w:color w:val="000000"/>
      <w:kern w:val="28"/>
      <w:szCs w:val="21"/>
    </w:rPr>
  </w:style>
  <w:style w:type="paragraph" w:styleId="6">
    <w:name w:val="Body Text"/>
    <w:basedOn w:val="1"/>
    <w:next w:val="5"/>
    <w:qFormat/>
    <w:uiPriority w:val="0"/>
    <w:pPr>
      <w:spacing w:after="120" w:afterLines="0" w:afterAutospacing="0"/>
    </w:p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2023-04-21T03:03:00Z</dcterms:created>
  <dc:creator>张黎冰</dc:creator>
  <cp:lastModifiedBy>mint&amp;ice</cp:lastModifiedBy>
  <dcterms:modified xsi:type="dcterms:W3CDTF">2023-10-10T06:50:23Z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C971F5999E164C169C978D6819CAE3B8</vt:lpwstr>
  </property>
</Properties>
</file>