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58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32"/>
              </w:rPr>
              <w:t>附件1</w:t>
            </w:r>
          </w:p>
        </w:tc>
      </w:tr>
    </w:tbl>
    <w:p>
      <w:pPr>
        <w:spacing w:line="620" w:lineRule="exact"/>
        <w:rPr>
          <w:rFonts w:hint="eastAsia" w:ascii="仿宋" w:hAnsi="仿宋" w:eastAsia="仿宋"/>
          <w:b/>
          <w:bCs/>
          <w:szCs w:val="32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财政支出项目绩效评价报告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评价类型：</w:t>
      </w:r>
      <w:r>
        <w:rPr>
          <w:rFonts w:hint="eastAsia" w:ascii="仿宋" w:hAnsi="仿宋" w:eastAsia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>实施过程评价</w:t>
      </w:r>
      <w:r>
        <w:rPr>
          <w:rFonts w:hint="eastAsia"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pacing w:val="-20"/>
          <w:sz w:val="36"/>
          <w:u w:val="single"/>
          <w:lang w:eastAsia="zh-CN"/>
        </w:rPr>
        <w:t>☑</w:t>
      </w:r>
      <w:r>
        <w:rPr>
          <w:rFonts w:hint="eastAsia" w:ascii="仿宋" w:hAnsi="仿宋" w:eastAsia="仿宋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项目名称：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现役义务兵家属优待金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项目单位：</w:t>
      </w:r>
      <w:r>
        <w:rPr>
          <w:rFonts w:hint="eastAsia" w:ascii="仿宋" w:hAnsi="仿宋" w:eastAsia="仿宋"/>
          <w:strike w:val="0"/>
          <w:dstrike w:val="0"/>
          <w:sz w:val="28"/>
          <w:szCs w:val="28"/>
          <w:u w:val="single"/>
          <w:lang w:val="en-US" w:eastAsia="zh-CN"/>
        </w:rPr>
        <w:t>屯昌县退役军人事务局</w:t>
      </w:r>
      <w:r>
        <w:rPr>
          <w:rFonts w:hint="eastAsia" w:ascii="仿宋" w:hAnsi="仿宋" w:eastAsia="仿宋"/>
          <w:strike w:val="0"/>
          <w:dstrike w:val="0"/>
          <w:sz w:val="28"/>
          <w:szCs w:val="28"/>
          <w:u w:val="single"/>
        </w:rPr>
        <w:t xml:space="preserve">               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主管部门：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海南省退役军人事务厅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评价时间：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年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月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日至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年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31</w:t>
      </w:r>
      <w:r>
        <w:rPr>
          <w:rFonts w:hint="eastAsia" w:ascii="仿宋" w:hAnsi="仿宋" w:eastAsia="仿宋"/>
          <w:sz w:val="28"/>
          <w:szCs w:val="28"/>
          <w:u w:val="single"/>
        </w:rPr>
        <w:t>日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组织方式：</w:t>
      </w:r>
      <w:r>
        <w:rPr>
          <w:rFonts w:hint="eastAsia" w:ascii="仿宋" w:hAnsi="仿宋" w:eastAsia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财政部门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>主管部门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pacing w:val="-20"/>
          <w:sz w:val="36"/>
          <w:u w:val="single"/>
          <w:lang w:eastAsia="zh-CN"/>
        </w:rPr>
        <w:t>☑</w:t>
      </w:r>
      <w:r>
        <w:rPr>
          <w:rFonts w:hint="eastAsia" w:ascii="仿宋" w:hAnsi="仿宋" w:eastAsia="仿宋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评价机构：</w:t>
      </w:r>
      <w:r>
        <w:rPr>
          <w:rFonts w:hint="eastAsia" w:ascii="仿宋" w:hAnsi="仿宋" w:eastAsia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中介机构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专家组 </w:t>
      </w:r>
      <w:r>
        <w:rPr>
          <w:rFonts w:hint="eastAsia"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pacing w:val="-20"/>
          <w:sz w:val="36"/>
          <w:u w:val="single"/>
          <w:lang w:eastAsia="zh-CN"/>
        </w:rPr>
        <w:t>☑</w:t>
      </w:r>
      <w:r>
        <w:rPr>
          <w:rFonts w:hint="eastAsia" w:ascii="仿宋" w:hAnsi="仿宋" w:eastAsia="仿宋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Cs w:val="28"/>
        </w:rPr>
      </w:pPr>
    </w:p>
    <w:p>
      <w:pPr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        </w:t>
      </w:r>
    </w:p>
    <w:p>
      <w:pPr>
        <w:ind w:left="1600" w:hanging="1600" w:hangingChars="500"/>
        <w:jc w:val="center"/>
        <w:rPr>
          <w:rFonts w:hint="eastAsia" w:ascii="仿宋" w:hAnsi="仿宋" w:eastAsia="仿宋"/>
          <w:szCs w:val="28"/>
          <w:lang w:eastAsia="zh-CN"/>
        </w:rPr>
      </w:pPr>
      <w:r>
        <w:rPr>
          <w:rFonts w:hint="eastAsia" w:ascii="仿宋" w:hAnsi="仿宋" w:eastAsia="仿宋"/>
          <w:szCs w:val="28"/>
        </w:rPr>
        <w:t>评价单位（盖章）：</w:t>
      </w:r>
      <w:r>
        <w:rPr>
          <w:rFonts w:hint="eastAsia" w:ascii="仿宋" w:hAnsi="仿宋" w:eastAsia="仿宋"/>
          <w:szCs w:val="28"/>
          <w:lang w:eastAsia="zh-CN"/>
        </w:rPr>
        <w:t>屯昌县退役军人事务局</w:t>
      </w:r>
    </w:p>
    <w:p>
      <w:pPr>
        <w:pStyle w:val="6"/>
        <w:spacing w:line="620" w:lineRule="exact"/>
        <w:ind w:firstLine="0" w:firstLineChars="0"/>
        <w:jc w:val="center"/>
        <w:rPr>
          <w:rFonts w:hint="eastAsia" w:ascii="仿宋" w:hAnsi="仿宋" w:eastAsia="仿宋"/>
          <w:b/>
          <w:bCs/>
          <w:szCs w:val="32"/>
          <w:lang w:val="en-US" w:eastAsia="zh-CN"/>
        </w:rPr>
      </w:pPr>
      <w:r>
        <w:rPr>
          <w:rFonts w:hint="eastAsia" w:ascii="仿宋" w:hAnsi="仿宋" w:eastAsia="仿宋"/>
          <w:szCs w:val="28"/>
        </w:rPr>
        <w:t>上报时间：</w:t>
      </w:r>
      <w:r>
        <w:rPr>
          <w:rFonts w:hint="eastAsia" w:ascii="仿宋" w:hAnsi="仿宋" w:eastAsia="仿宋"/>
          <w:b/>
          <w:bCs/>
          <w:szCs w:val="32"/>
          <w:lang w:val="en-US" w:eastAsia="zh-CN"/>
        </w:rPr>
        <w:t>2022.07.08</w:t>
      </w:r>
    </w:p>
    <w:p>
      <w:pPr>
        <w:pStyle w:val="6"/>
        <w:spacing w:line="620" w:lineRule="exact"/>
        <w:ind w:firstLine="0" w:firstLineChars="0"/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360" w:lineRule="auto"/>
        <w:ind w:firstLine="600" w:firstLineChars="200"/>
        <w:jc w:val="lef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30"/>
        </w:rPr>
        <w:t>项目名称：现役义务兵家属优待金</w:t>
      </w:r>
    </w:p>
    <w:tbl>
      <w:tblPr>
        <w:tblStyle w:val="4"/>
        <w:tblW w:w="8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05"/>
        <w:gridCol w:w="1830"/>
        <w:gridCol w:w="859"/>
        <w:gridCol w:w="795"/>
        <w:gridCol w:w="85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指标类型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指标名称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绩效目标</w:t>
            </w:r>
          </w:p>
        </w:tc>
        <w:tc>
          <w:tcPr>
            <w:tcW w:w="3424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384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05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30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良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产出指标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数量指标</w:t>
            </w:r>
          </w:p>
        </w:tc>
        <w:tc>
          <w:tcPr>
            <w:tcW w:w="183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发放到位率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质量指标</w:t>
            </w:r>
          </w:p>
        </w:tc>
        <w:tc>
          <w:tcPr>
            <w:tcW w:w="183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符合发放条件发放比率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成效指标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时效指标</w:t>
            </w:r>
          </w:p>
        </w:tc>
        <w:tc>
          <w:tcPr>
            <w:tcW w:w="183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发放及时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83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……</w:t>
            </w:r>
          </w:p>
        </w:tc>
        <w:tc>
          <w:tcPr>
            <w:tcW w:w="183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效率指标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社会效益在指标</w:t>
            </w:r>
          </w:p>
        </w:tc>
        <w:tc>
          <w:tcPr>
            <w:tcW w:w="183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激励城乡适龄青年踊跃参军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可持续影响指标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巩固军政军民团结、促进经济发展和社会稳定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pStyle w:val="6"/>
        <w:spacing w:line="440" w:lineRule="exact"/>
        <w:ind w:firstLine="0" w:firstLineChars="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注：预算批复的绩效目标如有调整的，需在报告中加以说明。新增（包括需调整）目标的项目</w:t>
      </w:r>
      <w:r>
        <w:rPr>
          <w:rFonts w:hint="eastAsia" w:ascii="仿宋" w:hAnsi="仿宋" w:eastAsia="仿宋"/>
          <w:sz w:val="24"/>
          <w:szCs w:val="32"/>
        </w:rPr>
        <w:t>可参照2016年预算编制中我厅已审核同类型项目目标重新设置或调整填报。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spacing w:line="440" w:lineRule="exact"/>
        <w:jc w:val="both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项目基本信息</w:t>
      </w:r>
    </w:p>
    <w:p>
      <w:pPr>
        <w:spacing w:line="44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tbl>
      <w:tblPr>
        <w:tblStyle w:val="4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473"/>
        <w:gridCol w:w="244"/>
        <w:gridCol w:w="296"/>
        <w:gridCol w:w="349"/>
        <w:gridCol w:w="637"/>
        <w:gridCol w:w="397"/>
        <w:gridCol w:w="1188"/>
        <w:gridCol w:w="357"/>
        <w:gridCol w:w="107"/>
        <w:gridCol w:w="137"/>
        <w:gridCol w:w="549"/>
        <w:gridCol w:w="467"/>
        <w:gridCol w:w="517"/>
        <w:gridCol w:w="847"/>
        <w:gridCol w:w="22"/>
        <w:gridCol w:w="594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552" w:hRule="atLeast"/>
        </w:trPr>
        <w:tc>
          <w:tcPr>
            <w:tcW w:w="9478" w:type="dxa"/>
            <w:gridSpan w:val="19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项目实施单位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屯昌县退役军人事务局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主管部门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海南省退役军人事务厅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15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罗中宝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67812908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705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屯城镇锦绣大道1号军休中心二楼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571600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项目类型</w:t>
            </w:r>
          </w:p>
        </w:tc>
        <w:tc>
          <w:tcPr>
            <w:tcW w:w="746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经常性项目（ √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286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实际到位资金（万元）</w:t>
            </w:r>
          </w:p>
        </w:tc>
        <w:tc>
          <w:tcPr>
            <w:tcW w:w="7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286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其中：中央财政</w:t>
            </w:r>
          </w:p>
        </w:tc>
        <w:tc>
          <w:tcPr>
            <w:tcW w:w="7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省财政</w:t>
            </w:r>
          </w:p>
        </w:tc>
        <w:tc>
          <w:tcPr>
            <w:tcW w:w="7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286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县财政</w:t>
            </w:r>
          </w:p>
        </w:tc>
        <w:tc>
          <w:tcPr>
            <w:tcW w:w="7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286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7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9460" w:type="dxa"/>
            <w:gridSpan w:val="18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二、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1065" w:hRule="atLeast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一级指标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分值</w:t>
            </w:r>
          </w:p>
        </w:tc>
        <w:tc>
          <w:tcPr>
            <w:tcW w:w="22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二级指标</w:t>
            </w: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分值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项目决策</w:t>
            </w:r>
          </w:p>
        </w:tc>
        <w:tc>
          <w:tcPr>
            <w:tcW w:w="889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</w:p>
        </w:tc>
        <w:tc>
          <w:tcPr>
            <w:tcW w:w="2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项目目标</w:t>
            </w:r>
            <w:r>
              <w:rPr>
                <w:rFonts w:hint="eastAsia" w:ascii="仿宋" w:hAnsi="仿宋" w:eastAsia="仿宋"/>
                <w:sz w:val="24"/>
              </w:rPr>
              <w:fldChar w:fldCharType="begin"/>
            </w:r>
            <w:r>
              <w:instrText xml:space="preserve"> INCLUDEPICTURE "F:\\" \* MERGEFORMAT </w:instrText>
            </w:r>
            <w:r>
              <w:rPr>
                <w:rFonts w:hint="eastAsia"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fldChar w:fldCharType="begin"/>
            </w:r>
            <w:r>
              <w:instrText xml:space="preserve"> INCLUDEPICTURE "F:\\" \* MERGEFORMAT </w:instrText>
            </w:r>
            <w:r>
              <w:rPr>
                <w:rFonts w:hint="eastAsia"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fldChar w:fldCharType="begin"/>
            </w:r>
            <w:r>
              <w:instrText xml:space="preserve"> INCLUDEPICTURE "F:\\" \* MERGEFORMAT </w:instrText>
            </w:r>
            <w:r>
              <w:rPr>
                <w:rFonts w:hint="eastAsia"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fldChar w:fldCharType="begin"/>
            </w:r>
            <w:r>
              <w:instrText xml:space="preserve"> INCLUDEPICTURE "F:\\" \* MERGEFORMAT </w:instrText>
            </w:r>
            <w:r>
              <w:rPr>
                <w:rFonts w:hint="eastAsia"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4"/>
              </w:rPr>
              <w:fldChar w:fldCharType="end"/>
            </w: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决策过程</w:t>
            </w:r>
          </w:p>
        </w:tc>
        <w:tc>
          <w:tcPr>
            <w:tcW w:w="4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资金分配</w:t>
            </w:r>
          </w:p>
        </w:tc>
        <w:tc>
          <w:tcPr>
            <w:tcW w:w="4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项目管理</w:t>
            </w:r>
          </w:p>
        </w:tc>
        <w:tc>
          <w:tcPr>
            <w:tcW w:w="8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25</w:t>
            </w:r>
          </w:p>
        </w:tc>
        <w:tc>
          <w:tcPr>
            <w:tcW w:w="22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资金到位</w:t>
            </w:r>
          </w:p>
        </w:tc>
        <w:tc>
          <w:tcPr>
            <w:tcW w:w="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资金管理</w:t>
            </w:r>
          </w:p>
        </w:tc>
        <w:tc>
          <w:tcPr>
            <w:tcW w:w="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组织实施</w:t>
            </w: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60" w:hRule="atLeast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项目绩效</w:t>
            </w:r>
          </w:p>
        </w:tc>
        <w:tc>
          <w:tcPr>
            <w:tcW w:w="889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55</w:t>
            </w:r>
          </w:p>
        </w:tc>
        <w:tc>
          <w:tcPr>
            <w:tcW w:w="2222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项目产出</w:t>
            </w:r>
          </w:p>
        </w:tc>
        <w:tc>
          <w:tcPr>
            <w:tcW w:w="60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项目效益</w:t>
            </w:r>
          </w:p>
        </w:tc>
        <w:tc>
          <w:tcPr>
            <w:tcW w:w="6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40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总分</w:t>
            </w:r>
          </w:p>
        </w:tc>
        <w:tc>
          <w:tcPr>
            <w:tcW w:w="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100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5208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评价等次</w:t>
            </w:r>
          </w:p>
        </w:tc>
        <w:tc>
          <w:tcPr>
            <w:tcW w:w="426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9474" w:type="dxa"/>
            <w:gridSpan w:val="18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   位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0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王德林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局长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屯昌县退役军人事务局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2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王哲安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副局长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屯昌县退役军人事务局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7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罗中宝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九级管理员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屯昌县退役军人事务局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225" w:hRule="atLeast"/>
        </w:trPr>
        <w:tc>
          <w:tcPr>
            <w:tcW w:w="94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项目单位负责人（签字并盖章）：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日</w:t>
            </w:r>
          </w:p>
        </w:tc>
      </w:tr>
    </w:tbl>
    <w:p>
      <w:pPr>
        <w:spacing w:line="578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78" w:lineRule="exact"/>
        <w:jc w:val="left"/>
        <w:rPr>
          <w:rFonts w:hint="eastAsia" w:ascii="仿宋" w:hAnsi="仿宋" w:eastAsia="仿宋"/>
          <w:b/>
          <w:bCs/>
          <w:color w:val="000000"/>
          <w:szCs w:val="32"/>
        </w:rPr>
        <w:sectPr>
          <w:footerReference r:id="rId3" w:type="default"/>
          <w:pgSz w:w="11906" w:h="16838"/>
          <w:pgMar w:top="2098" w:right="1474" w:bottom="1985" w:left="1588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AndChars" w:linePitch="312" w:charSpace="0"/>
        </w:sectPr>
      </w:pPr>
    </w:p>
    <w:p>
      <w:pPr>
        <w:spacing w:line="578" w:lineRule="exact"/>
        <w:jc w:val="left"/>
        <w:rPr>
          <w:rFonts w:hint="eastAsia" w:ascii="仿宋" w:hAnsi="仿宋" w:eastAsia="仿宋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屯昌县现役义务兵家属优待金</w:t>
      </w:r>
    </w:p>
    <w:p>
      <w:pPr>
        <w:spacing w:line="578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财政支出项目绩效评价报告</w:t>
      </w:r>
    </w:p>
    <w:p>
      <w:pPr>
        <w:spacing w:line="578" w:lineRule="exact"/>
        <w:ind w:firstLine="640" w:firstLineChars="200"/>
        <w:outlineLvl w:val="0"/>
        <w:rPr>
          <w:rFonts w:hint="eastAsia" w:ascii="仿宋" w:hAnsi="仿宋" w:eastAsia="仿宋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/>
          <w:color w:val="auto"/>
        </w:rPr>
      </w:pPr>
      <w:r>
        <w:rPr>
          <w:rFonts w:hint="eastAsia" w:ascii="楷体" w:hAnsi="楷体" w:eastAsia="楷体" w:cs="楷体"/>
          <w:color w:val="auto"/>
        </w:rPr>
        <w:t>（一）项目单位基本情况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hAnsi="仿宋_GB2312" w:cs="仿宋_GB2312"/>
          <w:color w:val="auto"/>
          <w:lang w:val="en-US" w:eastAsia="zh-CN"/>
        </w:rPr>
        <w:t>屯昌县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退役军人事务局</w:t>
      </w:r>
      <w:r>
        <w:rPr>
          <w:rFonts w:hint="eastAsia" w:hAnsi="仿宋_GB2312" w:cs="仿宋_GB2312"/>
          <w:color w:val="auto"/>
          <w:lang w:val="en-US" w:eastAsia="zh-CN"/>
        </w:rPr>
        <w:t>拥军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优抚</w:t>
      </w:r>
      <w:r>
        <w:rPr>
          <w:rFonts w:hint="eastAsia" w:hAnsi="仿宋_GB2312" w:cs="仿宋_GB2312"/>
          <w:color w:val="auto"/>
          <w:lang w:val="en-US" w:eastAsia="zh-CN"/>
        </w:rPr>
        <w:t>维权岗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负责</w:t>
      </w:r>
      <w:r>
        <w:rPr>
          <w:rFonts w:hint="eastAsia" w:hAnsi="仿宋_GB2312" w:cs="仿宋_GB2312"/>
          <w:color w:val="auto"/>
          <w:lang w:val="en-US" w:eastAsia="zh-CN"/>
        </w:rPr>
        <w:t>组织开展全县拥军优属工作；承担现役军人、退役军人、军队文职人员和军属优待抚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恤</w:t>
      </w:r>
      <w:r>
        <w:rPr>
          <w:rFonts w:hint="eastAsia" w:hAnsi="仿宋_GB2312" w:cs="仿宋_GB2312"/>
          <w:color w:val="auto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（二）项目基本性质、用途和主要内容、涉及范围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/>
          <w:color w:va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义务兵家庭优待金作为体现党和政府优待政策的重要手段和途径，对做好征兵工作，解除适龄青年应征入伍后的后顾之忧，鼓舞部队士气，巩固国防，维护国家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安全和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社会稳定，有着重要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意义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  <w:r>
        <w:rPr>
          <w:rFonts w:hint="eastAsia" w:ascii="仿宋" w:hAnsi="仿宋" w:eastAsia="仿宋"/>
          <w:color w:val="auto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/>
          <w:bCs/>
          <w:color w:val="auto"/>
        </w:rPr>
      </w:pPr>
      <w:r>
        <w:rPr>
          <w:rFonts w:hint="eastAsia" w:ascii="黑体" w:hAnsi="黑体" w:eastAsia="黑体" w:cs="黑体"/>
          <w:color w:val="auto"/>
        </w:rPr>
        <w:t>二、</w:t>
      </w:r>
      <w:r>
        <w:rPr>
          <w:rFonts w:hint="eastAsia" w:ascii="黑体" w:hAnsi="黑体" w:eastAsia="黑体" w:cs="黑体"/>
          <w:bCs/>
          <w:color w:val="auto"/>
        </w:rPr>
        <w:t>项目资金使用及管理情况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（一）项目资金到位情况分析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项目资金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2021年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财政审定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286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万元，当年实际安排资金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286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万元，到位率为100%。当年实际共拨付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265.99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项目资金使用情况分析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主要用于发放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现役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义务兵家属优待金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bCs/>
          <w:color w:val="auto"/>
        </w:rPr>
      </w:pPr>
      <w:r>
        <w:rPr>
          <w:rFonts w:hint="eastAsia" w:ascii="楷体" w:hAnsi="楷体" w:eastAsia="楷体" w:cs="楷体"/>
          <w:color w:val="auto"/>
          <w:szCs w:val="32"/>
        </w:rPr>
        <w:t>（三）项目资金管理情况分析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Cs w:val="32"/>
        </w:rPr>
        <w:sectPr>
          <w:footerReference r:id="rId4" w:type="default"/>
          <w:pgSz w:w="11906" w:h="16838"/>
          <w:pgMar w:top="2098" w:right="1474" w:bottom="1985" w:left="1588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1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严格按照标准，审查享受对象的资格，足额按时发放义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outlineLvl w:val="0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务兵家庭优待金。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2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严格落实《关于进一 步贯彻落实征兵优惠政策的通知》（琼征联﹝2017﹞2号）文件精神，结合我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实际执行。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三、项目组织实施情况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bCs/>
          <w:color w:val="auto"/>
          <w:szCs w:val="32"/>
        </w:rPr>
      </w:pPr>
      <w:r>
        <w:rPr>
          <w:rFonts w:hint="eastAsia" w:ascii="楷体" w:hAnsi="楷体" w:eastAsia="楷体" w:cs="楷体"/>
          <w:bCs/>
          <w:color w:val="auto"/>
          <w:szCs w:val="32"/>
        </w:rPr>
        <w:t>（一）项目组织情况分析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按属地管理原则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根据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人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武部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提供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年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在本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应征入伍的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义务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兵花名册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收集核实享受人相关材料。并通过一卡通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转账的方式,直接划转其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家属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账户中,全额按时按人发放到位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/>
          <w:bCs/>
          <w:color w:val="auto"/>
          <w:szCs w:val="32"/>
        </w:rPr>
      </w:pPr>
      <w:r>
        <w:rPr>
          <w:rFonts w:hint="eastAsia" w:ascii="楷体" w:hAnsi="楷体" w:eastAsia="楷体" w:cs="楷体"/>
          <w:bCs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color w:val="auto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Cs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bCs/>
          <w:color w:val="auto"/>
          <w:szCs w:val="32"/>
        </w:rPr>
        <w:t>项目管理情况分析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</w:pPr>
      <w:r>
        <w:rPr>
          <w:rFonts w:hint="eastAsia" w:hAnsi="仿宋_GB2312" w:cs="仿宋_GB2312"/>
          <w:bCs/>
          <w:color w:val="auto"/>
          <w:szCs w:val="32"/>
          <w:lang w:val="en-US" w:eastAsia="zh-CN"/>
        </w:rPr>
        <w:t>坚持</w:t>
      </w:r>
      <w:r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  <w:t>资金管理原则，按批准的项目预算</w:t>
      </w:r>
      <w:r>
        <w:rPr>
          <w:rFonts w:hint="eastAsia" w:hAnsi="仿宋_GB2312" w:cs="仿宋_GB2312"/>
          <w:bCs/>
          <w:color w:val="auto"/>
          <w:szCs w:val="32"/>
          <w:lang w:val="en-US" w:eastAsia="zh-CN"/>
        </w:rPr>
        <w:t>和用途及实际享受政策人数</w:t>
      </w:r>
      <w:r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  <w:t>执行，做到项目资金专款专用。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四、项目绩效情况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/>
          <w:bCs/>
          <w:color w:val="auto"/>
        </w:rPr>
      </w:pPr>
      <w:r>
        <w:rPr>
          <w:rFonts w:hint="eastAsia" w:ascii="楷体" w:hAnsi="楷体" w:eastAsia="楷体" w:cs="楷体"/>
          <w:bCs/>
          <w:color w:val="auto"/>
        </w:rPr>
        <w:t>（一）项目绩效目标完成情况分析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b/>
          <w:bCs w:val="0"/>
          <w:color w:val="auto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Cs w:val="32"/>
        </w:rPr>
        <w:t>1.项目的经济性分析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项目成本（预算）严格按年初的项目预算执行，项目成本控制在预算内，无超预算情况。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/>
          <w:b/>
          <w:bCs w:val="0"/>
          <w:color w:val="auto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Cs w:val="32"/>
        </w:rPr>
        <w:t>2.项目的效率性分析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仿宋" w:hAnsi="仿宋" w:eastAsia="宋体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全部完成目标任务量,拨付的项目资金均用于义务兵优待金发放</w:t>
      </w:r>
      <w:r>
        <w:rPr>
          <w:rFonts w:hint="eastAsia" w:ascii="sans-serif" w:hAnsi="sans-serif" w:eastAsia="宋体" w:cs="sans-serif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/>
          <w:b/>
          <w:bCs w:val="0"/>
          <w:color w:val="auto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Cs w:val="32"/>
        </w:rPr>
        <w:t>3.项目的效益性分析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/>
          <w:color w:val="auto"/>
          <w:szCs w:val="32"/>
        </w:rPr>
        <w:t>（1）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项目预期目标完成程度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所有资金均严格按标准应发尽发，按时发放到位，及时足额实行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转账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发放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目实施对经济和社会的影响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维护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义务兵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的合法权益，促进国防和军队建设，保持经济发展和社会稳定。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/>
          <w:bCs/>
          <w:color w:val="auto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Cs w:val="32"/>
        </w:rPr>
        <w:t>4.项目的可持续性分析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  <w:t>进一步团结巩固军政军民关系，营造浓厚的双拥</w:t>
      </w:r>
      <w:r>
        <w:rPr>
          <w:rFonts w:hint="eastAsia" w:hAnsi="仿宋_GB2312" w:cs="仿宋_GB2312"/>
          <w:bCs/>
          <w:color w:val="auto"/>
          <w:szCs w:val="32"/>
          <w:lang w:val="en-US" w:eastAsia="zh-CN"/>
        </w:rPr>
        <w:t>氛围</w:t>
      </w:r>
      <w:r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  <w:t>，提高全民的国防意识，激励广大有志青年踊跃参军报国，激励现役军人献身国防、在军营建功立业</w:t>
      </w:r>
      <w:r>
        <w:rPr>
          <w:rFonts w:hint="eastAsia" w:ascii="仿宋_GB2312" w:hAnsi="仿宋_GB2312" w:eastAsia="仿宋_GB2312" w:cs="仿宋_GB2312"/>
          <w:bCs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/>
          <w:b/>
          <w:bCs w:val="0"/>
          <w:color w:val="auto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Cs w:val="32"/>
        </w:rPr>
        <w:t>项目</w:t>
      </w:r>
      <w:r>
        <w:rPr>
          <w:rFonts w:hint="eastAsia" w:ascii="仿宋" w:hAnsi="仿宋" w:eastAsia="仿宋"/>
          <w:b/>
          <w:bCs w:val="0"/>
          <w:color w:val="auto"/>
        </w:rPr>
        <w:t>预算批复的绩效指标完成</w:t>
      </w:r>
      <w:r>
        <w:rPr>
          <w:rFonts w:hint="eastAsia" w:ascii="仿宋" w:hAnsi="仿宋" w:eastAsia="仿宋"/>
          <w:b/>
          <w:bCs w:val="0"/>
          <w:color w:val="auto"/>
          <w:szCs w:val="32"/>
        </w:rPr>
        <w:t>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数量指标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--发放到位率为100%，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绩效指标完成情况为“优”。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质量指标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符合发放条件发放比率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绩效指标完成情况为“优”。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时效指标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--发放及时，绩效指标完成情况为“优”。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社会效益在指标--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激励城乡适龄青年踊跃参军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绩效指标完成情况为“优”。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/>
          <w:bCs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可持续影响指标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巩固军政军民团结、促进经济发展和社会稳定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绩效指标完成情况为“优”。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78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bCs/>
          <w:color w:val="auto"/>
          <w:szCs w:val="32"/>
        </w:rPr>
      </w:pPr>
      <w:r>
        <w:rPr>
          <w:rFonts w:hint="eastAsia" w:ascii="楷体" w:hAnsi="楷体" w:eastAsia="楷体" w:cs="楷体"/>
          <w:bCs/>
          <w:color w:val="auto"/>
          <w:szCs w:val="32"/>
        </w:rPr>
        <w:t>项目绩效目标未完成原因分析</w:t>
      </w:r>
    </w:p>
    <w:p>
      <w:pPr>
        <w:keepNext w:val="0"/>
        <w:keepLines w:val="0"/>
        <w:pageBreakBefore w:val="0"/>
        <w:widowControl w:val="0"/>
        <w:tabs>
          <w:tab w:val="left" w:pos="878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/>
          <w:bCs/>
          <w:color w:val="auto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仿宋" w:hAnsi="仿宋" w:eastAsia="仿宋"/>
          <w:bCs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Cs/>
          <w:color w:val="auto"/>
          <w:szCs w:val="32"/>
        </w:rPr>
        <w:t>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仿宋" w:hAnsi="仿宋" w:eastAsia="仿宋"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屯昌县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义务兵家属优待金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项目绩效评价工作组考评，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评价得分</w:t>
      </w:r>
      <w:r>
        <w:rPr>
          <w:rFonts w:hint="eastAsia" w:hAnsi="仿宋_GB2312" w:cs="仿宋_GB2312"/>
          <w:bCs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分，评价等次为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Cs/>
          <w:color w:val="auto"/>
          <w:szCs w:val="32"/>
        </w:rPr>
      </w:pPr>
      <w:r>
        <w:rPr>
          <w:rFonts w:hint="eastAsia" w:ascii="黑体" w:hAnsi="黑体" w:eastAsia="黑体" w:cs="黑体"/>
          <w:bCs/>
          <w:color w:val="auto"/>
          <w:szCs w:val="32"/>
        </w:rPr>
        <w:t>六、主要经验及做法、存在的问题和建议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  <w:t>主要做法：一是信息核实准确</w:t>
      </w:r>
      <w:r>
        <w:rPr>
          <w:rFonts w:hint="eastAsia" w:hAnsi="仿宋_GB2312" w:cs="仿宋_GB2312"/>
          <w:bCs/>
          <w:color w:val="auto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  <w:t>二是及时足额发放。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bCs/>
          <w:color w:val="auto"/>
          <w:szCs w:val="32"/>
        </w:rPr>
        <w:t>其他需说明的问题，比如</w:t>
      </w:r>
      <w:r>
        <w:rPr>
          <w:rFonts w:hint="eastAsia" w:ascii="黑体" w:hAnsi="黑体" w:eastAsia="黑体" w:cs="黑体"/>
          <w:bCs/>
          <w:color w:val="auto"/>
        </w:rPr>
        <w:t>当年未完工项目后续工作计划等。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lang w:val="en-US" w:eastAsia="zh-CN"/>
        </w:rPr>
        <w:t>无其他需说明的问题。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200" w:firstLine="0" w:firstLineChars="0"/>
        <w:textAlignment w:val="auto"/>
        <w:outlineLvl w:val="0"/>
        <w:rPr>
          <w:rFonts w:hint="eastAsia" w:ascii="仿宋" w:hAnsi="仿宋" w:eastAsia="仿宋"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</w:pPr>
    </w:p>
    <w:sectPr>
      <w:footerReference r:id="rId5" w:type="default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5"/>
      <w:numFmt w:val="decimal"/>
      <w:suff w:val="nothing"/>
      <w:lvlText w:val="%1."/>
      <w:lvlJc w:val="left"/>
    </w:lvl>
  </w:abstractNum>
  <w:abstractNum w:abstractNumId="1">
    <w:nsid w:val="00000004"/>
    <w:multiLevelType w:val="singleLevel"/>
    <w:tmpl w:val="00000004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56BC8"/>
    <w:rsid w:val="0137690E"/>
    <w:rsid w:val="0AC0767A"/>
    <w:rsid w:val="0ADE05F6"/>
    <w:rsid w:val="0BDF4171"/>
    <w:rsid w:val="0F691993"/>
    <w:rsid w:val="13057AD0"/>
    <w:rsid w:val="13F13E29"/>
    <w:rsid w:val="171A5387"/>
    <w:rsid w:val="1EC11277"/>
    <w:rsid w:val="1F4867DB"/>
    <w:rsid w:val="21D60E2F"/>
    <w:rsid w:val="25F237C2"/>
    <w:rsid w:val="2C902B12"/>
    <w:rsid w:val="2CE97150"/>
    <w:rsid w:val="31EE5464"/>
    <w:rsid w:val="35F80BEE"/>
    <w:rsid w:val="3E063307"/>
    <w:rsid w:val="3EFA6CDE"/>
    <w:rsid w:val="45695133"/>
    <w:rsid w:val="45EA334F"/>
    <w:rsid w:val="464B7FC4"/>
    <w:rsid w:val="48CD6DEE"/>
    <w:rsid w:val="4AB7495C"/>
    <w:rsid w:val="4B216AAF"/>
    <w:rsid w:val="4D925B2E"/>
    <w:rsid w:val="4DF51001"/>
    <w:rsid w:val="4FA25E50"/>
    <w:rsid w:val="4FC65302"/>
    <w:rsid w:val="531A2C23"/>
    <w:rsid w:val="5CAF2D4C"/>
    <w:rsid w:val="60A56BC8"/>
    <w:rsid w:val="69C210D4"/>
    <w:rsid w:val="6E0C1993"/>
    <w:rsid w:val="6F0973A5"/>
    <w:rsid w:val="70766AFF"/>
    <w:rsid w:val="79102EB2"/>
    <w:rsid w:val="7C280B0B"/>
    <w:rsid w:val="7F4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2020-03-31T08:31:00Z</dcterms:created>
  <dc:creator>J</dc:creator>
  <cp:lastModifiedBy>未定义</cp:lastModifiedBy>
  <cp:lastPrinted>2020-05-11T01:38:00Z</cp:lastPrinted>
  <dcterms:modified xsi:type="dcterms:W3CDTF">2022-07-05T02:12:49Z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9EE37E5F524C4470A104CE8462F7A7BB</vt:lpwstr>
  </property>
</Properties>
</file>