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fill="FFFFFF"/>
        <w:kinsoku/>
        <w:wordWrap/>
        <w:overflowPunct/>
        <w:topLinePunct w:val="0"/>
        <w:autoSpaceDE/>
        <w:autoSpaceDN/>
        <w:bidi w:val="0"/>
        <w:adjustRightInd/>
        <w:snapToGrid/>
        <w:spacing w:before="0" w:beforeAutospacing="1" w:after="0" w:afterAutospacing="1" w:line="720" w:lineRule="exact"/>
        <w:textAlignment w:val="auto"/>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w:t>
      </w:r>
    </w:p>
    <w:p>
      <w:pPr>
        <w:keepNext w:val="0"/>
        <w:keepLines w:val="0"/>
        <w:pageBreakBefore w:val="0"/>
        <w:widowControl/>
        <w:shd w:val="clear" w:fill="FFFFFF"/>
        <w:kinsoku/>
        <w:wordWrap/>
        <w:overflowPunct/>
        <w:topLinePunct w:val="0"/>
        <w:autoSpaceDE/>
        <w:autoSpaceDN/>
        <w:bidi w:val="0"/>
        <w:adjustRightInd/>
        <w:snapToGrid/>
        <w:spacing w:before="0" w:beforeAutospacing="1" w:after="0" w:afterAutospacing="1" w:line="720" w:lineRule="exact"/>
        <w:jc w:val="center"/>
        <w:textAlignment w:val="auto"/>
        <w:rPr>
          <w:rFonts w:hint="eastAsia" w:ascii="黑体" w:hAnsi="宋体" w:eastAsia="黑体" w:cs="黑体"/>
          <w:kern w:val="0"/>
          <w:sz w:val="44"/>
          <w:szCs w:val="44"/>
          <w:shd w:val="clear" w:fill="FFFFFF"/>
        </w:rPr>
      </w:pPr>
      <w:r>
        <w:rPr>
          <w:rFonts w:hint="eastAsia" w:ascii="黑体" w:hAnsi="宋体" w:eastAsia="黑体" w:cs="黑体"/>
          <w:kern w:val="0"/>
          <w:sz w:val="44"/>
          <w:szCs w:val="44"/>
          <w:shd w:val="clear" w:fill="FFFFFF"/>
        </w:rPr>
        <w:t>屯昌县退役军人事务局</w:t>
      </w:r>
      <w:r>
        <w:rPr>
          <w:rFonts w:hint="eastAsia" w:ascii="黑体" w:hAnsi="ˎ̥" w:eastAsia="黑体" w:cs="黑体"/>
          <w:kern w:val="0"/>
          <w:sz w:val="44"/>
          <w:szCs w:val="44"/>
          <w:shd w:val="clear" w:fill="FFFFFF"/>
        </w:rPr>
        <w:t>2019</w:t>
      </w:r>
      <w:r>
        <w:rPr>
          <w:rFonts w:hint="eastAsia" w:ascii="黑体" w:hAnsi="宋体" w:eastAsia="黑体" w:cs="黑体"/>
          <w:kern w:val="0"/>
          <w:sz w:val="44"/>
          <w:szCs w:val="44"/>
          <w:shd w:val="clear" w:fill="FFFFFF"/>
        </w:rPr>
        <w:t>年度部门决算</w:t>
      </w:r>
    </w:p>
    <w:p>
      <w:pPr>
        <w:keepNext w:val="0"/>
        <w:keepLines w:val="0"/>
        <w:pageBreakBefore w:val="0"/>
        <w:widowControl/>
        <w:shd w:val="clear" w:fill="FFFFFF"/>
        <w:kinsoku/>
        <w:wordWrap/>
        <w:overflowPunct/>
        <w:topLinePunct w:val="0"/>
        <w:autoSpaceDE/>
        <w:autoSpaceDN/>
        <w:bidi w:val="0"/>
        <w:adjustRightInd/>
        <w:snapToGrid/>
        <w:spacing w:before="0" w:beforeAutospacing="1" w:after="0" w:afterAutospacing="1" w:line="720" w:lineRule="exact"/>
        <w:jc w:val="center"/>
        <w:textAlignment w:val="auto"/>
        <w:rPr>
          <w:rFonts w:hint="eastAsia" w:ascii="黑体" w:hAnsi="宋体" w:eastAsia="黑体" w:cs="黑体"/>
          <w:kern w:val="0"/>
          <w:sz w:val="44"/>
          <w:szCs w:val="44"/>
          <w:shd w:val="clear" w:fill="FFFFFF"/>
        </w:rPr>
      </w:pPr>
    </w:p>
    <w:p>
      <w:pPr>
        <w:keepNext w:val="0"/>
        <w:keepLines w:val="0"/>
        <w:pageBreakBefore w:val="0"/>
        <w:widowControl/>
        <w:kinsoku/>
        <w:wordWrap/>
        <w:overflowPunct/>
        <w:topLinePunct w:val="0"/>
        <w:autoSpaceDE/>
        <w:autoSpaceDN/>
        <w:bidi w:val="0"/>
        <w:adjustRightInd/>
        <w:snapToGrid/>
        <w:spacing w:before="0" w:beforeLines="0" w:beforeAutospacing="0" w:after="313" w:afterLines="100" w:afterAutospacing="0"/>
        <w:ind w:left="0" w:leftChars="0" w:right="0" w:rightChars="0" w:firstLine="0" w:firstLineChars="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w:t>
      </w:r>
      <w:r>
        <w:rPr>
          <w:rFonts w:hint="eastAsia" w:ascii="黑体" w:hAnsi="黑体" w:eastAsia="黑体" w:cs="黑体"/>
          <w:kern w:val="0"/>
          <w:sz w:val="44"/>
          <w:szCs w:val="44"/>
          <w:lang w:val="en-US" w:eastAsia="zh-CN"/>
        </w:rPr>
        <w:t xml:space="preserve">  </w:t>
      </w:r>
      <w:r>
        <w:rPr>
          <w:rFonts w:hint="eastAsia" w:ascii="黑体" w:hAnsi="黑体" w:eastAsia="黑体" w:cs="黑体"/>
          <w:kern w:val="0"/>
          <w:sz w:val="44"/>
          <w:szCs w:val="44"/>
        </w:rPr>
        <w:t>录</w:t>
      </w:r>
    </w:p>
    <w:p>
      <w:pPr>
        <w:spacing w:before="0" w:beforeLines="0" w:beforeAutospacing="0" w:after="0" w:afterLines="0" w:afterAutospacing="0"/>
        <w:ind w:left="0" w:leftChars="0" w:right="0" w:righ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178" w:leftChars="74"/>
        <w:textAlignment w:val="auto"/>
        <w:rPr>
          <w:rFonts w:hint="eastAsia" w:ascii="黑体" w:hAnsi="黑体" w:eastAsia="黑体" w:cs="黑体"/>
          <w:color w:val="auto"/>
          <w:kern w:val="0"/>
          <w:sz w:val="32"/>
          <w:szCs w:val="32"/>
          <w:u w:val="none"/>
          <w:shd w:val="clear" w:fill="FFFFFF"/>
        </w:rPr>
      </w:pPr>
      <w:r>
        <w:rPr>
          <w:rFonts w:hint="eastAsia" w:ascii="黑体" w:hAnsi="黑体" w:eastAsia="黑体" w:cs="黑体"/>
          <w:color w:val="auto"/>
          <w:u w:val="none"/>
        </w:rPr>
        <w:fldChar w:fldCharType="begin"/>
      </w:r>
      <w:r>
        <w:rPr>
          <w:rFonts w:hint="eastAsia" w:ascii="黑体" w:hAnsi="黑体" w:eastAsia="黑体" w:cs="黑体"/>
          <w:color w:val="auto"/>
          <w:u w:val="none"/>
        </w:rPr>
        <w:instrText xml:space="preserve"> HYPERLINK "" \l "_Toc5256 " </w:instrText>
      </w:r>
      <w:r>
        <w:rPr>
          <w:rFonts w:hint="eastAsia" w:ascii="黑体" w:hAnsi="黑体" w:eastAsia="黑体" w:cs="黑体"/>
          <w:color w:val="auto"/>
          <w:u w:val="none"/>
        </w:rPr>
        <w:fldChar w:fldCharType="separate"/>
      </w:r>
      <w:r>
        <w:rPr>
          <w:rStyle w:val="16"/>
          <w:rFonts w:hint="eastAsia" w:ascii="黑体" w:hAnsi="黑体" w:eastAsia="黑体" w:cs="黑体"/>
          <w:color w:val="auto"/>
          <w:kern w:val="0"/>
          <w:sz w:val="32"/>
          <w:szCs w:val="32"/>
          <w:u w:val="none"/>
        </w:rPr>
        <w:t>第一部分  屯昌县退役军人事务局部门概况</w:t>
      </w:r>
      <w:r>
        <w:rPr>
          <w:rStyle w:val="16"/>
          <w:rFonts w:hint="eastAsia" w:ascii="黑体" w:hAnsi="黑体" w:eastAsia="黑体" w:cs="黑体"/>
          <w:color w:val="auto"/>
          <w:kern w:val="0"/>
          <w:sz w:val="32"/>
          <w:szCs w:val="32"/>
          <w:u w:val="none"/>
        </w:rPr>
        <w:tab/>
      </w:r>
      <w:r>
        <w:rPr>
          <w:rStyle w:val="16"/>
          <w:rFonts w:hint="eastAsia" w:ascii="黑体" w:hAnsi="黑体" w:eastAsia="黑体" w:cs="黑体"/>
          <w:color w:val="auto"/>
          <w:kern w:val="0"/>
          <w:sz w:val="32"/>
          <w:szCs w:val="32"/>
          <w:u w:val="none"/>
        </w:rPr>
        <w:t>...........3</w:t>
      </w:r>
      <w:r>
        <w:rPr>
          <w:rFonts w:hint="eastAsia" w:ascii="黑体" w:hAnsi="黑体" w:eastAsia="黑体" w:cs="黑体"/>
          <w:color w:val="auto"/>
          <w:u w:val="none"/>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u w:val="none"/>
        </w:rPr>
      </w:pPr>
      <w:r>
        <w:rPr>
          <w:color w:val="auto"/>
          <w:u w:val="none"/>
        </w:rPr>
        <w:fldChar w:fldCharType="begin"/>
      </w:r>
      <w:r>
        <w:rPr>
          <w:color w:val="auto"/>
          <w:u w:val="none"/>
        </w:rPr>
        <w:instrText xml:space="preserve"> HYPERLINK "" \l "_Toc23340 " </w:instrText>
      </w:r>
      <w:r>
        <w:rPr>
          <w:color w:val="auto"/>
          <w:u w:val="none"/>
        </w:rPr>
        <w:fldChar w:fldCharType="separate"/>
      </w:r>
      <w:r>
        <w:rPr>
          <w:rStyle w:val="16"/>
          <w:rFonts w:hint="eastAsia" w:ascii="仿宋" w:hAnsi="仿宋" w:eastAsia="仿宋" w:cs="仿宋"/>
          <w:color w:val="auto"/>
          <w:kern w:val="0"/>
          <w:sz w:val="32"/>
          <w:szCs w:val="32"/>
          <w:u w:val="none"/>
        </w:rPr>
        <w:t>一、 部门职责</w:t>
      </w:r>
      <w:r>
        <w:rPr>
          <w:rStyle w:val="16"/>
          <w:rFonts w:hint="eastAsia" w:ascii="仿宋" w:hAnsi="仿宋" w:eastAsia="仿宋" w:cs="仿宋"/>
          <w:color w:val="auto"/>
          <w:kern w:val="0"/>
          <w:sz w:val="32"/>
          <w:szCs w:val="32"/>
          <w:u w:val="none"/>
        </w:rPr>
        <w:tab/>
      </w:r>
      <w:r>
        <w:rPr>
          <w:rStyle w:val="16"/>
          <w:rFonts w:hint="eastAsia" w:ascii="仿宋" w:hAnsi="仿宋" w:eastAsia="仿宋" w:cs="仿宋"/>
          <w:color w:val="auto"/>
          <w:kern w:val="0"/>
          <w:sz w:val="32"/>
          <w:szCs w:val="32"/>
          <w:u w:val="none"/>
        </w:rPr>
        <w:t>.....................................3</w:t>
      </w:r>
      <w:r>
        <w:rPr>
          <w:color w:val="auto"/>
          <w:u w:val="none"/>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u w:val="none"/>
        </w:rPr>
      </w:pPr>
      <w:r>
        <w:rPr>
          <w:color w:val="auto"/>
          <w:u w:val="none"/>
        </w:rPr>
        <w:fldChar w:fldCharType="begin"/>
      </w:r>
      <w:r>
        <w:rPr>
          <w:color w:val="auto"/>
          <w:u w:val="none"/>
        </w:rPr>
        <w:instrText xml:space="preserve"> HYPERLINK "" \l "_Toc6488 " </w:instrText>
      </w:r>
      <w:r>
        <w:rPr>
          <w:color w:val="auto"/>
          <w:u w:val="none"/>
        </w:rPr>
        <w:fldChar w:fldCharType="separate"/>
      </w:r>
      <w:r>
        <w:rPr>
          <w:rStyle w:val="16"/>
          <w:rFonts w:hint="eastAsia" w:ascii="仿宋" w:hAnsi="仿宋" w:eastAsia="仿宋" w:cs="仿宋"/>
          <w:color w:val="auto"/>
          <w:kern w:val="0"/>
          <w:sz w:val="32"/>
          <w:szCs w:val="32"/>
          <w:u w:val="none"/>
        </w:rPr>
        <w:t>二、机构设置</w:t>
      </w:r>
      <w:r>
        <w:rPr>
          <w:rStyle w:val="16"/>
          <w:rFonts w:hint="eastAsia" w:ascii="仿宋" w:hAnsi="仿宋" w:eastAsia="仿宋" w:cs="仿宋"/>
          <w:color w:val="auto"/>
          <w:kern w:val="0"/>
          <w:sz w:val="32"/>
          <w:szCs w:val="32"/>
          <w:u w:val="none"/>
        </w:rPr>
        <w:tab/>
      </w:r>
      <w:r>
        <w:rPr>
          <w:rStyle w:val="16"/>
          <w:rFonts w:hint="eastAsia" w:ascii="仿宋" w:hAnsi="仿宋" w:eastAsia="仿宋" w:cs="仿宋"/>
          <w:color w:val="auto"/>
          <w:kern w:val="0"/>
          <w:sz w:val="32"/>
          <w:szCs w:val="32"/>
          <w:u w:val="none"/>
        </w:rPr>
        <w:t>.....................................5</w:t>
      </w:r>
      <w:r>
        <w:rPr>
          <w:color w:val="auto"/>
          <w:u w:val="none"/>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178" w:leftChars="74"/>
        <w:jc w:val="left"/>
        <w:textAlignment w:val="auto"/>
        <w:rPr>
          <w:rFonts w:hint="eastAsia" w:ascii="黑体" w:hAnsi="黑体" w:eastAsia="黑体" w:cs="黑体"/>
          <w:color w:val="auto"/>
          <w:kern w:val="0"/>
          <w:sz w:val="32"/>
          <w:szCs w:val="32"/>
          <w:u w:val="none"/>
        </w:rPr>
      </w:pPr>
      <w:r>
        <w:rPr>
          <w:rFonts w:hint="eastAsia" w:ascii="黑体" w:hAnsi="黑体" w:eastAsia="黑体" w:cs="黑体"/>
          <w:color w:val="auto"/>
          <w:u w:val="none"/>
        </w:rPr>
        <w:fldChar w:fldCharType="begin"/>
      </w:r>
      <w:r>
        <w:rPr>
          <w:rFonts w:hint="eastAsia" w:ascii="黑体" w:hAnsi="黑体" w:eastAsia="黑体" w:cs="黑体"/>
          <w:color w:val="auto"/>
          <w:u w:val="none"/>
        </w:rPr>
        <w:instrText xml:space="preserve"> HYPERLINK "" \l "_Toc14908 " </w:instrText>
      </w:r>
      <w:r>
        <w:rPr>
          <w:rFonts w:hint="eastAsia" w:ascii="黑体" w:hAnsi="黑体" w:eastAsia="黑体" w:cs="黑体"/>
          <w:color w:val="auto"/>
          <w:u w:val="none"/>
        </w:rPr>
        <w:fldChar w:fldCharType="separate"/>
      </w:r>
      <w:r>
        <w:rPr>
          <w:rStyle w:val="16"/>
          <w:rFonts w:hint="eastAsia" w:ascii="黑体" w:hAnsi="黑体" w:eastAsia="黑体" w:cs="黑体"/>
          <w:color w:val="auto"/>
          <w:kern w:val="0"/>
          <w:sz w:val="32"/>
          <w:szCs w:val="32"/>
          <w:u w:val="none"/>
        </w:rPr>
        <w:t>第二部分  屯昌县退役军人事务局2019年度部门决算公开报表</w:t>
      </w:r>
      <w:r>
        <w:rPr>
          <w:rStyle w:val="16"/>
          <w:rFonts w:hint="eastAsia" w:ascii="黑体" w:hAnsi="黑体" w:eastAsia="黑体" w:cs="黑体"/>
          <w:color w:val="auto"/>
          <w:kern w:val="0"/>
          <w:sz w:val="32"/>
          <w:szCs w:val="32"/>
          <w:u w:val="none"/>
        </w:rPr>
        <w:tab/>
      </w:r>
      <w:r>
        <w:rPr>
          <w:rStyle w:val="16"/>
          <w:rFonts w:hint="eastAsia" w:ascii="黑体" w:hAnsi="黑体" w:eastAsia="黑体" w:cs="黑体"/>
          <w:color w:val="auto"/>
          <w:kern w:val="0"/>
          <w:sz w:val="32"/>
          <w:szCs w:val="32"/>
          <w:u w:val="none"/>
        </w:rPr>
        <w:t>..........................................5</w:t>
      </w:r>
      <w:r>
        <w:rPr>
          <w:rFonts w:hint="eastAsia" w:ascii="黑体" w:hAnsi="黑体" w:eastAsia="黑体" w:cs="黑体"/>
          <w:color w:val="auto"/>
          <w:u w:val="none"/>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"_Toc20557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一、收入支出决算批复表（见正文附件）.............</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5</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"_Toc17166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二、收入决算批复表（见正文附件）.................</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"_Toc11866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三、支出决算批复表（见正文附件）..................6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"_Toc14971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四、财政拨款收入支出决算批复表（见正文附件）.....</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"_Toc8698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五、一般公共预算财政拨款收入支出决算批复表</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"_Toc9737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六、一般公共预算财政拨款基本支出决算批复表</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"_Toc4012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七、政府性基金预算财政拨款收入支出决算批复表</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"_Toc16642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八、一般公共预算财政拨款“三公”经费支出决算.....</w:t>
      </w:r>
      <w:r>
        <w:rPr>
          <w:rFonts w:hint="eastAsia" w:ascii="仿宋" w:hAnsi="仿宋" w:eastAsia="仿宋" w:cs="仿宋"/>
          <w:color w:val="auto"/>
          <w:kern w:val="0"/>
          <w:sz w:val="32"/>
          <w:szCs w:val="32"/>
          <w:shd w:val="clear" w:fill="FFFFFF"/>
          <w:lang w:val="en-US" w:eastAsia="zh-CN" w:bidi="ar"/>
        </w:rPr>
        <w:tab/>
      </w:r>
      <w:r>
        <w:rPr>
          <w:rFonts w:hint="eastAsia" w:ascii="仿宋" w:hAnsi="仿宋" w:eastAsia="仿宋" w:cs="仿宋"/>
          <w:color w:val="auto"/>
          <w:kern w:val="0"/>
          <w:sz w:val="32"/>
          <w:szCs w:val="32"/>
          <w:shd w:val="clear" w:fill="FFFFFF"/>
          <w:lang w:val="en-US" w:eastAsia="zh-CN" w:bidi="ar"/>
        </w:rPr>
        <w:t>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jc w:val="left"/>
        <w:textAlignment w:val="auto"/>
        <w:rPr>
          <w:rFonts w:hint="eastAsia" w:ascii="仿宋" w:hAnsi="仿宋" w:eastAsia="仿宋" w:cs="仿宋"/>
          <w:color w:val="auto"/>
          <w:kern w:val="0"/>
          <w:sz w:val="32"/>
          <w:szCs w:val="32"/>
          <w:shd w:val="clear" w:fill="FFFFFF"/>
          <w:lang w:val="en-US" w:eastAsia="zh-CN" w:bidi="ar"/>
        </w:rPr>
      </w:pPr>
      <w:r>
        <w:rPr>
          <w:rFonts w:hint="eastAsia" w:ascii="仿宋" w:hAnsi="仿宋" w:eastAsia="仿宋" w:cs="仿宋"/>
          <w:color w:val="auto"/>
          <w:kern w:val="0"/>
          <w:sz w:val="32"/>
          <w:szCs w:val="32"/>
          <w:shd w:val="clear" w:fill="FFFFFF"/>
          <w:lang w:val="en-US" w:eastAsia="zh-CN" w:bidi="ar"/>
        </w:rPr>
        <w:fldChar w:fldCharType="begin"/>
      </w:r>
      <w:r>
        <w:rPr>
          <w:rFonts w:hint="eastAsia" w:ascii="仿宋" w:hAnsi="仿宋" w:eastAsia="仿宋" w:cs="仿宋"/>
          <w:color w:val="auto"/>
          <w:kern w:val="0"/>
          <w:sz w:val="32"/>
          <w:szCs w:val="32"/>
          <w:shd w:val="clear" w:fill="FFFFFF"/>
          <w:lang w:val="en-US" w:eastAsia="zh-CN" w:bidi="ar"/>
        </w:rPr>
        <w:instrText xml:space="preserve"> HYPERLINK "" \l "_Toc13106 " </w:instrText>
      </w:r>
      <w:r>
        <w:rPr>
          <w:rFonts w:hint="eastAsia" w:ascii="仿宋" w:hAnsi="仿宋" w:eastAsia="仿宋" w:cs="仿宋"/>
          <w:color w:val="auto"/>
          <w:kern w:val="0"/>
          <w:sz w:val="32"/>
          <w:szCs w:val="32"/>
          <w:shd w:val="clear" w:fill="FFFFFF"/>
          <w:lang w:val="en-US" w:eastAsia="zh-CN" w:bidi="ar"/>
        </w:rPr>
        <w:fldChar w:fldCharType="separate"/>
      </w:r>
      <w:r>
        <w:rPr>
          <w:rFonts w:hint="eastAsia" w:ascii="仿宋" w:hAnsi="仿宋" w:eastAsia="仿宋" w:cs="仿宋"/>
          <w:color w:val="auto"/>
          <w:kern w:val="0"/>
          <w:sz w:val="32"/>
          <w:szCs w:val="32"/>
          <w:shd w:val="clear" w:fill="FFFFFF"/>
          <w:lang w:val="en-US" w:eastAsia="zh-CN" w:bidi="ar"/>
        </w:rPr>
        <w:t>九、政府性基金预算财政拨款“三公”经费支出决算....6</w:t>
      </w:r>
      <w:r>
        <w:rPr>
          <w:rFonts w:hint="eastAsia" w:ascii="仿宋" w:hAnsi="仿宋" w:eastAsia="仿宋" w:cs="仿宋"/>
          <w:color w:val="auto"/>
          <w:kern w:val="0"/>
          <w:sz w:val="32"/>
          <w:szCs w:val="32"/>
          <w:shd w:val="clear" w:fill="FFFFFF"/>
          <w:lang w:val="en-US" w:eastAsia="zh-CN" w:bidi="ar"/>
        </w:rPr>
        <w:fldChar w:fldCharType="end"/>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178" w:leftChars="74"/>
        <w:jc w:val="left"/>
        <w:textAlignment w:val="auto"/>
        <w:rPr>
          <w:rFonts w:hint="eastAsia" w:ascii="黑体" w:hAnsi="黑体" w:eastAsia="黑体" w:cs="黑体"/>
          <w:color w:val="auto"/>
          <w:kern w:val="0"/>
          <w:sz w:val="32"/>
          <w:szCs w:val="32"/>
          <w:u w:val="none"/>
        </w:rPr>
      </w:pPr>
      <w:r>
        <w:rPr>
          <w:rFonts w:hint="eastAsia" w:ascii="黑体" w:hAnsi="黑体" w:eastAsia="黑体" w:cs="黑体"/>
          <w:color w:val="auto"/>
          <w:u w:val="none"/>
        </w:rPr>
        <w:fldChar w:fldCharType="begin"/>
      </w:r>
      <w:r>
        <w:rPr>
          <w:rFonts w:hint="eastAsia" w:ascii="黑体" w:hAnsi="黑体" w:eastAsia="黑体" w:cs="黑体"/>
          <w:color w:val="auto"/>
          <w:u w:val="none"/>
        </w:rPr>
        <w:instrText xml:space="preserve"> HYPERLINK "" \l "_Toc5949 " </w:instrText>
      </w:r>
      <w:r>
        <w:rPr>
          <w:rFonts w:hint="eastAsia" w:ascii="黑体" w:hAnsi="黑体" w:eastAsia="黑体" w:cs="黑体"/>
          <w:color w:val="auto"/>
          <w:u w:val="none"/>
        </w:rPr>
        <w:fldChar w:fldCharType="separate"/>
      </w:r>
      <w:r>
        <w:rPr>
          <w:rStyle w:val="16"/>
          <w:rFonts w:hint="eastAsia" w:ascii="黑体" w:hAnsi="黑体" w:eastAsia="黑体" w:cs="黑体"/>
          <w:color w:val="auto"/>
          <w:kern w:val="0"/>
          <w:sz w:val="32"/>
          <w:szCs w:val="32"/>
          <w:u w:val="none"/>
        </w:rPr>
        <w:t>第三部分  屯昌县退役军人事务局2019年度部门决算情况说明</w:t>
      </w:r>
      <w:r>
        <w:rPr>
          <w:rStyle w:val="16"/>
          <w:rFonts w:hint="eastAsia" w:ascii="黑体" w:hAnsi="黑体" w:eastAsia="黑体" w:cs="黑体"/>
          <w:color w:val="auto"/>
          <w:kern w:val="0"/>
          <w:sz w:val="32"/>
          <w:szCs w:val="32"/>
          <w:u w:val="none"/>
        </w:rPr>
        <w:tab/>
      </w:r>
      <w:r>
        <w:rPr>
          <w:rStyle w:val="16"/>
          <w:rFonts w:hint="eastAsia" w:ascii="黑体" w:hAnsi="黑体" w:eastAsia="黑体" w:cs="黑体"/>
          <w:color w:val="auto"/>
          <w:kern w:val="0"/>
          <w:sz w:val="32"/>
          <w:szCs w:val="32"/>
          <w:u w:val="none"/>
        </w:rPr>
        <w:t>...........................................7</w:t>
      </w:r>
      <w:r>
        <w:rPr>
          <w:rFonts w:hint="eastAsia" w:ascii="黑体" w:hAnsi="黑体" w:eastAsia="黑体" w:cs="黑体"/>
          <w:color w:val="auto"/>
          <w:u w:val="none"/>
        </w:rPr>
        <w:fldChar w:fldCharType="end"/>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一、收入支出决算总体情况说明</w:t>
      </w:r>
      <w:r>
        <w:rPr>
          <w:rFonts w:hint="eastAsia" w:ascii="仿宋" w:hAnsi="仿宋" w:eastAsia="仿宋" w:cs="仿宋"/>
          <w:color w:val="auto"/>
          <w:kern w:val="0"/>
          <w:sz w:val="32"/>
          <w:szCs w:val="32"/>
          <w:shd w:val="clear" w:fill="FFFFFF"/>
        </w:rPr>
        <w:tab/>
      </w:r>
      <w:r>
        <w:rPr>
          <w:rFonts w:hint="eastAsia" w:ascii="仿宋" w:hAnsi="仿宋" w:eastAsia="仿宋" w:cs="仿宋"/>
          <w:color w:val="auto"/>
          <w:kern w:val="0"/>
          <w:sz w:val="32"/>
          <w:szCs w:val="32"/>
          <w:shd w:val="clear" w:fill="FFFFFF"/>
        </w:rPr>
        <w:t>......................7</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二、收入决算情况说明</w:t>
      </w:r>
      <w:r>
        <w:rPr>
          <w:rFonts w:hint="eastAsia" w:ascii="仿宋" w:hAnsi="仿宋" w:eastAsia="仿宋" w:cs="仿宋"/>
          <w:color w:val="auto"/>
          <w:kern w:val="0"/>
          <w:sz w:val="32"/>
          <w:szCs w:val="32"/>
          <w:shd w:val="clear" w:fill="FFFFFF"/>
        </w:rPr>
        <w:tab/>
      </w:r>
      <w:r>
        <w:rPr>
          <w:rFonts w:hint="eastAsia" w:ascii="仿宋" w:hAnsi="仿宋" w:eastAsia="仿宋" w:cs="仿宋"/>
          <w:color w:val="auto"/>
          <w:kern w:val="0"/>
          <w:sz w:val="32"/>
          <w:szCs w:val="32"/>
          <w:shd w:val="clear" w:fill="FFFFFF"/>
        </w:rPr>
        <w:t>.............................7</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三、支出决算情况说明..............................8</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四、财政拨款收入支出决算总体情况说明</w:t>
      </w:r>
      <w:r>
        <w:rPr>
          <w:rFonts w:hint="eastAsia" w:ascii="仿宋" w:hAnsi="仿宋" w:eastAsia="仿宋" w:cs="仿宋"/>
          <w:color w:val="auto"/>
          <w:kern w:val="0"/>
          <w:sz w:val="32"/>
          <w:szCs w:val="32"/>
          <w:shd w:val="clear" w:fill="FFFFFF"/>
        </w:rPr>
        <w:tab/>
      </w:r>
      <w:r>
        <w:rPr>
          <w:rFonts w:hint="eastAsia" w:ascii="仿宋" w:hAnsi="仿宋" w:eastAsia="仿宋" w:cs="仿宋"/>
          <w:color w:val="auto"/>
          <w:kern w:val="0"/>
          <w:sz w:val="32"/>
          <w:szCs w:val="32"/>
          <w:shd w:val="clear" w:fill="FFFFFF"/>
        </w:rPr>
        <w:t>..............8</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五、一般公共预算财政拨款支出决算情况说明..........8</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六、一般公共预算财政拨款基本支出决算情况说明.....11</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七、政府性基金预算财政拨款收入支出决算情况说明...12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3840" w:right="0" w:hanging="3600" w:hangingChars="1200"/>
        <w:jc w:val="left"/>
        <w:textAlignment w:val="auto"/>
        <w:rPr>
          <w:rFonts w:hint="eastAsia" w:ascii="仿宋" w:hAnsi="仿宋" w:eastAsia="仿宋" w:cs="仿宋"/>
          <w:color w:val="auto"/>
          <w:kern w:val="0"/>
          <w:sz w:val="30"/>
          <w:szCs w:val="30"/>
          <w:highlight w:val="yellow"/>
          <w:shd w:val="clear" w:fill="FFFFFF"/>
        </w:rPr>
      </w:pPr>
      <w:r>
        <w:rPr>
          <w:rFonts w:hint="eastAsia" w:ascii="仿宋" w:hAnsi="仿宋" w:eastAsia="仿宋" w:cs="仿宋"/>
          <w:color w:val="auto"/>
          <w:kern w:val="0"/>
          <w:sz w:val="30"/>
          <w:szCs w:val="30"/>
          <w:shd w:val="clear" w:fill="FFFFFF"/>
        </w:rPr>
        <w:t>八、一般公共预算财政拨款“三公”经费支出决算情况说..12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right="0"/>
        <w:jc w:val="left"/>
        <w:textAlignment w:val="auto"/>
        <w:rPr>
          <w:rFonts w:hint="eastAsia" w:ascii="仿宋" w:hAnsi="仿宋" w:eastAsia="仿宋" w:cs="仿宋"/>
          <w:color w:val="auto"/>
          <w:kern w:val="0"/>
          <w:sz w:val="30"/>
          <w:szCs w:val="30"/>
          <w:highlight w:val="yellow"/>
          <w:shd w:val="clear" w:fill="FFFFFF"/>
        </w:rPr>
      </w:pPr>
      <w:r>
        <w:rPr>
          <w:rFonts w:hint="eastAsia" w:ascii="仿宋" w:hAnsi="仿宋" w:eastAsia="仿宋" w:cs="仿宋"/>
          <w:color w:val="auto"/>
          <w:kern w:val="0"/>
          <w:sz w:val="30"/>
          <w:szCs w:val="30"/>
          <w:shd w:val="clear" w:fill="FFFFFF"/>
        </w:rPr>
        <w:t>九、政府性基金预算财政拨款“三公”经费支出决算情况..14</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十、预算绩效情况说明.............................14</w:t>
      </w:r>
    </w:p>
    <w:p>
      <w:pPr>
        <w:pStyle w:val="39"/>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ind w:left="0" w:leftChars="0" w:right="0"/>
        <w:jc w:val="left"/>
        <w:textAlignment w:val="auto"/>
        <w:rPr>
          <w:rFonts w:hint="eastAsia" w:ascii="仿宋" w:hAnsi="仿宋" w:eastAsia="仿宋" w:cs="仿宋"/>
          <w:color w:val="auto"/>
          <w:kern w:val="0"/>
          <w:sz w:val="32"/>
          <w:szCs w:val="32"/>
          <w:shd w:val="clear" w:fill="FFFFFF"/>
        </w:rPr>
      </w:pPr>
      <w:r>
        <w:rPr>
          <w:rFonts w:hint="eastAsia" w:ascii="仿宋" w:hAnsi="仿宋" w:eastAsia="仿宋" w:cs="仿宋"/>
          <w:color w:val="auto"/>
          <w:kern w:val="0"/>
          <w:sz w:val="32"/>
          <w:szCs w:val="32"/>
          <w:shd w:val="clear" w:fill="FFFFFF"/>
        </w:rPr>
        <w:t>十一、其他重要事项情况说明</w:t>
      </w:r>
      <w:r>
        <w:rPr>
          <w:rFonts w:hint="eastAsia" w:ascii="仿宋" w:hAnsi="仿宋" w:eastAsia="仿宋" w:cs="仿宋"/>
          <w:color w:val="auto"/>
          <w:kern w:val="0"/>
          <w:sz w:val="32"/>
          <w:szCs w:val="32"/>
          <w:shd w:val="clear" w:fill="FFFFFF"/>
        </w:rPr>
        <w:tab/>
      </w:r>
      <w:r>
        <w:rPr>
          <w:rFonts w:hint="eastAsia" w:ascii="仿宋" w:hAnsi="仿宋" w:eastAsia="仿宋" w:cs="仿宋"/>
          <w:color w:val="auto"/>
          <w:kern w:val="0"/>
          <w:sz w:val="32"/>
          <w:szCs w:val="32"/>
          <w:shd w:val="clear" w:fill="FFFFFF"/>
        </w:rPr>
        <w:t>.......................15</w:t>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Chars="0"/>
        <w:textAlignment w:val="auto"/>
        <w:rPr>
          <w:rFonts w:hint="eastAsia" w:ascii="黑体" w:hAnsi="宋体" w:eastAsia="黑体" w:cs="黑体"/>
          <w:color w:val="auto"/>
          <w:kern w:val="0"/>
          <w:sz w:val="32"/>
          <w:szCs w:val="32"/>
          <w:shd w:val="clear" w:fill="FFFFFF"/>
        </w:rPr>
      </w:pPr>
      <w:r>
        <w:rPr>
          <w:rFonts w:hint="eastAsia" w:ascii="黑体" w:hAnsi="宋体" w:eastAsia="黑体" w:cs="黑体"/>
          <w:color w:val="auto"/>
          <w:kern w:val="0"/>
          <w:sz w:val="32"/>
          <w:szCs w:val="32"/>
          <w:shd w:val="clear" w:fill="FFFFFF"/>
        </w:rPr>
        <w:t xml:space="preserve"> </w:t>
      </w:r>
    </w:p>
    <w:p>
      <w:pPr>
        <w:pStyle w:val="38"/>
        <w:keepNext w:val="0"/>
        <w:keepLines w:val="0"/>
        <w:pageBreakBefore w:val="0"/>
        <w:widowControl/>
        <w:kinsoku/>
        <w:wordWrap/>
        <w:overflowPunct/>
        <w:topLinePunct w:val="0"/>
        <w:autoSpaceDE/>
        <w:autoSpaceDN/>
        <w:bidi w:val="0"/>
        <w:adjustRightInd/>
        <w:snapToGrid/>
        <w:spacing w:after="313" w:afterLines="100" w:afterAutospacing="0"/>
        <w:ind w:left="178" w:leftChars="74"/>
        <w:jc w:val="left"/>
        <w:textAlignment w:val="auto"/>
        <w:rPr>
          <w:rFonts w:hint="eastAsia" w:ascii="黑体" w:hAnsi="黑体" w:eastAsia="黑体" w:cs="黑体"/>
          <w:color w:val="auto"/>
          <w:kern w:val="0"/>
          <w:sz w:val="32"/>
          <w:szCs w:val="32"/>
          <w:u w:val="none"/>
        </w:rPr>
      </w:pPr>
      <w:r>
        <w:rPr>
          <w:rFonts w:hint="eastAsia" w:ascii="黑体" w:hAnsi="黑体" w:eastAsia="黑体" w:cs="黑体"/>
          <w:color w:val="auto"/>
          <w:u w:val="none"/>
        </w:rPr>
        <w:fldChar w:fldCharType="begin"/>
      </w:r>
      <w:r>
        <w:rPr>
          <w:rFonts w:hint="eastAsia" w:ascii="黑体" w:hAnsi="黑体" w:eastAsia="黑体" w:cs="黑体"/>
          <w:color w:val="auto"/>
          <w:u w:val="none"/>
        </w:rPr>
        <w:instrText xml:space="preserve"> HYPERLINK "" \l "_Toc5048 " </w:instrText>
      </w:r>
      <w:r>
        <w:rPr>
          <w:rFonts w:hint="eastAsia" w:ascii="黑体" w:hAnsi="黑体" w:eastAsia="黑体" w:cs="黑体"/>
          <w:color w:val="auto"/>
          <w:u w:val="none"/>
        </w:rPr>
        <w:fldChar w:fldCharType="separate"/>
      </w:r>
      <w:r>
        <w:rPr>
          <w:rStyle w:val="16"/>
          <w:rFonts w:hint="eastAsia" w:ascii="黑体" w:hAnsi="黑体" w:eastAsia="黑体" w:cs="黑体"/>
          <w:color w:val="auto"/>
          <w:kern w:val="0"/>
          <w:sz w:val="32"/>
          <w:szCs w:val="32"/>
          <w:u w:val="none"/>
        </w:rPr>
        <w:t>第四部分  名词解释........................</w:t>
      </w:r>
      <w:r>
        <w:rPr>
          <w:rStyle w:val="16"/>
          <w:rFonts w:hint="eastAsia" w:ascii="黑体" w:hAnsi="黑体" w:eastAsia="黑体" w:cs="黑体"/>
          <w:color w:val="auto"/>
          <w:kern w:val="0"/>
          <w:sz w:val="32"/>
          <w:szCs w:val="32"/>
          <w:u w:val="none"/>
          <w:lang w:val="en-US" w:eastAsia="zh-CN"/>
        </w:rPr>
        <w:t>.</w:t>
      </w:r>
      <w:r>
        <w:rPr>
          <w:rStyle w:val="16"/>
          <w:rFonts w:hint="eastAsia" w:ascii="黑体" w:hAnsi="黑体" w:eastAsia="黑体" w:cs="黑体"/>
          <w:color w:val="auto"/>
          <w:kern w:val="0"/>
          <w:sz w:val="32"/>
          <w:szCs w:val="32"/>
          <w:u w:val="none"/>
        </w:rPr>
        <w:t>.....</w:t>
      </w:r>
      <w:r>
        <w:rPr>
          <w:rStyle w:val="16"/>
          <w:rFonts w:hint="eastAsia" w:ascii="黑体" w:hAnsi="黑体" w:eastAsia="黑体" w:cs="黑体"/>
          <w:color w:val="auto"/>
          <w:kern w:val="0"/>
          <w:sz w:val="32"/>
          <w:szCs w:val="32"/>
          <w:u w:val="none"/>
        </w:rPr>
        <w:tab/>
      </w:r>
      <w:r>
        <w:rPr>
          <w:rStyle w:val="16"/>
          <w:rFonts w:hint="eastAsia" w:ascii="黑体" w:hAnsi="黑体" w:eastAsia="黑体" w:cs="黑体"/>
          <w:color w:val="auto"/>
          <w:kern w:val="0"/>
          <w:sz w:val="32"/>
          <w:szCs w:val="32"/>
          <w:u w:val="none"/>
        </w:rPr>
        <w:t>16</w:t>
      </w:r>
      <w:r>
        <w:rPr>
          <w:rFonts w:hint="eastAsia" w:ascii="黑体" w:hAnsi="黑体" w:eastAsia="黑体" w:cs="黑体"/>
          <w:color w:val="auto"/>
          <w:u w:val="none"/>
        </w:rPr>
        <w:fldChar w:fldCharType="end"/>
      </w:r>
    </w:p>
    <w:p>
      <w:pPr>
        <w:shd w:val="clear" w:fill="FFFFFF"/>
        <w:spacing w:before="0" w:beforeAutospacing="1" w:after="0" w:afterAutospacing="1"/>
        <w:jc w:val="center"/>
        <w:rPr>
          <w:rFonts w:hint="eastAsia" w:ascii="黑体" w:hAnsi="宋体" w:eastAsia="黑体" w:cs="黑体"/>
          <w:kern w:val="0"/>
          <w:sz w:val="32"/>
          <w:szCs w:val="32"/>
          <w:shd w:val="clear" w:fill="FFFFFF"/>
        </w:rPr>
      </w:pPr>
      <w:bookmarkStart w:id="0" w:name="_Toc15570"/>
      <w:bookmarkEnd w:id="0"/>
      <w:bookmarkStart w:id="1" w:name="_Toc8161"/>
      <w:bookmarkEnd w:id="1"/>
      <w:bookmarkStart w:id="2" w:name="_Toc29286"/>
      <w:bookmarkEnd w:id="2"/>
      <w:bookmarkStart w:id="3" w:name="_Toc10016"/>
      <w:bookmarkEnd w:id="3"/>
      <w:bookmarkStart w:id="4" w:name="_Toc28521"/>
      <w:bookmarkEnd w:id="4"/>
      <w:bookmarkStart w:id="5" w:name="_Toc6973"/>
      <w:bookmarkEnd w:id="5"/>
      <w:bookmarkStart w:id="6" w:name="_Toc31986"/>
      <w:bookmarkEnd w:id="6"/>
      <w:bookmarkStart w:id="7" w:name="_Toc27487"/>
      <w:bookmarkEnd w:id="7"/>
      <w:bookmarkStart w:id="8" w:name="_Toc16056"/>
      <w:bookmarkEnd w:id="8"/>
      <w:bookmarkStart w:id="9" w:name="_Toc4686"/>
      <w:bookmarkEnd w:id="9"/>
      <w:bookmarkStart w:id="10" w:name="_Toc13058"/>
      <w:bookmarkEnd w:id="10"/>
      <w:bookmarkStart w:id="11" w:name="_Toc13647"/>
      <w:bookmarkEnd w:id="11"/>
      <w:bookmarkStart w:id="12" w:name="_Toc14030"/>
      <w:bookmarkEnd w:id="12"/>
      <w:bookmarkStart w:id="13" w:name="_Toc1766"/>
      <w:bookmarkEnd w:id="13"/>
      <w:bookmarkStart w:id="14" w:name="_Toc14453"/>
      <w:bookmarkEnd w:id="14"/>
      <w:bookmarkStart w:id="15" w:name="_Toc5256"/>
      <w:r>
        <w:rPr>
          <w:rFonts w:hint="eastAsia" w:ascii="黑体" w:hAnsi="宋体" w:eastAsia="黑体" w:cs="黑体"/>
          <w:kern w:val="0"/>
          <w:sz w:val="32"/>
          <w:szCs w:val="32"/>
          <w:shd w:val="clear" w:fill="FFFFFF"/>
        </w:rPr>
        <w:t xml:space="preserve"> </w:t>
      </w:r>
      <w:bookmarkEnd w:id="15"/>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both"/>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center"/>
        <w:outlineLvl w:val="0"/>
        <w:rPr>
          <w:rFonts w:hint="eastAsia" w:ascii="黑体" w:hAnsi="宋体" w:eastAsia="黑体" w:cs="黑体"/>
          <w:kern w:val="0"/>
          <w:sz w:val="32"/>
          <w:szCs w:val="32"/>
          <w:shd w:val="clear" w:fill="FFFFFF"/>
        </w:rPr>
      </w:pPr>
    </w:p>
    <w:p>
      <w:pPr>
        <w:shd w:val="clear" w:fill="FFFFFF"/>
        <w:spacing w:before="0" w:beforeAutospacing="1" w:after="0" w:afterAutospacing="1"/>
        <w:jc w:val="both"/>
        <w:outlineLvl w:val="0"/>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 xml:space="preserve">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outlineLvl w:val="0"/>
        <w:rPr>
          <w:rFonts w:hint="eastAsia" w:ascii="黑体" w:hAnsi="ˎ̥" w:eastAsia="黑体" w:cs="黑体"/>
          <w:kern w:val="0"/>
          <w:sz w:val="32"/>
          <w:szCs w:val="32"/>
          <w:shd w:val="clear" w:fill="FFFFFF"/>
        </w:rPr>
      </w:pPr>
      <w:r>
        <w:rPr>
          <w:rFonts w:hint="eastAsia" w:ascii="黑体" w:hAnsi="宋体" w:eastAsia="黑体" w:cs="黑体"/>
          <w:kern w:val="0"/>
          <w:sz w:val="32"/>
          <w:szCs w:val="32"/>
          <w:shd w:val="clear" w:fill="FFFFFF"/>
        </w:rPr>
        <w:t>第一部分</w:t>
      </w:r>
      <w:r>
        <w:rPr>
          <w:rFonts w:hint="eastAsia" w:ascii="黑体" w:hAnsi="ˎ̥" w:eastAsia="黑体" w:cs="黑体"/>
          <w:kern w:val="0"/>
          <w:sz w:val="32"/>
          <w:szCs w:val="32"/>
          <w:shd w:val="clear" w:fill="FFFFFF"/>
        </w:rPr>
        <w:t xml:space="preserve">  </w:t>
      </w:r>
      <w:r>
        <w:rPr>
          <w:rFonts w:hint="eastAsia" w:ascii="黑体" w:hAnsi="宋体" w:eastAsia="黑体" w:cs="黑体"/>
          <w:kern w:val="0"/>
          <w:sz w:val="32"/>
          <w:szCs w:val="32"/>
          <w:shd w:val="clear" w:fill="FFFFFF"/>
        </w:rPr>
        <w:t>屯昌县退役军人事务局部门概况</w:t>
      </w:r>
    </w:p>
    <w:p>
      <w:pPr>
        <w:pStyle w:val="34"/>
        <w:keepNext w:val="0"/>
        <w:keepLines w:val="0"/>
        <w:pageBreakBefore w:val="0"/>
        <w:numPr>
          <w:ilvl w:val="0"/>
          <w:numId w:val="1"/>
        </w:numPr>
        <w:shd w:val="clear" w:fill="FFFFFF"/>
        <w:kinsoku/>
        <w:wordWrap/>
        <w:overflowPunct/>
        <w:topLinePunct w:val="0"/>
        <w:autoSpaceDE/>
        <w:autoSpaceDN/>
        <w:bidi w:val="0"/>
        <w:adjustRightInd/>
        <w:snapToGrid/>
        <w:spacing w:before="0" w:beforeAutospacing="0" w:after="0" w:afterAutospacing="0" w:line="590" w:lineRule="exact"/>
        <w:ind w:left="1360" w:hanging="720" w:firstLineChars="0"/>
        <w:textAlignment w:val="auto"/>
        <w:outlineLvl w:val="1"/>
        <w:rPr>
          <w:rFonts w:hint="eastAsia" w:ascii="黑体" w:hAnsi="宋体" w:eastAsia="黑体" w:cs="黑体"/>
          <w:kern w:val="0"/>
          <w:sz w:val="32"/>
          <w:szCs w:val="32"/>
          <w:shd w:val="clear" w:fill="FFFFFF"/>
        </w:rPr>
      </w:pPr>
      <w:bookmarkStart w:id="16" w:name="_Toc29105"/>
      <w:bookmarkEnd w:id="16"/>
      <w:bookmarkStart w:id="17" w:name="_Toc14289"/>
      <w:bookmarkEnd w:id="17"/>
      <w:bookmarkStart w:id="18" w:name="_Toc26887"/>
      <w:bookmarkEnd w:id="18"/>
      <w:bookmarkStart w:id="19" w:name="_Toc18094"/>
      <w:bookmarkEnd w:id="19"/>
      <w:bookmarkStart w:id="20" w:name="_Toc9294"/>
      <w:bookmarkEnd w:id="20"/>
      <w:bookmarkStart w:id="21" w:name="_Toc866"/>
      <w:bookmarkEnd w:id="21"/>
      <w:bookmarkStart w:id="22" w:name="_Toc21569"/>
      <w:bookmarkEnd w:id="22"/>
      <w:bookmarkStart w:id="23" w:name="_Toc8650"/>
      <w:bookmarkEnd w:id="23"/>
      <w:bookmarkStart w:id="24" w:name="_Toc5014"/>
      <w:bookmarkEnd w:id="24"/>
      <w:bookmarkStart w:id="25" w:name="_Toc7877"/>
      <w:bookmarkEnd w:id="25"/>
      <w:bookmarkStart w:id="26" w:name="_Toc21310"/>
      <w:bookmarkEnd w:id="26"/>
      <w:bookmarkStart w:id="27" w:name="_Toc15769"/>
      <w:bookmarkEnd w:id="27"/>
      <w:bookmarkStart w:id="28" w:name="_Toc14374"/>
      <w:bookmarkEnd w:id="28"/>
      <w:bookmarkStart w:id="29" w:name="_Toc14077"/>
      <w:bookmarkEnd w:id="29"/>
      <w:bookmarkStart w:id="30" w:name="_Toc10715"/>
      <w:bookmarkEnd w:id="30"/>
      <w:bookmarkStart w:id="31" w:name="_Toc6117"/>
      <w:bookmarkEnd w:id="31"/>
      <w:bookmarkStart w:id="32" w:name="_Toc23340"/>
      <w:r>
        <w:rPr>
          <w:rFonts w:hint="eastAsia" w:ascii="黑体" w:hAnsi="宋体" w:eastAsia="黑体" w:cs="黑体"/>
          <w:kern w:val="0"/>
          <w:sz w:val="32"/>
          <w:szCs w:val="32"/>
          <w:shd w:val="clear" w:fill="FFFFFF"/>
        </w:rPr>
        <w:t>部门职责</w:t>
      </w:r>
      <w:bookmarkEnd w:id="32"/>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（一）贯彻落实党、国家和省委、省政府有关退役军人事务的方针政策、法律法规，执行县委、县政府的决策部署和中国（海南）自由贸易试验区、中国特色自由贸易港政策措施。</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（二）研究拟订并组织实施全县退役军人事务工作政策规定和发展规划，研究推进退役军人事务改革，研究提出全县退役军人事务方面的意见和建议。</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（三）负责全县退役义务兵、转业士官、复员干部、移交地方安置的军队离退休干部和军队无军籍退休退职职工的接收安置工作，负责自主择业、就业退役军人服务管理工作。</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（四）组织实施全县退役军人教育培训工作，协调扶持退役军人和随军随调家属就业创业。</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（五）会同有关部门拟订全县退役军人特殊保障政策和部分企业军队转业干部解困稳定政策并组织落实。</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640" w:firstLineChars="20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（六）组织协调落实移交地方的离休退军人、符合条件的其他退役军人和无军籍退休退职职工的住房保障工作，以及退役军人医疗保障、社会保险等待遇保障工作。</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640" w:firstLineChars="20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（七）组织指导全县伤病残退役军人服务管理和抚恤工作，组织实施有关退役军人医疗、疗养、养老等机构的规划建设管理。承担不适宜继续服役的伤病残军人相关工作；组织指导军供服务保障工作。</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640" w:firstLineChars="20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八）组织开展全县拥军优属工作，承担县拥军优属拥政爱民工作领导小组日常工作；负责现役军人、退役军人、军队文职人员和军属优待、抚恤等工作，落实国家和省关于国民党抗战老兵等有关人员优待政策并组织实施。</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640" w:firstLineChars="20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九）负责全县烈士及退役军人荣誉奖励、军人公墓管理维护、纪念活动等工作，依法承担英雄烈士保护相关工作，依法承担烈士纪念设施的审批、申报工作；总结表彰和宣扬退役军人、退役军人工作单位和个人先进典型事迹。</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仿宋_GB2312" w:hAnsi="宋体" w:eastAsia="仿宋_GB2312" w:cs="仿宋_GB2312"/>
          <w:kern w:val="2"/>
          <w:sz w:val="32"/>
          <w:szCs w:val="32"/>
          <w:shd w:val="clear" w:fill="FFFFFF"/>
        </w:rPr>
      </w:pPr>
      <w:r>
        <w:rPr>
          <w:rFonts w:hint="eastAsia" w:ascii="仿宋_GB2312" w:hAnsi="宋体" w:eastAsia="仿宋_GB2312" w:cs="仿宋_GB2312"/>
          <w:kern w:val="2"/>
          <w:sz w:val="32"/>
          <w:szCs w:val="32"/>
          <w:shd w:val="clear" w:fill="FFFFFF"/>
        </w:rPr>
        <w:t>（十）指导并监督检查退役军人相关法律法规和政策措施的落实，组织开展退役军人及军属权益维护和有关人员的帮扶援助工作。</w:t>
      </w:r>
    </w:p>
    <w:p>
      <w:pPr>
        <w:pStyle w:val="41"/>
        <w:keepNext w:val="0"/>
        <w:keepLines w:val="0"/>
        <w:pageBreakBefore w:val="0"/>
        <w:shd w:val="clear" w:fill="FFFFFF"/>
        <w:kinsoku/>
        <w:wordWrap/>
        <w:overflowPunct/>
        <w:topLinePunct w:val="0"/>
        <w:autoSpaceDE/>
        <w:autoSpaceDN/>
        <w:bidi w:val="0"/>
        <w:adjustRightInd/>
        <w:snapToGrid/>
        <w:spacing w:beforeAutospacing="0" w:afterAutospacing="0" w:line="590" w:lineRule="exact"/>
        <w:ind w:left="0" w:firstLine="480" w:firstLineChars="150"/>
        <w:textAlignment w:val="auto"/>
        <w:rPr>
          <w:rFonts w:hint="eastAsia" w:ascii="黑体" w:hAnsi="宋体" w:eastAsia="黑体" w:cs="黑体"/>
          <w:kern w:val="0"/>
          <w:sz w:val="32"/>
          <w:szCs w:val="32"/>
          <w:shd w:val="clear" w:fill="FFFFFF"/>
        </w:rPr>
      </w:pPr>
      <w:r>
        <w:rPr>
          <w:rFonts w:hint="eastAsia" w:ascii="仿宋_GB2312" w:hAnsi="宋体" w:eastAsia="仿宋_GB2312" w:cs="仿宋_GB2312"/>
          <w:kern w:val="2"/>
          <w:sz w:val="32"/>
          <w:szCs w:val="32"/>
          <w:shd w:val="clear" w:fill="FFFFFF"/>
        </w:rPr>
        <w:t>（十一）完成县委、县政府和上级部门交办的其他任务。</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outlineLvl w:val="1"/>
        <w:rPr>
          <w:rFonts w:hint="eastAsia" w:ascii="黑体" w:hAnsi="宋体" w:eastAsia="黑体" w:cs="黑体"/>
          <w:kern w:val="0"/>
          <w:sz w:val="32"/>
          <w:szCs w:val="32"/>
          <w:shd w:val="clear" w:fill="FFFFFF"/>
        </w:rPr>
      </w:pPr>
      <w:bookmarkStart w:id="33" w:name="_Toc29427"/>
      <w:bookmarkEnd w:id="33"/>
      <w:bookmarkStart w:id="34" w:name="_Toc17282"/>
      <w:bookmarkEnd w:id="34"/>
      <w:bookmarkStart w:id="35" w:name="_Toc18410"/>
      <w:bookmarkEnd w:id="35"/>
      <w:bookmarkStart w:id="36" w:name="_Toc32217"/>
      <w:bookmarkEnd w:id="36"/>
      <w:bookmarkStart w:id="37" w:name="_Toc17290"/>
      <w:bookmarkEnd w:id="37"/>
      <w:bookmarkStart w:id="38" w:name="_Toc12361"/>
      <w:bookmarkEnd w:id="38"/>
      <w:bookmarkStart w:id="39" w:name="_Toc6697"/>
      <w:bookmarkEnd w:id="39"/>
      <w:bookmarkStart w:id="40" w:name="_Toc12863"/>
      <w:bookmarkEnd w:id="40"/>
      <w:bookmarkStart w:id="41" w:name="_Toc28002"/>
      <w:bookmarkEnd w:id="41"/>
      <w:bookmarkStart w:id="42" w:name="_Toc794"/>
      <w:bookmarkEnd w:id="42"/>
      <w:bookmarkStart w:id="43" w:name="_Toc9950"/>
      <w:bookmarkEnd w:id="43"/>
      <w:bookmarkStart w:id="44" w:name="_Toc10527"/>
      <w:bookmarkEnd w:id="44"/>
      <w:bookmarkStart w:id="45" w:name="_Toc14472"/>
      <w:bookmarkEnd w:id="45"/>
      <w:bookmarkStart w:id="46" w:name="_Toc7246"/>
      <w:bookmarkEnd w:id="46"/>
      <w:bookmarkStart w:id="47" w:name="_Toc7950"/>
      <w:bookmarkEnd w:id="47"/>
      <w:bookmarkStart w:id="48" w:name="_Toc14088"/>
      <w:bookmarkEnd w:id="48"/>
      <w:bookmarkStart w:id="49" w:name="_Toc6488"/>
      <w:r>
        <w:rPr>
          <w:rFonts w:hint="eastAsia" w:ascii="黑体" w:hAnsi="宋体" w:eastAsia="黑体" w:cs="黑体"/>
          <w:kern w:val="0"/>
          <w:sz w:val="32"/>
          <w:szCs w:val="32"/>
          <w:shd w:val="clear" w:fill="FFFFFF"/>
        </w:rPr>
        <w:t>二、机构设置</w:t>
      </w:r>
      <w:bookmarkEnd w:id="49"/>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纳入屯昌县退役军人事务局2019年度部门决算编制范围的二级预算单位包括：</w:t>
      </w:r>
    </w:p>
    <w:p>
      <w:pPr>
        <w:pStyle w:val="34"/>
        <w:keepNext w:val="0"/>
        <w:keepLines w:val="0"/>
        <w:pageBreakBefore w:val="0"/>
        <w:numPr>
          <w:ilvl w:val="0"/>
          <w:numId w:val="2"/>
        </w:numPr>
        <w:shd w:val="clear" w:fill="FFFFFF"/>
        <w:kinsoku/>
        <w:wordWrap/>
        <w:overflowPunct/>
        <w:topLinePunct w:val="0"/>
        <w:autoSpaceDE/>
        <w:autoSpaceDN/>
        <w:bidi w:val="0"/>
        <w:adjustRightInd/>
        <w:snapToGrid/>
        <w:spacing w:before="0" w:beforeAutospacing="0" w:after="0" w:afterAutospacing="0" w:line="590" w:lineRule="exact"/>
        <w:ind w:left="1720" w:hanging="1080" w:firstLineChars="0"/>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屯昌县退役军人事务局本级</w:t>
      </w:r>
    </w:p>
    <w:p>
      <w:pPr>
        <w:pStyle w:val="34"/>
        <w:keepNext w:val="0"/>
        <w:keepLines w:val="0"/>
        <w:pageBreakBefore w:val="0"/>
        <w:widowControl w:val="0"/>
        <w:suppressLineNumbers w:val="0"/>
        <w:kinsoku/>
        <w:wordWrap/>
        <w:overflowPunct/>
        <w:topLinePunct w:val="0"/>
        <w:autoSpaceDE/>
        <w:autoSpaceDN/>
        <w:bidi w:val="0"/>
        <w:adjustRightInd/>
        <w:snapToGrid/>
        <w:spacing w:beforeAutospacing="0" w:afterAutospacing="0" w:line="590" w:lineRule="exact"/>
        <w:ind w:left="161" w:leftChars="67" w:firstLine="480" w:firstLineChars="150"/>
        <w:textAlignment w:val="auto"/>
        <w:rPr>
          <w:rFonts w:hint="eastAsia" w:ascii="仿宋_GB2312" w:hAnsi="宋体" w:eastAsia="仿宋_GB2312" w:cs="仿宋_GB2312"/>
          <w:kern w:val="0"/>
          <w:sz w:val="32"/>
          <w:szCs w:val="32"/>
        </w:rPr>
      </w:pPr>
      <w:r>
        <w:rPr>
          <w:rFonts w:hint="eastAsia" w:ascii="楷体" w:hAnsi="楷体" w:eastAsia="楷体" w:cs="楷体"/>
          <w:kern w:val="0"/>
          <w:sz w:val="32"/>
          <w:szCs w:val="32"/>
        </w:rPr>
        <w:t>（二）</w:t>
      </w:r>
      <w:r>
        <w:rPr>
          <w:rFonts w:hint="eastAsia" w:ascii="仿宋_GB2312" w:hAnsi="宋体" w:eastAsia="仿宋_GB2312" w:cs="仿宋_GB2312"/>
          <w:kern w:val="0"/>
          <w:sz w:val="32"/>
          <w:szCs w:val="32"/>
        </w:rPr>
        <w:t>屯昌县退役军人服务中心（未独立核算的下属单位）</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 xml:space="preserve">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outlineLvl w:val="0"/>
        <w:rPr>
          <w:rFonts w:hint="eastAsia" w:ascii="黑体" w:hAnsi="ˎ̥" w:eastAsia="黑体" w:cs="黑体"/>
          <w:kern w:val="0"/>
          <w:sz w:val="32"/>
          <w:szCs w:val="32"/>
          <w:shd w:val="clear" w:fill="FFFFFF"/>
        </w:rPr>
      </w:pPr>
      <w:bookmarkStart w:id="50" w:name="_Toc19714"/>
      <w:bookmarkEnd w:id="50"/>
      <w:bookmarkStart w:id="51" w:name="_Toc10515"/>
      <w:bookmarkEnd w:id="51"/>
      <w:bookmarkStart w:id="52" w:name="_Toc28357"/>
      <w:bookmarkEnd w:id="52"/>
      <w:bookmarkStart w:id="53" w:name="_Toc23507"/>
      <w:bookmarkEnd w:id="53"/>
      <w:bookmarkStart w:id="54" w:name="_Toc19338"/>
      <w:bookmarkEnd w:id="54"/>
      <w:bookmarkStart w:id="55" w:name="_Toc9447"/>
      <w:bookmarkEnd w:id="55"/>
      <w:bookmarkStart w:id="56" w:name="_Toc10735"/>
      <w:bookmarkEnd w:id="56"/>
      <w:bookmarkStart w:id="57" w:name="_Toc31473"/>
      <w:bookmarkEnd w:id="57"/>
      <w:bookmarkStart w:id="58" w:name="_Toc13362"/>
      <w:bookmarkEnd w:id="58"/>
      <w:bookmarkStart w:id="59" w:name="_Toc27467"/>
      <w:bookmarkEnd w:id="59"/>
      <w:bookmarkStart w:id="60" w:name="_Toc25554"/>
      <w:bookmarkEnd w:id="60"/>
      <w:bookmarkStart w:id="61" w:name="_Toc7445"/>
      <w:bookmarkEnd w:id="61"/>
      <w:bookmarkStart w:id="62" w:name="_Toc16812"/>
      <w:bookmarkEnd w:id="62"/>
      <w:bookmarkStart w:id="63" w:name="_Toc2713"/>
      <w:bookmarkEnd w:id="63"/>
      <w:bookmarkStart w:id="64" w:name="_Toc17363"/>
      <w:bookmarkEnd w:id="64"/>
      <w:bookmarkStart w:id="65" w:name="_Toc23005"/>
      <w:bookmarkEnd w:id="65"/>
      <w:bookmarkStart w:id="66" w:name="_Toc14908"/>
      <w:r>
        <w:rPr>
          <w:rFonts w:hint="eastAsia" w:ascii="黑体" w:hAnsi="宋体" w:eastAsia="黑体" w:cs="黑体"/>
          <w:kern w:val="0"/>
          <w:sz w:val="32"/>
          <w:szCs w:val="32"/>
          <w:shd w:val="clear" w:fill="FFFFFF"/>
        </w:rPr>
        <w:t>第二部分</w:t>
      </w:r>
      <w:bookmarkEnd w:id="66"/>
      <w:r>
        <w:rPr>
          <w:rFonts w:hint="eastAsia" w:ascii="黑体" w:hAnsi="ˎ̥" w:eastAsia="黑体" w:cs="黑体"/>
          <w:kern w:val="0"/>
          <w:sz w:val="32"/>
          <w:szCs w:val="32"/>
          <w:shd w:val="clear" w:fill="FFFFFF"/>
        </w:rPr>
        <w:t xml:space="preserve">  </w:t>
      </w:r>
      <w:r>
        <w:rPr>
          <w:rFonts w:hint="eastAsia" w:ascii="黑体" w:hAnsi="宋体" w:eastAsia="黑体" w:cs="黑体"/>
          <w:kern w:val="0"/>
          <w:sz w:val="32"/>
          <w:szCs w:val="32"/>
          <w:shd w:val="clear" w:fill="FFFFFF"/>
        </w:rPr>
        <w:t>屯昌县退役军人事务局</w:t>
      </w:r>
      <w:r>
        <w:rPr>
          <w:rFonts w:hint="eastAsia" w:ascii="黑体" w:hAnsi="ˎ̥" w:eastAsia="黑体" w:cs="黑体"/>
          <w:kern w:val="0"/>
          <w:sz w:val="32"/>
          <w:szCs w:val="32"/>
          <w:shd w:val="clear" w:fill="FFFFFF"/>
        </w:rPr>
        <w:t>2019</w:t>
      </w:r>
      <w:r>
        <w:rPr>
          <w:rFonts w:hint="eastAsia" w:ascii="黑体" w:hAnsi="宋体" w:eastAsia="黑体" w:cs="黑体"/>
          <w:kern w:val="0"/>
          <w:sz w:val="32"/>
          <w:szCs w:val="32"/>
          <w:shd w:val="clear" w:fill="FFFFFF"/>
        </w:rPr>
        <w:t>年度部门决算公开报表</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 xml:space="preserve">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outlineLvl w:val="1"/>
        <w:rPr>
          <w:rFonts w:hint="eastAsia" w:ascii="黑体" w:hAnsi="宋体" w:eastAsia="黑体" w:cs="黑体"/>
          <w:kern w:val="0"/>
          <w:sz w:val="32"/>
          <w:szCs w:val="32"/>
          <w:shd w:val="clear" w:fill="FFFFFF"/>
        </w:rPr>
      </w:pPr>
      <w:bookmarkStart w:id="67" w:name="_Toc18123"/>
      <w:bookmarkEnd w:id="67"/>
      <w:bookmarkStart w:id="68" w:name="_Toc12195"/>
      <w:bookmarkEnd w:id="68"/>
      <w:bookmarkStart w:id="69" w:name="_Toc11613"/>
      <w:bookmarkEnd w:id="69"/>
      <w:bookmarkStart w:id="70" w:name="_Toc3329"/>
      <w:bookmarkEnd w:id="70"/>
      <w:bookmarkStart w:id="71" w:name="_Toc12127"/>
      <w:bookmarkEnd w:id="71"/>
      <w:bookmarkStart w:id="72" w:name="_Toc2101"/>
      <w:bookmarkEnd w:id="72"/>
      <w:bookmarkStart w:id="73" w:name="_Toc19738"/>
      <w:bookmarkEnd w:id="73"/>
      <w:bookmarkStart w:id="74" w:name="_Toc4529"/>
      <w:bookmarkEnd w:id="74"/>
      <w:bookmarkStart w:id="75" w:name="_Toc28685"/>
      <w:bookmarkEnd w:id="75"/>
      <w:bookmarkStart w:id="76" w:name="_Toc14290"/>
      <w:bookmarkEnd w:id="76"/>
      <w:bookmarkStart w:id="77" w:name="_Toc15859"/>
      <w:bookmarkEnd w:id="77"/>
      <w:bookmarkStart w:id="78" w:name="_Toc27617"/>
      <w:bookmarkEnd w:id="78"/>
      <w:bookmarkStart w:id="79" w:name="_Toc23060"/>
      <w:bookmarkEnd w:id="79"/>
      <w:bookmarkStart w:id="80" w:name="_Toc19665"/>
      <w:bookmarkEnd w:id="80"/>
      <w:bookmarkStart w:id="81" w:name="_Toc11035"/>
      <w:bookmarkEnd w:id="81"/>
      <w:bookmarkStart w:id="82" w:name="_Toc22890"/>
      <w:bookmarkEnd w:id="82"/>
      <w:bookmarkStart w:id="83" w:name="_Toc20557"/>
      <w:r>
        <w:rPr>
          <w:rFonts w:hint="eastAsia" w:ascii="黑体" w:hAnsi="宋体" w:eastAsia="黑体" w:cs="黑体"/>
          <w:kern w:val="0"/>
          <w:sz w:val="32"/>
          <w:szCs w:val="32"/>
          <w:shd w:val="clear" w:fill="FFFFFF"/>
        </w:rPr>
        <w:t>一、收入支出决算批复表（见正文附件）。</w:t>
      </w:r>
      <w:bookmarkEnd w:id="83"/>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outlineLvl w:val="1"/>
        <w:rPr>
          <w:rFonts w:hint="eastAsia" w:ascii="黑体" w:hAnsi="宋体" w:eastAsia="黑体" w:cs="黑体"/>
          <w:kern w:val="0"/>
          <w:sz w:val="32"/>
          <w:szCs w:val="32"/>
          <w:shd w:val="clear" w:fill="FFFFFF"/>
        </w:rPr>
      </w:pPr>
      <w:bookmarkStart w:id="84" w:name="_Toc22386"/>
      <w:bookmarkEnd w:id="84"/>
      <w:bookmarkStart w:id="85" w:name="_Toc13785"/>
      <w:bookmarkEnd w:id="85"/>
      <w:bookmarkStart w:id="86" w:name="_Toc23942"/>
      <w:bookmarkEnd w:id="86"/>
      <w:bookmarkStart w:id="87" w:name="_Toc17773"/>
      <w:bookmarkEnd w:id="87"/>
      <w:bookmarkStart w:id="88" w:name="_Toc29637"/>
      <w:bookmarkEnd w:id="88"/>
      <w:bookmarkStart w:id="89" w:name="_Toc29916"/>
      <w:bookmarkEnd w:id="89"/>
      <w:bookmarkStart w:id="90" w:name="_Toc20502"/>
      <w:bookmarkEnd w:id="90"/>
      <w:bookmarkStart w:id="91" w:name="_Toc32291"/>
      <w:bookmarkEnd w:id="91"/>
      <w:bookmarkStart w:id="92" w:name="_Toc20875"/>
      <w:bookmarkEnd w:id="92"/>
      <w:bookmarkStart w:id="93" w:name="_Toc20088"/>
      <w:bookmarkEnd w:id="93"/>
      <w:bookmarkStart w:id="94" w:name="_Toc24938"/>
      <w:bookmarkEnd w:id="94"/>
      <w:bookmarkStart w:id="95" w:name="_Toc5855"/>
      <w:bookmarkEnd w:id="95"/>
      <w:bookmarkStart w:id="96" w:name="_Toc27347"/>
      <w:bookmarkEnd w:id="96"/>
      <w:bookmarkStart w:id="97" w:name="_Toc7725"/>
      <w:bookmarkEnd w:id="97"/>
      <w:bookmarkStart w:id="98" w:name="_Toc15079"/>
      <w:bookmarkEnd w:id="98"/>
      <w:bookmarkStart w:id="99" w:name="_Toc7712"/>
      <w:bookmarkEnd w:id="99"/>
      <w:bookmarkStart w:id="100" w:name="_Toc17166"/>
      <w:r>
        <w:rPr>
          <w:rFonts w:hint="eastAsia" w:ascii="黑体" w:hAnsi="宋体" w:eastAsia="黑体" w:cs="黑体"/>
          <w:kern w:val="0"/>
          <w:sz w:val="32"/>
          <w:szCs w:val="32"/>
          <w:shd w:val="clear" w:fill="FFFFFF"/>
        </w:rPr>
        <w:t>二、收入决算批复表（见正文附件）。</w:t>
      </w:r>
      <w:bookmarkEnd w:id="100"/>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outlineLvl w:val="1"/>
        <w:rPr>
          <w:rFonts w:hint="eastAsia" w:ascii="黑体" w:hAnsi="宋体" w:eastAsia="黑体" w:cs="黑体"/>
          <w:kern w:val="0"/>
          <w:sz w:val="32"/>
          <w:szCs w:val="32"/>
          <w:shd w:val="clear" w:fill="FFFFFF"/>
        </w:rPr>
      </w:pPr>
      <w:bookmarkStart w:id="101" w:name="_Toc17111"/>
      <w:bookmarkEnd w:id="101"/>
      <w:bookmarkStart w:id="102" w:name="_Toc2628"/>
      <w:bookmarkEnd w:id="102"/>
      <w:bookmarkStart w:id="103" w:name="_Toc32194"/>
      <w:bookmarkEnd w:id="103"/>
      <w:bookmarkStart w:id="104" w:name="_Toc24460"/>
      <w:bookmarkEnd w:id="104"/>
      <w:bookmarkStart w:id="105" w:name="_Toc6987"/>
      <w:bookmarkEnd w:id="105"/>
      <w:bookmarkStart w:id="106" w:name="_Toc14874"/>
      <w:bookmarkEnd w:id="106"/>
      <w:bookmarkStart w:id="107" w:name="_Toc8296"/>
      <w:bookmarkEnd w:id="107"/>
      <w:bookmarkStart w:id="108" w:name="_Toc7147"/>
      <w:bookmarkEnd w:id="108"/>
      <w:bookmarkStart w:id="109" w:name="_Toc13352"/>
      <w:bookmarkEnd w:id="109"/>
      <w:bookmarkStart w:id="110" w:name="_Toc16905"/>
      <w:bookmarkEnd w:id="110"/>
      <w:bookmarkStart w:id="111" w:name="_Toc11483"/>
      <w:bookmarkEnd w:id="111"/>
      <w:bookmarkStart w:id="112" w:name="_Toc6970"/>
      <w:bookmarkEnd w:id="112"/>
      <w:bookmarkStart w:id="113" w:name="_Toc5935"/>
      <w:bookmarkEnd w:id="113"/>
      <w:bookmarkStart w:id="114" w:name="_Toc32052"/>
      <w:bookmarkEnd w:id="114"/>
      <w:bookmarkStart w:id="115" w:name="_Toc31709"/>
      <w:bookmarkEnd w:id="115"/>
      <w:bookmarkStart w:id="116" w:name="_Toc20641"/>
      <w:bookmarkEnd w:id="116"/>
      <w:bookmarkStart w:id="117" w:name="_Toc11866"/>
      <w:r>
        <w:rPr>
          <w:rFonts w:hint="eastAsia" w:ascii="黑体" w:hAnsi="宋体" w:eastAsia="黑体" w:cs="黑体"/>
          <w:kern w:val="0"/>
          <w:sz w:val="32"/>
          <w:szCs w:val="32"/>
          <w:shd w:val="clear" w:fill="FFFFFF"/>
        </w:rPr>
        <w:t>三、支出决算批复表（见正文附件）。</w:t>
      </w:r>
      <w:bookmarkEnd w:id="117"/>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outlineLvl w:val="1"/>
        <w:rPr>
          <w:rFonts w:hint="eastAsia" w:ascii="黑体" w:hAnsi="宋体" w:eastAsia="黑体" w:cs="黑体"/>
          <w:kern w:val="0"/>
          <w:sz w:val="32"/>
          <w:szCs w:val="32"/>
          <w:shd w:val="clear" w:fill="FFFFFF"/>
        </w:rPr>
      </w:pPr>
      <w:bookmarkStart w:id="118" w:name="_Toc11222"/>
      <w:bookmarkEnd w:id="118"/>
      <w:bookmarkStart w:id="119" w:name="_Toc12279"/>
      <w:bookmarkEnd w:id="119"/>
      <w:bookmarkStart w:id="120" w:name="_Toc26807"/>
      <w:bookmarkEnd w:id="120"/>
      <w:bookmarkStart w:id="121" w:name="_Toc11347"/>
      <w:bookmarkEnd w:id="121"/>
      <w:bookmarkStart w:id="122" w:name="_Toc19772"/>
      <w:bookmarkEnd w:id="122"/>
      <w:bookmarkStart w:id="123" w:name="_Toc23"/>
      <w:bookmarkEnd w:id="123"/>
      <w:bookmarkStart w:id="124" w:name="_Toc26291"/>
      <w:bookmarkEnd w:id="124"/>
      <w:bookmarkStart w:id="125" w:name="_Toc2631"/>
      <w:bookmarkEnd w:id="125"/>
      <w:bookmarkStart w:id="126" w:name="_Toc12627"/>
      <w:bookmarkEnd w:id="126"/>
      <w:bookmarkStart w:id="127" w:name="_Toc4305"/>
      <w:bookmarkEnd w:id="127"/>
      <w:bookmarkStart w:id="128" w:name="_Toc12904"/>
      <w:bookmarkEnd w:id="128"/>
      <w:bookmarkStart w:id="129" w:name="_Toc21123"/>
      <w:bookmarkEnd w:id="129"/>
      <w:bookmarkStart w:id="130" w:name="_Toc14243"/>
      <w:bookmarkEnd w:id="130"/>
      <w:bookmarkStart w:id="131" w:name="_Toc3838"/>
      <w:bookmarkEnd w:id="131"/>
      <w:bookmarkStart w:id="132" w:name="_Toc23595"/>
      <w:bookmarkEnd w:id="132"/>
      <w:bookmarkStart w:id="133" w:name="_Toc23589"/>
      <w:bookmarkEnd w:id="133"/>
      <w:bookmarkStart w:id="134" w:name="_Toc14971"/>
      <w:r>
        <w:rPr>
          <w:rFonts w:hint="eastAsia" w:ascii="黑体" w:hAnsi="宋体" w:eastAsia="黑体" w:cs="黑体"/>
          <w:kern w:val="0"/>
          <w:sz w:val="32"/>
          <w:szCs w:val="32"/>
          <w:shd w:val="clear" w:fill="FFFFFF"/>
        </w:rPr>
        <w:t>四、财政拨款收入支出决算批复表（见正文附件）。</w:t>
      </w:r>
      <w:bookmarkEnd w:id="134"/>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outlineLvl w:val="1"/>
        <w:rPr>
          <w:rFonts w:hint="eastAsia" w:ascii="黑体" w:hAnsi="宋体" w:eastAsia="黑体" w:cs="黑体"/>
          <w:kern w:val="0"/>
          <w:sz w:val="32"/>
          <w:szCs w:val="32"/>
          <w:shd w:val="clear" w:fill="FFFFFF"/>
        </w:rPr>
      </w:pPr>
      <w:bookmarkStart w:id="135" w:name="_Toc483"/>
      <w:bookmarkEnd w:id="135"/>
      <w:bookmarkStart w:id="136" w:name="_Toc8411"/>
      <w:bookmarkEnd w:id="136"/>
      <w:bookmarkStart w:id="137" w:name="_Toc15135"/>
      <w:bookmarkEnd w:id="137"/>
      <w:bookmarkStart w:id="138" w:name="_Toc28885"/>
      <w:bookmarkEnd w:id="138"/>
      <w:bookmarkStart w:id="139" w:name="_Toc28797"/>
      <w:bookmarkEnd w:id="139"/>
      <w:bookmarkStart w:id="140" w:name="_Toc14213"/>
      <w:bookmarkEnd w:id="140"/>
      <w:bookmarkStart w:id="141" w:name="_Toc8231"/>
      <w:bookmarkEnd w:id="141"/>
      <w:bookmarkStart w:id="142" w:name="_Toc7024"/>
      <w:bookmarkEnd w:id="142"/>
      <w:bookmarkStart w:id="143" w:name="_Toc30187"/>
      <w:bookmarkEnd w:id="143"/>
      <w:bookmarkStart w:id="144" w:name="_Toc12797"/>
      <w:bookmarkEnd w:id="144"/>
      <w:bookmarkStart w:id="145" w:name="_Toc30949"/>
      <w:bookmarkEnd w:id="145"/>
      <w:bookmarkStart w:id="146" w:name="_Toc16963"/>
      <w:bookmarkEnd w:id="146"/>
      <w:bookmarkStart w:id="147" w:name="_Toc28481"/>
      <w:bookmarkEnd w:id="147"/>
      <w:bookmarkStart w:id="148" w:name="_Toc24565"/>
      <w:bookmarkEnd w:id="148"/>
      <w:bookmarkStart w:id="149" w:name="_Toc29120"/>
      <w:bookmarkEnd w:id="149"/>
      <w:bookmarkStart w:id="150" w:name="_Toc18738"/>
      <w:bookmarkEnd w:id="150"/>
      <w:bookmarkStart w:id="151" w:name="_Toc8698"/>
      <w:r>
        <w:rPr>
          <w:rFonts w:hint="eastAsia" w:ascii="黑体" w:hAnsi="宋体" w:eastAsia="黑体" w:cs="黑体"/>
          <w:kern w:val="0"/>
          <w:sz w:val="32"/>
          <w:szCs w:val="32"/>
          <w:shd w:val="clear" w:fill="FFFFFF"/>
        </w:rPr>
        <w:t>五、一般公共预算财政拨款收入支出决算批复表</w:t>
      </w:r>
      <w:bookmarkEnd w:id="151"/>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1302" w:firstLineChars="407"/>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（见正文附件）。</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outlineLvl w:val="1"/>
        <w:rPr>
          <w:rFonts w:hint="eastAsia" w:ascii="黑体" w:hAnsi="宋体" w:eastAsia="黑体" w:cs="黑体"/>
          <w:kern w:val="0"/>
          <w:sz w:val="32"/>
          <w:szCs w:val="32"/>
          <w:shd w:val="clear" w:fill="FFFFFF"/>
        </w:rPr>
      </w:pPr>
      <w:bookmarkStart w:id="152" w:name="_Toc21731"/>
      <w:bookmarkEnd w:id="152"/>
      <w:bookmarkStart w:id="153" w:name="_Toc23531"/>
      <w:bookmarkEnd w:id="153"/>
      <w:bookmarkStart w:id="154" w:name="_Toc24619"/>
      <w:bookmarkEnd w:id="154"/>
      <w:bookmarkStart w:id="155" w:name="_Toc25443"/>
      <w:bookmarkEnd w:id="155"/>
      <w:bookmarkStart w:id="156" w:name="_Toc22584"/>
      <w:bookmarkEnd w:id="156"/>
      <w:bookmarkStart w:id="157" w:name="_Toc13117"/>
      <w:bookmarkEnd w:id="157"/>
      <w:bookmarkStart w:id="158" w:name="_Toc18138"/>
      <w:bookmarkEnd w:id="158"/>
      <w:bookmarkStart w:id="159" w:name="_Toc4251"/>
      <w:bookmarkEnd w:id="159"/>
      <w:bookmarkStart w:id="160" w:name="_Toc1330"/>
      <w:bookmarkEnd w:id="160"/>
      <w:bookmarkStart w:id="161" w:name="_Toc16482"/>
      <w:bookmarkEnd w:id="161"/>
      <w:bookmarkStart w:id="162" w:name="_Toc219"/>
      <w:bookmarkEnd w:id="162"/>
      <w:bookmarkStart w:id="163" w:name="_Toc7537"/>
      <w:bookmarkEnd w:id="163"/>
      <w:bookmarkStart w:id="164" w:name="_Toc21139"/>
      <w:bookmarkEnd w:id="164"/>
      <w:bookmarkStart w:id="165" w:name="_Toc1156"/>
      <w:bookmarkEnd w:id="165"/>
      <w:bookmarkStart w:id="166" w:name="_Toc15345"/>
      <w:bookmarkEnd w:id="166"/>
      <w:bookmarkStart w:id="167" w:name="_Toc16285"/>
      <w:bookmarkEnd w:id="167"/>
      <w:bookmarkStart w:id="168" w:name="_Toc9737"/>
      <w:r>
        <w:rPr>
          <w:rFonts w:hint="eastAsia" w:ascii="黑体" w:hAnsi="宋体" w:eastAsia="黑体" w:cs="黑体"/>
          <w:kern w:val="0"/>
          <w:sz w:val="32"/>
          <w:szCs w:val="32"/>
          <w:shd w:val="clear" w:fill="FFFFFF"/>
        </w:rPr>
        <w:t>六、一般公共预算财政拨款基本支出决算批复表</w:t>
      </w:r>
      <w:bookmarkEnd w:id="168"/>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1280" w:firstLineChars="400"/>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（见正文附件）。</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1210" w:leftChars="304" w:hanging="480" w:hangingChars="150"/>
        <w:textAlignment w:val="auto"/>
        <w:outlineLvl w:val="1"/>
        <w:rPr>
          <w:rFonts w:hint="eastAsia" w:ascii="黑体" w:hAnsi="宋体" w:eastAsia="黑体" w:cs="黑体"/>
          <w:kern w:val="0"/>
          <w:sz w:val="32"/>
          <w:szCs w:val="32"/>
          <w:shd w:val="clear" w:fill="FFFFFF"/>
        </w:rPr>
      </w:pPr>
      <w:bookmarkStart w:id="169" w:name="_Toc15862"/>
      <w:bookmarkEnd w:id="169"/>
      <w:bookmarkStart w:id="170" w:name="_Toc11161"/>
      <w:bookmarkEnd w:id="170"/>
      <w:bookmarkStart w:id="171" w:name="_Toc30515"/>
      <w:bookmarkEnd w:id="171"/>
      <w:bookmarkStart w:id="172" w:name="_Toc1758"/>
      <w:bookmarkEnd w:id="172"/>
      <w:bookmarkStart w:id="173" w:name="_Toc14333"/>
      <w:bookmarkEnd w:id="173"/>
      <w:bookmarkStart w:id="174" w:name="_Toc7842"/>
      <w:bookmarkEnd w:id="174"/>
      <w:bookmarkStart w:id="175" w:name="_Toc32261"/>
      <w:bookmarkEnd w:id="175"/>
      <w:bookmarkStart w:id="176" w:name="_Toc26511"/>
      <w:bookmarkEnd w:id="176"/>
      <w:bookmarkStart w:id="177" w:name="_Toc26703"/>
      <w:bookmarkEnd w:id="177"/>
      <w:bookmarkStart w:id="178" w:name="_Toc6511"/>
      <w:bookmarkEnd w:id="178"/>
      <w:bookmarkStart w:id="179" w:name="_Toc5849"/>
      <w:bookmarkEnd w:id="179"/>
      <w:bookmarkStart w:id="180" w:name="_Toc22492"/>
      <w:bookmarkEnd w:id="180"/>
      <w:bookmarkStart w:id="181" w:name="_Toc22846"/>
      <w:bookmarkEnd w:id="181"/>
      <w:bookmarkStart w:id="182" w:name="_Toc11843"/>
      <w:bookmarkEnd w:id="182"/>
      <w:bookmarkStart w:id="183" w:name="_Toc28786"/>
      <w:bookmarkEnd w:id="183"/>
      <w:bookmarkStart w:id="184" w:name="_Toc28375"/>
      <w:bookmarkEnd w:id="184"/>
      <w:bookmarkStart w:id="185" w:name="_Toc4012"/>
      <w:r>
        <w:rPr>
          <w:rFonts w:hint="eastAsia" w:ascii="黑体" w:hAnsi="宋体" w:eastAsia="黑体" w:cs="黑体"/>
          <w:kern w:val="0"/>
          <w:sz w:val="32"/>
          <w:szCs w:val="32"/>
          <w:shd w:val="clear" w:fill="FFFFFF"/>
        </w:rPr>
        <w:t>七、政府性基金预算财政拨款收入支出决算批复表</w:t>
      </w:r>
      <w:bookmarkEnd w:id="185"/>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1459" w:leftChars="608" w:firstLine="160" w:firstLineChars="50"/>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（见正文附件）。</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outlineLvl w:val="1"/>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 xml:space="preserve">    </w:t>
      </w:r>
      <w:bookmarkStart w:id="186" w:name="_Toc10424"/>
      <w:bookmarkEnd w:id="186"/>
      <w:bookmarkStart w:id="187" w:name="_Toc6727"/>
      <w:bookmarkEnd w:id="187"/>
      <w:bookmarkStart w:id="188" w:name="_Toc5388"/>
      <w:bookmarkEnd w:id="188"/>
      <w:bookmarkStart w:id="189" w:name="_Toc26916"/>
      <w:bookmarkEnd w:id="189"/>
      <w:bookmarkStart w:id="190" w:name="_Toc5895"/>
      <w:bookmarkEnd w:id="190"/>
      <w:bookmarkStart w:id="191" w:name="_Toc8500"/>
      <w:bookmarkEnd w:id="191"/>
      <w:bookmarkStart w:id="192" w:name="_Toc12860"/>
      <w:bookmarkEnd w:id="192"/>
      <w:bookmarkStart w:id="193" w:name="_Toc30669"/>
      <w:bookmarkEnd w:id="193"/>
      <w:bookmarkStart w:id="194" w:name="_Toc2803"/>
      <w:bookmarkEnd w:id="194"/>
      <w:bookmarkStart w:id="195" w:name="_Toc30017"/>
      <w:bookmarkEnd w:id="195"/>
      <w:bookmarkStart w:id="196" w:name="_Toc1954"/>
      <w:bookmarkEnd w:id="196"/>
      <w:bookmarkStart w:id="197" w:name="_Toc2110"/>
      <w:bookmarkEnd w:id="197"/>
      <w:bookmarkStart w:id="198" w:name="_Toc15626"/>
      <w:bookmarkEnd w:id="198"/>
      <w:bookmarkStart w:id="199" w:name="_Toc3854"/>
      <w:bookmarkEnd w:id="199"/>
      <w:bookmarkStart w:id="200" w:name="_Toc18444"/>
      <w:bookmarkEnd w:id="200"/>
      <w:bookmarkStart w:id="201" w:name="_Toc17033"/>
      <w:bookmarkEnd w:id="201"/>
      <w:bookmarkStart w:id="202" w:name="_Toc16642"/>
      <w:r>
        <w:rPr>
          <w:rFonts w:hint="eastAsia" w:ascii="黑体" w:hAnsi="宋体" w:eastAsia="黑体" w:cs="黑体"/>
          <w:kern w:val="0"/>
          <w:sz w:val="32"/>
          <w:szCs w:val="32"/>
          <w:shd w:val="clear" w:fill="FFFFFF"/>
        </w:rPr>
        <w:t>八、一般公共预算财政拨款“三公”经费支出决算</w:t>
      </w:r>
      <w:bookmarkEnd w:id="202"/>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 xml:space="preserve">         批复表（见正文附件）。</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outlineLvl w:val="1"/>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 xml:space="preserve">    </w:t>
      </w:r>
      <w:bookmarkStart w:id="203" w:name="_Toc28274"/>
      <w:bookmarkEnd w:id="203"/>
      <w:bookmarkStart w:id="204" w:name="_Toc20318"/>
      <w:bookmarkEnd w:id="204"/>
      <w:bookmarkStart w:id="205" w:name="_Toc32696"/>
      <w:bookmarkEnd w:id="205"/>
      <w:bookmarkStart w:id="206" w:name="_Toc3450"/>
      <w:bookmarkEnd w:id="206"/>
      <w:bookmarkStart w:id="207" w:name="_Toc12745"/>
      <w:bookmarkEnd w:id="207"/>
      <w:bookmarkStart w:id="208" w:name="_Toc29785"/>
      <w:bookmarkEnd w:id="208"/>
      <w:bookmarkStart w:id="209" w:name="_Toc9142"/>
      <w:bookmarkEnd w:id="209"/>
      <w:bookmarkStart w:id="210" w:name="_Toc2571"/>
      <w:bookmarkEnd w:id="210"/>
      <w:bookmarkStart w:id="211" w:name="_Toc18574"/>
      <w:bookmarkEnd w:id="211"/>
      <w:bookmarkStart w:id="212" w:name="_Toc16235"/>
      <w:bookmarkEnd w:id="212"/>
      <w:bookmarkStart w:id="213" w:name="_Toc4050"/>
      <w:bookmarkEnd w:id="213"/>
      <w:bookmarkStart w:id="214" w:name="_Toc12103"/>
      <w:bookmarkEnd w:id="214"/>
      <w:bookmarkStart w:id="215" w:name="_Toc19307"/>
      <w:bookmarkEnd w:id="215"/>
      <w:bookmarkStart w:id="216" w:name="_Toc27972"/>
      <w:bookmarkEnd w:id="216"/>
      <w:bookmarkStart w:id="217" w:name="_Toc29032"/>
      <w:bookmarkEnd w:id="217"/>
      <w:bookmarkStart w:id="218" w:name="_Toc18950"/>
      <w:bookmarkEnd w:id="218"/>
      <w:bookmarkStart w:id="219" w:name="_Toc13106"/>
      <w:r>
        <w:rPr>
          <w:rFonts w:hint="eastAsia" w:ascii="黑体" w:hAnsi="宋体" w:eastAsia="黑体" w:cs="黑体"/>
          <w:kern w:val="0"/>
          <w:sz w:val="32"/>
          <w:szCs w:val="32"/>
          <w:shd w:val="clear" w:fill="FFFFFF"/>
        </w:rPr>
        <w:t>九、政府性基金预算财政拨款“三公”经费支出决算</w:t>
      </w:r>
      <w:bookmarkEnd w:id="219"/>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楷体" w:hAnsi="楷体" w:eastAsia="楷体" w:cs="楷体"/>
          <w:kern w:val="0"/>
          <w:sz w:val="32"/>
          <w:szCs w:val="32"/>
          <w:shd w:val="clear" w:fill="FFFFFF"/>
        </w:rPr>
      </w:pPr>
      <w:r>
        <w:rPr>
          <w:rFonts w:hint="eastAsia" w:ascii="黑体" w:hAnsi="宋体" w:eastAsia="黑体" w:cs="黑体"/>
          <w:kern w:val="0"/>
          <w:sz w:val="32"/>
          <w:szCs w:val="32"/>
          <w:shd w:val="clear" w:fill="FFFFFF"/>
        </w:rPr>
        <w:t xml:space="preserve">          批复表（见正文附件）。</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宋体" w:eastAsia="黑体" w:cs="黑体"/>
          <w:kern w:val="0"/>
          <w:sz w:val="30"/>
          <w:szCs w:val="30"/>
          <w:shd w:val="clear" w:fill="FFFFFF"/>
        </w:rPr>
      </w:pPr>
      <w:bookmarkStart w:id="220" w:name="_Toc22826"/>
      <w:bookmarkEnd w:id="220"/>
      <w:bookmarkStart w:id="221" w:name="_Toc2841"/>
      <w:r>
        <w:rPr>
          <w:rFonts w:hint="eastAsia" w:ascii="黑体" w:hAnsi="宋体" w:eastAsia="黑体" w:cs="黑体"/>
          <w:kern w:val="0"/>
          <w:sz w:val="32"/>
          <w:szCs w:val="32"/>
          <w:shd w:val="clear" w:fill="FFFFFF"/>
        </w:rPr>
        <w:t xml:space="preserve"> </w:t>
      </w:r>
      <w:bookmarkEnd w:id="221"/>
      <w:bookmarkStart w:id="222" w:name="_Toc27339"/>
      <w:bookmarkEnd w:id="222"/>
      <w:bookmarkStart w:id="223" w:name="_Toc3174"/>
      <w:bookmarkEnd w:id="223"/>
      <w:bookmarkStart w:id="224" w:name="_Toc8954"/>
      <w:r>
        <w:rPr>
          <w:rFonts w:hint="eastAsia" w:ascii="黑体" w:hAnsi="宋体" w:eastAsia="黑体" w:cs="黑体"/>
          <w:kern w:val="0"/>
          <w:sz w:val="32"/>
          <w:szCs w:val="32"/>
          <w:shd w:val="clear" w:fill="FFFFFF"/>
        </w:rPr>
        <w:t xml:space="preserve"> </w:t>
      </w:r>
      <w:bookmarkEnd w:id="224"/>
      <w:bookmarkStart w:id="225" w:name="_Toc3777"/>
      <w:bookmarkEnd w:id="225"/>
      <w:bookmarkStart w:id="226" w:name="_Toc24070"/>
      <w:bookmarkEnd w:id="226"/>
      <w:bookmarkStart w:id="227" w:name="_Toc18328"/>
      <w:bookmarkEnd w:id="227"/>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outlineLvl w:val="0"/>
        <w:rPr>
          <w:rFonts w:hint="eastAsia" w:ascii="黑体" w:hAnsi="宋体" w:eastAsia="黑体" w:cs="黑体"/>
          <w:kern w:val="0"/>
          <w:sz w:val="32"/>
          <w:szCs w:val="32"/>
          <w:shd w:val="clear" w:fill="FFFFFF"/>
        </w:rPr>
      </w:pPr>
      <w:bookmarkStart w:id="228" w:name="_Toc10999"/>
      <w:bookmarkEnd w:id="228"/>
      <w:bookmarkStart w:id="229" w:name="_Toc479"/>
      <w:bookmarkEnd w:id="229"/>
      <w:bookmarkStart w:id="230" w:name="_Toc3369"/>
      <w:bookmarkEnd w:id="230"/>
      <w:bookmarkStart w:id="231" w:name="_Toc26969"/>
      <w:bookmarkEnd w:id="231"/>
      <w:bookmarkStart w:id="232" w:name="_Toc27399"/>
      <w:bookmarkEnd w:id="232"/>
      <w:bookmarkStart w:id="233" w:name="_Toc26834"/>
      <w:bookmarkEnd w:id="233"/>
      <w:bookmarkStart w:id="234" w:name="_Toc16995"/>
      <w:bookmarkEnd w:id="234"/>
      <w:bookmarkStart w:id="235" w:name="_Toc5949"/>
      <w:r>
        <w:rPr>
          <w:rFonts w:hint="eastAsia" w:ascii="黑体" w:hAnsi="宋体" w:eastAsia="黑体" w:cs="黑体"/>
          <w:kern w:val="0"/>
          <w:sz w:val="32"/>
          <w:szCs w:val="32"/>
          <w:shd w:val="clear" w:fill="FFFFFF"/>
        </w:rPr>
        <w:t>第三部分</w:t>
      </w:r>
      <w:bookmarkEnd w:id="235"/>
      <w:r>
        <w:rPr>
          <w:rFonts w:hint="eastAsia" w:ascii="黑体" w:hAnsi="ˎ̥" w:eastAsia="黑体" w:cs="黑体"/>
          <w:kern w:val="0"/>
          <w:sz w:val="32"/>
          <w:szCs w:val="32"/>
          <w:shd w:val="clear" w:fill="FFFFFF"/>
        </w:rPr>
        <w:t xml:space="preserve">  </w:t>
      </w:r>
      <w:r>
        <w:rPr>
          <w:rFonts w:hint="eastAsia" w:ascii="黑体" w:hAnsi="宋体" w:eastAsia="黑体" w:cs="黑体"/>
          <w:kern w:val="0"/>
          <w:sz w:val="32"/>
          <w:szCs w:val="32"/>
          <w:shd w:val="clear" w:fill="FFFFFF"/>
        </w:rPr>
        <w:t>屯昌县退役军人事务局</w:t>
      </w:r>
      <w:r>
        <w:rPr>
          <w:rFonts w:hint="eastAsia" w:ascii="黑体" w:hAnsi="ˎ̥" w:eastAsia="黑体" w:cs="黑体"/>
          <w:kern w:val="0"/>
          <w:sz w:val="32"/>
          <w:szCs w:val="32"/>
          <w:shd w:val="clear" w:fill="FFFFFF"/>
        </w:rPr>
        <w:t>2019</w:t>
      </w:r>
      <w:r>
        <w:rPr>
          <w:rFonts w:hint="eastAsia" w:ascii="黑体" w:hAnsi="宋体" w:eastAsia="黑体" w:cs="黑体"/>
          <w:kern w:val="0"/>
          <w:sz w:val="32"/>
          <w:szCs w:val="32"/>
          <w:shd w:val="clear" w:fill="FFFFFF"/>
        </w:rPr>
        <w:t>年度部门决算情况说明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outlineLvl w:val="0"/>
        <w:rPr>
          <w:rFonts w:hint="eastAsia" w:ascii="黑体" w:hAnsi="ˎ̥" w:eastAsia="黑体" w:cs="黑体"/>
          <w:kern w:val="0"/>
          <w:sz w:val="30"/>
          <w:szCs w:val="30"/>
          <w:shd w:val="clear" w:fill="FFFFFF"/>
        </w:rPr>
      </w:pP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黑体" w:hAnsi="宋体" w:eastAsia="黑体" w:cs="黑体"/>
          <w:kern w:val="0"/>
          <w:sz w:val="32"/>
          <w:szCs w:val="32"/>
          <w:shd w:val="clear" w:fill="FFFFFF"/>
        </w:rPr>
        <w:t>一、收入支出决算总体情况说明</w:t>
      </w:r>
      <w:r>
        <w:rPr>
          <w:rFonts w:hint="eastAsia" w:ascii="黑体" w:hAnsi="宋体" w:eastAsia="黑体" w:cs="黑体"/>
          <w:kern w:val="0"/>
          <w:sz w:val="32"/>
          <w:szCs w:val="32"/>
          <w:shd w:val="clear" w:fill="FFFFFF"/>
        </w:rPr>
        <w:br w:type="textWrapping"/>
      </w:r>
      <w:r>
        <w:rPr>
          <w:rFonts w:hint="eastAsia" w:ascii="楷体_GB2312" w:hAnsi="ˎ̥" w:eastAsia="楷体_GB2312" w:cs="楷体_GB2312"/>
          <w:kern w:val="0"/>
          <w:sz w:val="32"/>
          <w:szCs w:val="32"/>
          <w:shd w:val="clear" w:fill="FFFFFF"/>
        </w:rPr>
        <w:t xml:space="preserve">    </w:t>
      </w:r>
      <w:r>
        <w:rPr>
          <w:rFonts w:hint="eastAsia" w:ascii="仿宋_GB2312" w:hAnsi="ˎ̥" w:eastAsia="仿宋_GB2312" w:cs="仿宋_GB2312"/>
          <w:kern w:val="0"/>
          <w:sz w:val="32"/>
          <w:szCs w:val="32"/>
          <w:shd w:val="clear" w:fill="FFFFFF"/>
        </w:rPr>
        <w:t>2019年度收、支总计</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万元，与2018年度相比，收入、支出总计各增加1073.91万元，增长100%。主要原因：2019年新成立单位。用事业基金弥补收支差额</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万元，较2018年度决算数增加（减少）0万元。年初结转结余</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万元，较2018年度决算数增加（减少）0万元，增长（下降）0%，主要原因是2019年新成立单位。结余分配0万元，，较2018年度决算数增加（减少）0万元，增长（下降）0%，主要原因是2019年新成立单位。年末结转结余</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万元，较2018年度决算数增加（减少）0万元，增长（下降）0%，主要原因是2019年新成立单位。</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二、收入决算情况说明</w:t>
      </w:r>
      <w:r>
        <w:rPr>
          <w:rFonts w:hint="eastAsia" w:ascii="宋体" w:hAnsi="宋体" w:eastAsia="宋体" w:cs="宋体"/>
          <w:kern w:val="0"/>
          <w:sz w:val="24"/>
          <w:szCs w:val="24"/>
          <w:shd w:val="clear" w:fill="FFFFFF"/>
        </w:rPr>
        <w:br w:type="textWrapping"/>
      </w:r>
      <w:r>
        <w:rPr>
          <w:rFonts w:hint="eastAsia" w:ascii="仿宋_GB2312" w:hAnsi="ˎ̥" w:eastAsia="仿宋_GB2312" w:cs="仿宋_GB2312"/>
          <w:kern w:val="0"/>
          <w:sz w:val="32"/>
          <w:szCs w:val="32"/>
          <w:shd w:val="clear" w:fill="FFFFFF"/>
        </w:rPr>
        <w:t xml:space="preserve">    本年收入合计</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万元，其中：财政拨款收入</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万元，占100%；上级补助收入</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万元，占0%；事业收入</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万元，占0%；经营收入</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万元，占0%；附属单位上缴收入</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万元，占0%；其他收入</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三、支出决算情况说明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本年支出合计</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万元，其中：基本支出</w:t>
      </w:r>
      <w:r>
        <w:rPr>
          <w:rFonts w:hint="eastAsia" w:ascii="仿宋_GB2312" w:hAnsi="宋体" w:eastAsia="仿宋_GB2312" w:cs="仿宋_GB2312"/>
          <w:kern w:val="0"/>
          <w:sz w:val="32"/>
          <w:szCs w:val="32"/>
          <w:shd w:val="clear" w:fill="FFFFFF"/>
        </w:rPr>
        <w:t>47.05</w:t>
      </w:r>
      <w:r>
        <w:rPr>
          <w:rFonts w:hint="eastAsia" w:ascii="仿宋_GB2312" w:hAnsi="ˎ̥" w:eastAsia="仿宋_GB2312" w:cs="仿宋_GB2312"/>
          <w:kern w:val="0"/>
          <w:sz w:val="32"/>
          <w:szCs w:val="32"/>
          <w:shd w:val="clear" w:fill="FFFFFF"/>
        </w:rPr>
        <w:t>万元，占4.38%；项目支出</w:t>
      </w:r>
      <w:r>
        <w:rPr>
          <w:rFonts w:hint="eastAsia" w:ascii="仿宋_GB2312" w:hAnsi="宋体" w:eastAsia="仿宋_GB2312" w:cs="仿宋_GB2312"/>
          <w:kern w:val="0"/>
          <w:sz w:val="32"/>
          <w:szCs w:val="32"/>
          <w:shd w:val="clear" w:fill="FFFFFF"/>
        </w:rPr>
        <w:t>1,026.86</w:t>
      </w:r>
      <w:r>
        <w:rPr>
          <w:rFonts w:hint="eastAsia" w:ascii="仿宋_GB2312" w:hAnsi="ˎ̥" w:eastAsia="仿宋_GB2312" w:cs="仿宋_GB2312"/>
          <w:kern w:val="0"/>
          <w:sz w:val="32"/>
          <w:szCs w:val="32"/>
          <w:shd w:val="clear" w:fill="FFFFFF"/>
        </w:rPr>
        <w:t>万元，占95.62%；上缴上级支出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万元，占0%；经营支出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万元，占0%；对附属单位补助支出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四、财政拨款收入支出决算总体情况说明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2019年度财政拨款收入、支出总计</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万元。与2018年度相比，财政拨款收入、支出总计各增加（减少）1073.91万元，增长（下降）100%。主要原因：2019年新成立单位，2018年无数据。</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财政拨款年初结转结余</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万元，较2018年度决算数增加（减少）0万元，增长（下降）0%，主要原因是2019年新成立单位，2018年无数据。</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财政拨款年末结转结余</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万元，较2018年度年末决算数增加（减少）0万元，增长（下降）0%，主要原因是2019年新成立单位，2018年无数据。</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五、一般公共预算财政拨款支出决算情况说明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（一）一般公共预算财政拨款支出决算总体情况。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2019年度一般公共预算财政拨款支出</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万元，占本年支出合计的100%。与2018年度相比，财政拨款支出增加1073.91万元，增长100%，主要原因是2019年新成立单位，2018年无数据。</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（二）一般公共预算财政拨款支出决算结构情况。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2019年度一般公共预算财政拨款支出</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万元，主要用于以下方面：</w:t>
      </w:r>
      <w:r>
        <w:rPr>
          <w:rFonts w:hint="eastAsia" w:ascii="仿宋_GB2312" w:hAnsi="ˎ̥" w:eastAsia="仿宋_GB2312" w:cs="仿宋_GB2312"/>
          <w:b/>
          <w:kern w:val="0"/>
          <w:sz w:val="32"/>
          <w:szCs w:val="32"/>
          <w:shd w:val="clear" w:fill="FFFFFF"/>
        </w:rPr>
        <w:t>一般公共服务（类）</w:t>
      </w:r>
      <w:r>
        <w:rPr>
          <w:rFonts w:hint="eastAsia" w:ascii="仿宋_GB2312" w:hAnsi="ˎ̥" w:eastAsia="仿宋_GB2312" w:cs="仿宋_GB2312"/>
          <w:kern w:val="0"/>
          <w:sz w:val="32"/>
          <w:szCs w:val="32"/>
          <w:shd w:val="clear" w:fill="FFFFFF"/>
        </w:rPr>
        <w:t>支出34.42万元，占3.2%；</w:t>
      </w:r>
      <w:r>
        <w:rPr>
          <w:rFonts w:hint="eastAsia" w:ascii="仿宋_GB2312" w:hAnsi="ˎ̥" w:eastAsia="仿宋_GB2312" w:cs="仿宋_GB2312"/>
          <w:b/>
          <w:kern w:val="0"/>
          <w:sz w:val="32"/>
          <w:szCs w:val="32"/>
          <w:shd w:val="clear" w:fill="FFFFFF"/>
        </w:rPr>
        <w:t>教育（类）</w:t>
      </w:r>
      <w:r>
        <w:rPr>
          <w:rFonts w:hint="eastAsia" w:ascii="仿宋_GB2312" w:hAnsi="ˎ̥" w:eastAsia="仿宋_GB2312" w:cs="仿宋_GB2312"/>
          <w:kern w:val="0"/>
          <w:sz w:val="32"/>
          <w:szCs w:val="32"/>
          <w:shd w:val="clear" w:fill="FFFFFF"/>
        </w:rPr>
        <w:t>支出9.56万元，占0.89%，</w:t>
      </w:r>
      <w:r>
        <w:rPr>
          <w:rFonts w:hint="eastAsia" w:ascii="仿宋_GB2312" w:hAnsi="ˎ̥" w:eastAsia="仿宋_GB2312" w:cs="仿宋_GB2312"/>
          <w:b/>
          <w:kern w:val="0"/>
          <w:sz w:val="32"/>
          <w:szCs w:val="32"/>
          <w:shd w:val="clear" w:fill="FFFFFF"/>
        </w:rPr>
        <w:t>科学技术（类）</w:t>
      </w:r>
      <w:r>
        <w:rPr>
          <w:rFonts w:hint="eastAsia" w:ascii="仿宋_GB2312" w:hAnsi="ˎ̥" w:eastAsia="仿宋_GB2312" w:cs="仿宋_GB2312"/>
          <w:kern w:val="0"/>
          <w:sz w:val="32"/>
          <w:szCs w:val="32"/>
          <w:shd w:val="clear" w:fill="FFFFFF"/>
        </w:rPr>
        <w:t>支出1万元，占0.093%，</w:t>
      </w:r>
      <w:r>
        <w:rPr>
          <w:rFonts w:hint="eastAsia" w:ascii="仿宋_GB2312" w:hAnsi="ˎ̥" w:eastAsia="仿宋_GB2312" w:cs="仿宋_GB2312"/>
          <w:b/>
          <w:kern w:val="0"/>
          <w:sz w:val="32"/>
          <w:szCs w:val="32"/>
          <w:shd w:val="clear" w:fill="FFFFFF"/>
        </w:rPr>
        <w:t>社会保障和就业（类）</w:t>
      </w:r>
      <w:r>
        <w:rPr>
          <w:rFonts w:hint="eastAsia" w:ascii="仿宋_GB2312" w:hAnsi="ˎ̥" w:eastAsia="仿宋_GB2312" w:cs="仿宋_GB2312"/>
          <w:kern w:val="0"/>
          <w:sz w:val="32"/>
          <w:szCs w:val="32"/>
          <w:shd w:val="clear" w:fill="FFFFFF"/>
        </w:rPr>
        <w:t>支出983.2万元，占91.55%；</w:t>
      </w:r>
      <w:r>
        <w:rPr>
          <w:rFonts w:hint="eastAsia" w:ascii="仿宋_GB2312" w:hAnsi="ˎ̥" w:eastAsia="仿宋_GB2312" w:cs="仿宋_GB2312"/>
          <w:b/>
          <w:kern w:val="0"/>
          <w:sz w:val="32"/>
          <w:szCs w:val="32"/>
          <w:shd w:val="clear" w:fill="FFFFFF"/>
        </w:rPr>
        <w:t>卫生健康（类）</w:t>
      </w:r>
      <w:r>
        <w:rPr>
          <w:rFonts w:hint="eastAsia" w:ascii="仿宋_GB2312" w:hAnsi="ˎ̥" w:eastAsia="仿宋_GB2312" w:cs="仿宋_GB2312"/>
          <w:kern w:val="0"/>
          <w:sz w:val="32"/>
          <w:szCs w:val="32"/>
          <w:shd w:val="clear" w:fill="FFFFFF"/>
        </w:rPr>
        <w:t>支出42.59万元，占3.97%；</w:t>
      </w:r>
      <w:r>
        <w:rPr>
          <w:rFonts w:hint="eastAsia" w:ascii="仿宋_GB2312" w:hAnsi="ˎ̥" w:eastAsia="仿宋_GB2312" w:cs="仿宋_GB2312"/>
          <w:b/>
          <w:kern w:val="0"/>
          <w:sz w:val="32"/>
          <w:szCs w:val="32"/>
          <w:shd w:val="clear" w:fill="FFFFFF"/>
        </w:rPr>
        <w:t>节能环保（类）</w:t>
      </w:r>
      <w:r>
        <w:rPr>
          <w:rFonts w:hint="eastAsia" w:ascii="仿宋_GB2312" w:hAnsi="ˎ̥" w:eastAsia="仿宋_GB2312" w:cs="仿宋_GB2312"/>
          <w:kern w:val="0"/>
          <w:sz w:val="32"/>
          <w:szCs w:val="32"/>
          <w:shd w:val="clear" w:fill="FFFFFF"/>
        </w:rPr>
        <w:t>支出0.9万元，占0.084%；</w:t>
      </w:r>
      <w:r>
        <w:rPr>
          <w:rFonts w:hint="eastAsia" w:ascii="仿宋_GB2312" w:hAnsi="ˎ̥" w:eastAsia="仿宋_GB2312" w:cs="仿宋_GB2312"/>
          <w:b/>
          <w:kern w:val="0"/>
          <w:sz w:val="32"/>
          <w:szCs w:val="32"/>
          <w:shd w:val="clear" w:fill="FFFFFF"/>
        </w:rPr>
        <w:t>住房保障（类）</w:t>
      </w:r>
      <w:r>
        <w:rPr>
          <w:rFonts w:hint="eastAsia" w:ascii="仿宋_GB2312" w:hAnsi="ˎ̥" w:eastAsia="仿宋_GB2312" w:cs="仿宋_GB2312"/>
          <w:kern w:val="0"/>
          <w:sz w:val="32"/>
          <w:szCs w:val="32"/>
          <w:shd w:val="clear" w:fill="FFFFFF"/>
        </w:rPr>
        <w:t>支出2.24万元，占0.2%。</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楷体" w:hAnsi="楷体" w:eastAsia="楷体" w:cs="楷体"/>
          <w:kern w:val="0"/>
          <w:sz w:val="32"/>
          <w:szCs w:val="32"/>
          <w:shd w:val="clear" w:fill="FFFFFF"/>
        </w:rPr>
      </w:pPr>
      <w:r>
        <w:rPr>
          <w:rFonts w:hint="eastAsia" w:ascii="楷体" w:hAnsi="楷体" w:eastAsia="楷体" w:cs="楷体"/>
          <w:kern w:val="0"/>
          <w:sz w:val="32"/>
          <w:szCs w:val="32"/>
          <w:shd w:val="clear" w:fill="FFFFFF"/>
        </w:rPr>
        <w:t>（三）一般公共预算财政拨款支出决算具体情况。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2019年度财政拨款支出年初预算为0万元，支出决算为</w:t>
      </w:r>
      <w:r>
        <w:rPr>
          <w:rFonts w:hint="eastAsia" w:ascii="仿宋_GB2312" w:hAnsi="宋体" w:eastAsia="仿宋_GB2312" w:cs="仿宋_GB2312"/>
          <w:kern w:val="0"/>
          <w:sz w:val="32"/>
          <w:szCs w:val="32"/>
          <w:shd w:val="clear" w:fill="FFFFFF"/>
        </w:rPr>
        <w:t>1,073.91</w:t>
      </w:r>
      <w:r>
        <w:rPr>
          <w:rFonts w:hint="eastAsia" w:ascii="仿宋_GB2312" w:hAnsi="ˎ̥" w:eastAsia="仿宋_GB2312" w:cs="仿宋_GB2312"/>
          <w:kern w:val="0"/>
          <w:sz w:val="32"/>
          <w:szCs w:val="32"/>
          <w:shd w:val="clear" w:fill="FFFFFF"/>
        </w:rPr>
        <w:t>万元。其中：</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b/>
          <w:kern w:val="0"/>
          <w:sz w:val="32"/>
          <w:szCs w:val="32"/>
          <w:shd w:val="clear" w:fill="FFFFFF"/>
        </w:rPr>
        <w:t>1.一般公共服务（类）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年初预算为0万元，支出决算为34.42万元，完成年初预算的100%。决算数大于（小于）预算数的主要原因：是2019年新成立单位，无预算数，由民政局和人社局调整资金至我单位。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b/>
          <w:kern w:val="0"/>
          <w:sz w:val="32"/>
          <w:szCs w:val="32"/>
          <w:shd w:val="clear" w:fill="FFFFFF"/>
        </w:rPr>
        <w:t>2.教育（类）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年初预算为0万元，支出决算数9.56万元，完成年初预算的100%，决算数大于（小于）预算数的主要原因：是2019年新成立单位，无预算数，由民政局和人社局调整资金至我单位。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kern w:val="0"/>
          <w:sz w:val="32"/>
          <w:szCs w:val="32"/>
          <w:shd w:val="clear" w:fill="FFFFFF"/>
        </w:rPr>
        <w:t>3.</w:t>
      </w:r>
      <w:r>
        <w:rPr>
          <w:rFonts w:hint="eastAsia" w:ascii="仿宋_GB2312" w:hAnsi="ˎ̥" w:eastAsia="仿宋_GB2312" w:cs="仿宋_GB2312"/>
          <w:b/>
          <w:kern w:val="0"/>
          <w:sz w:val="32"/>
          <w:szCs w:val="32"/>
          <w:shd w:val="clear" w:fill="FFFFFF"/>
        </w:rPr>
        <w:t>科学技术（类）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年初预算为0万元，支出决算数1万元，完成年初预算的100%，决算数大于（小于）预算数的主要原因：是2019年新成立单位，无预算数，由民政局和人社局调整资金至我单位。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b/>
          <w:kern w:val="0"/>
          <w:sz w:val="32"/>
          <w:szCs w:val="32"/>
          <w:shd w:val="clear" w:fill="FFFFFF"/>
        </w:rPr>
        <w:t>3.社会保障和就业（类）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年初预算为0万元，支出决算数983.2万元，完成年初预算的100%，决算数大于（小于）预算数的主要原因：是2019年新成立单位，无预算数，由民政局和人社局调整资金至我单位。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kern w:val="0"/>
          <w:sz w:val="32"/>
          <w:szCs w:val="32"/>
          <w:shd w:val="clear" w:fill="FFFFFF"/>
        </w:rPr>
        <w:t>4.</w:t>
      </w:r>
      <w:r>
        <w:rPr>
          <w:rFonts w:hint="eastAsia" w:ascii="仿宋_GB2312" w:hAnsi="ˎ̥" w:eastAsia="仿宋_GB2312" w:cs="仿宋_GB2312"/>
          <w:b/>
          <w:kern w:val="0"/>
          <w:sz w:val="32"/>
          <w:szCs w:val="32"/>
          <w:shd w:val="clear" w:fill="FFFFFF"/>
        </w:rPr>
        <w:t>卫生健康（类）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年初预算为0万元，支出决算数42.59万元，完成年初预算的100%，决算数大于（小于）预算数的主要原因：是2019年新成立单位，无预算数，由民政局和人社局调整资金至我单位。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b/>
          <w:kern w:val="0"/>
          <w:sz w:val="32"/>
          <w:szCs w:val="32"/>
          <w:shd w:val="clear" w:fill="FFFFFF"/>
        </w:rPr>
        <w:t>5.节能环保（类）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年初预算为0万元，支出决算数0.9万元，完成年初预算的100%，决算数大于（小于）预算数的主要原因：是2019年新成立单位，无预算数，由民政局和人社局调整资金至我单位。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b/>
          <w:kern w:val="0"/>
          <w:sz w:val="32"/>
          <w:szCs w:val="32"/>
          <w:shd w:val="clear" w:fill="FFFFFF"/>
        </w:rPr>
      </w:pPr>
      <w:r>
        <w:rPr>
          <w:rFonts w:hint="eastAsia" w:ascii="仿宋_GB2312" w:hAnsi="ˎ̥" w:eastAsia="仿宋_GB2312" w:cs="仿宋_GB2312"/>
          <w:b/>
          <w:kern w:val="0"/>
          <w:sz w:val="32"/>
          <w:szCs w:val="32"/>
          <w:shd w:val="clear" w:fill="FFFFFF"/>
        </w:rPr>
        <w:t>6.住房保障（类）</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年初预算为0万元，支出决算数2.24万元，完成年初预算的100%，决算数大于（小于）预算数的主要原因：是2019年新成立单位，无预算数，由民政局和人社局调整资金至我单位。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六、一般公共预算财政拨款基本支出决算情况说明。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2019年度财政拨款基本支出</w:t>
      </w:r>
      <w:r>
        <w:rPr>
          <w:rFonts w:hint="eastAsia" w:ascii="仿宋_GB2312" w:hAnsi="宋体" w:eastAsia="仿宋_GB2312" w:cs="仿宋_GB2312"/>
          <w:kern w:val="0"/>
          <w:sz w:val="32"/>
          <w:szCs w:val="32"/>
          <w:shd w:val="clear" w:fill="FFFFFF"/>
        </w:rPr>
        <w:t>47.04</w:t>
      </w:r>
      <w:r>
        <w:rPr>
          <w:rFonts w:hint="eastAsia" w:ascii="仿宋_GB2312" w:hAnsi="ˎ̥" w:eastAsia="仿宋_GB2312" w:cs="仿宋_GB2312"/>
          <w:kern w:val="0"/>
          <w:sz w:val="32"/>
          <w:szCs w:val="32"/>
          <w:shd w:val="clear" w:fill="FFFFFF"/>
        </w:rPr>
        <w:t>万元，其中：人员经费</w:t>
      </w:r>
      <w:r>
        <w:rPr>
          <w:rFonts w:hint="eastAsia" w:ascii="仿宋_GB2312" w:hAnsi="宋体" w:eastAsia="仿宋_GB2312" w:cs="仿宋_GB2312"/>
          <w:kern w:val="0"/>
          <w:sz w:val="32"/>
          <w:szCs w:val="32"/>
          <w:shd w:val="clear" w:fill="FFFFFF"/>
        </w:rPr>
        <w:t>37.07</w:t>
      </w:r>
      <w:r>
        <w:rPr>
          <w:rFonts w:hint="eastAsia" w:ascii="仿宋_GB2312" w:hAnsi="ˎ̥" w:eastAsia="仿宋_GB2312" w:cs="仿宋_GB2312"/>
          <w:kern w:val="0"/>
          <w:sz w:val="32"/>
          <w:szCs w:val="32"/>
          <w:shd w:val="clear" w:fill="FFFFFF"/>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eastAsia" w:ascii="仿宋_GB2312" w:hAnsi="宋体" w:eastAsia="仿宋_GB2312" w:cs="仿宋_GB2312"/>
          <w:kern w:val="0"/>
          <w:sz w:val="32"/>
          <w:szCs w:val="32"/>
          <w:shd w:val="clear" w:fill="FFFFFF"/>
        </w:rPr>
        <w:t>9.97</w:t>
      </w:r>
      <w:r>
        <w:rPr>
          <w:rFonts w:hint="eastAsia" w:ascii="仿宋_GB2312" w:hAnsi="ˎ̥" w:eastAsia="仿宋_GB2312" w:cs="仿宋_GB2312"/>
          <w:kern w:val="0"/>
          <w:sz w:val="32"/>
          <w:szCs w:val="32"/>
          <w:shd w:val="clear" w:fill="FFFFFF"/>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七、政府性基金</w:t>
      </w:r>
      <w:bookmarkStart w:id="253" w:name="_GoBack"/>
      <w:bookmarkEnd w:id="253"/>
      <w:r>
        <w:rPr>
          <w:rFonts w:hint="eastAsia" w:ascii="黑体" w:hAnsi="宋体" w:eastAsia="黑体" w:cs="黑体"/>
          <w:kern w:val="0"/>
          <w:sz w:val="32"/>
          <w:szCs w:val="32"/>
          <w:shd w:val="clear" w:fill="FFFFFF"/>
        </w:rPr>
        <w:t>预算财政拨款收入支出决算情况说明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（一）2019年度政府性基金预算财政拨款收入</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（二）2019年度政府性基金预算财政拨款支出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（三）2019年度政府性基金预算财政拨款支出年初预算为0万元，支出决算为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仿宋_GB2312" w:hAnsi="ˎ̥" w:eastAsia="楷体_GB2312" w:cs="仿宋_GB2312"/>
          <w:kern w:val="0"/>
          <w:sz w:val="32"/>
          <w:szCs w:val="32"/>
          <w:shd w:val="clear" w:fill="FFFFFF"/>
        </w:rPr>
      </w:pPr>
      <w:r>
        <w:rPr>
          <w:rFonts w:hint="eastAsia" w:ascii="黑体" w:hAnsi="宋体" w:eastAsia="黑体" w:cs="黑体"/>
          <w:kern w:val="0"/>
          <w:sz w:val="32"/>
          <w:szCs w:val="32"/>
          <w:shd w:val="clear" w:fill="FFFFFF"/>
        </w:rPr>
        <w:t>八、一般公共预算财政拨款“三公”经费支出决算情况说明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楷体" w:hAnsi="楷体" w:eastAsia="楷体" w:cs="楷体"/>
          <w:kern w:val="0"/>
          <w:sz w:val="32"/>
          <w:szCs w:val="32"/>
          <w:shd w:val="clear" w:fill="FFFFFF"/>
        </w:rPr>
      </w:pPr>
      <w:r>
        <w:rPr>
          <w:rFonts w:hint="eastAsia" w:ascii="楷体" w:hAnsi="楷体" w:eastAsia="楷体" w:cs="楷体"/>
          <w:b/>
          <w:kern w:val="0"/>
          <w:sz w:val="32"/>
          <w:szCs w:val="32"/>
          <w:shd w:val="clear" w:fill="FFFFFF"/>
        </w:rPr>
        <w:t>（一）一般公共预算财政拨款“三公”经费支出决算总体情况说明。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    2019年度一般公共预算财政拨款</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三公</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经费支出预算为5万元，支出决算为</w:t>
      </w:r>
      <w:r>
        <w:rPr>
          <w:rFonts w:hint="eastAsia" w:ascii="仿宋_GB2312" w:hAnsi="宋体" w:eastAsia="仿宋_GB2312" w:cs="仿宋_GB2312"/>
          <w:kern w:val="0"/>
          <w:sz w:val="32"/>
          <w:szCs w:val="32"/>
          <w:shd w:val="clear" w:fill="FFFFFF"/>
        </w:rPr>
        <w:t>1.84</w:t>
      </w:r>
      <w:r>
        <w:rPr>
          <w:rFonts w:hint="eastAsia" w:ascii="仿宋_GB2312" w:hAnsi="ˎ̥" w:eastAsia="仿宋_GB2312" w:cs="仿宋_GB2312"/>
          <w:kern w:val="0"/>
          <w:sz w:val="32"/>
          <w:szCs w:val="32"/>
          <w:shd w:val="clear" w:fill="FFFFFF"/>
        </w:rPr>
        <w:t>万元，完成预算的36.8%。</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 xml:space="preserve">    （二）一般公共预算“三公”经费财政拨款支出决算具体情况说明。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2019年度一般公共预算财政拨款</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三公</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经费支出决算中，因公出国（境）费支出决算</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万元，占0%；公务用车购置及运行费支出决算</w:t>
      </w:r>
      <w:r>
        <w:rPr>
          <w:rFonts w:hint="eastAsia" w:ascii="仿宋_GB2312" w:hAnsi="宋体" w:eastAsia="仿宋_GB2312" w:cs="仿宋_GB2312"/>
          <w:kern w:val="0"/>
          <w:sz w:val="32"/>
          <w:szCs w:val="32"/>
          <w:shd w:val="clear" w:fill="FFFFFF"/>
        </w:rPr>
        <w:t>1.84</w:t>
      </w:r>
      <w:r>
        <w:rPr>
          <w:rFonts w:hint="eastAsia" w:ascii="仿宋_GB2312" w:hAnsi="ˎ̥" w:eastAsia="仿宋_GB2312" w:cs="仿宋_GB2312"/>
          <w:kern w:val="0"/>
          <w:sz w:val="32"/>
          <w:szCs w:val="32"/>
          <w:shd w:val="clear" w:fill="FFFFFF"/>
        </w:rPr>
        <w:t>万元，占100%；公务接待费支出决算</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万元，占0%。具体情况如下：</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b/>
          <w:kern w:val="0"/>
          <w:sz w:val="32"/>
          <w:szCs w:val="32"/>
          <w:shd w:val="clear" w:fill="FFFFFF"/>
        </w:rPr>
        <w:t>1.因公出国（境）费</w:t>
      </w:r>
      <w:r>
        <w:rPr>
          <w:rFonts w:hint="eastAsia" w:ascii="仿宋_GB2312" w:hAnsi="ˎ̥" w:eastAsia="仿宋_GB2312" w:cs="仿宋_GB2312"/>
          <w:kern w:val="0"/>
          <w:sz w:val="32"/>
          <w:szCs w:val="32"/>
          <w:shd w:val="clear" w:fill="FFFFFF"/>
        </w:rPr>
        <w:t>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万元。全年安排因公出国（境）团组0个，因公出国（境）0人次。</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因公出国（境）费支出决算与预算一样，都为0万元。</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b/>
          <w:kern w:val="0"/>
          <w:sz w:val="32"/>
          <w:szCs w:val="32"/>
          <w:shd w:val="clear" w:fill="FFFFFF"/>
        </w:rPr>
        <w:t xml:space="preserve">    2.公务用车购置及运行费支出</w:t>
      </w:r>
      <w:r>
        <w:rPr>
          <w:rFonts w:hint="eastAsia" w:ascii="仿宋_GB2312" w:hAnsi="宋体" w:eastAsia="仿宋_GB2312" w:cs="仿宋_GB2312"/>
          <w:kern w:val="0"/>
          <w:sz w:val="32"/>
          <w:szCs w:val="32"/>
          <w:shd w:val="clear" w:fill="FFFFFF"/>
        </w:rPr>
        <w:t>1.84</w:t>
      </w:r>
      <w:r>
        <w:rPr>
          <w:rFonts w:hint="eastAsia" w:ascii="仿宋_GB2312" w:hAnsi="ˎ̥" w:eastAsia="仿宋_GB2312" w:cs="仿宋_GB2312"/>
          <w:kern w:val="0"/>
          <w:sz w:val="32"/>
          <w:szCs w:val="32"/>
          <w:shd w:val="clear" w:fill="FFFFFF"/>
        </w:rPr>
        <w:t>万元。其中：</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b/>
          <w:kern w:val="0"/>
          <w:sz w:val="32"/>
          <w:szCs w:val="32"/>
          <w:shd w:val="clear" w:fill="FFFFFF"/>
        </w:rPr>
        <w:t>公务用车购置支出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万元，全年购置公务用车0辆，年末公务用车保有量1辆。</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b/>
          <w:kern w:val="0"/>
          <w:sz w:val="32"/>
          <w:szCs w:val="32"/>
          <w:shd w:val="clear" w:fill="FFFFFF"/>
        </w:rPr>
        <w:t>公务用车运行维护费</w:t>
      </w:r>
      <w:r>
        <w:rPr>
          <w:rFonts w:hint="eastAsia" w:ascii="仿宋_GB2312" w:hAnsi="ˎ̥" w:eastAsia="仿宋_GB2312" w:cs="仿宋_GB2312"/>
          <w:kern w:val="0"/>
          <w:sz w:val="32"/>
          <w:szCs w:val="32"/>
          <w:shd w:val="clear" w:fill="FFFFFF"/>
        </w:rPr>
        <w:t>支出</w:t>
      </w:r>
      <w:r>
        <w:rPr>
          <w:rFonts w:hint="eastAsia" w:ascii="仿宋_GB2312" w:hAnsi="宋体" w:eastAsia="仿宋_GB2312" w:cs="仿宋_GB2312"/>
          <w:kern w:val="0"/>
          <w:sz w:val="32"/>
          <w:szCs w:val="32"/>
          <w:shd w:val="clear" w:fill="FFFFFF"/>
        </w:rPr>
        <w:t>1.84</w:t>
      </w:r>
      <w:r>
        <w:rPr>
          <w:rFonts w:hint="eastAsia" w:ascii="仿宋_GB2312" w:hAnsi="ˎ̥" w:eastAsia="仿宋_GB2312" w:cs="仿宋_GB2312"/>
          <w:kern w:val="0"/>
          <w:sz w:val="32"/>
          <w:szCs w:val="32"/>
          <w:shd w:val="clear" w:fill="FFFFFF"/>
        </w:rPr>
        <w:t>万元，主要用于公车加油、保养、维修、保险、年审等费用。</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公务用车购置及运行费支出决算比预算数减少3.16万元，下降63.2%。主要原因是新成立单位，下半年公车运行费用未达到。</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b/>
          <w:kern w:val="0"/>
          <w:sz w:val="32"/>
          <w:szCs w:val="32"/>
          <w:shd w:val="clear" w:fill="FFFFFF"/>
        </w:rPr>
        <w:t xml:space="preserve">    3.公务接待费支出</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27" w:firstLineChars="196"/>
        <w:textAlignment w:val="auto"/>
        <w:rPr>
          <w:rFonts w:hint="eastAsia" w:ascii="仿宋_GB2312" w:hAnsi="ˎ̥" w:eastAsia="楷体_GB2312" w:cs="仿宋_GB2312"/>
          <w:kern w:val="0"/>
          <w:sz w:val="32"/>
          <w:szCs w:val="32"/>
          <w:shd w:val="clear" w:fill="FFFFFF"/>
        </w:rPr>
      </w:pPr>
      <w:r>
        <w:rPr>
          <w:rFonts w:hint="eastAsia" w:ascii="黑体" w:hAnsi="宋体" w:eastAsia="黑体" w:cs="黑体"/>
          <w:kern w:val="0"/>
          <w:sz w:val="32"/>
          <w:szCs w:val="32"/>
          <w:shd w:val="clear" w:fill="FFFFFF"/>
        </w:rPr>
        <w:t>九、政府性基金预算财政拨款“三公”经费支出决算情况说明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2019年度政府性基金预算财政拨款</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三公</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经费支出合计</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万元。其中：因公出国（境）费支出决算</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万元，占0%；公务用车购置及运行费支出决算</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万元，占0%；公务接待费支出决算</w:t>
      </w:r>
      <w:r>
        <w:rPr>
          <w:rFonts w:hint="eastAsia" w:ascii="仿宋_GB2312" w:hAnsi="宋体" w:eastAsia="仿宋_GB2312" w:cs="仿宋_GB2312"/>
          <w:kern w:val="0"/>
          <w:sz w:val="32"/>
          <w:szCs w:val="32"/>
          <w:shd w:val="clear" w:fill="FFFFFF"/>
        </w:rPr>
        <w:t>0.00</w:t>
      </w:r>
      <w:r>
        <w:rPr>
          <w:rFonts w:hint="eastAsia" w:ascii="仿宋_GB2312" w:hAnsi="ˎ̥" w:eastAsia="仿宋_GB2312" w:cs="仿宋_GB2312"/>
          <w:kern w:val="0"/>
          <w:sz w:val="32"/>
          <w:szCs w:val="32"/>
          <w:shd w:val="clear" w:fill="FFFFFF"/>
        </w:rPr>
        <w:t>万元，占0%。</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十、预算绩效情况说明。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（一）绩效管理工作开展情况。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宋体" w:eastAsia="仿宋_GB2312" w:cs="仿宋_GB2312"/>
          <w:kern w:val="0"/>
          <w:sz w:val="32"/>
          <w:szCs w:val="32"/>
          <w:shd w:val="clear" w:fill="FFFFFF"/>
        </w:rPr>
      </w:pPr>
      <w:r>
        <w:rPr>
          <w:rFonts w:hint="eastAsia" w:ascii="仿宋_GB2312" w:hAnsi="宋体" w:eastAsia="仿宋_GB2312" w:cs="仿宋_GB2312"/>
          <w:kern w:val="0"/>
          <w:sz w:val="32"/>
          <w:szCs w:val="32"/>
          <w:shd w:val="clear" w:fill="FFFFFF"/>
        </w:rPr>
        <w:t>根据财政预算绩效管理要求，我单位组织对2019年度一般公共预算项目支出全面开展绩效自评。自评项目1个，共涉及资金36.5万元，自评覆盖率达到100%。</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（二）部门决算中项目绩效自评结果。</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黑体" w:hAnsi="宋体" w:eastAsia="黑体" w:cs="黑体"/>
          <w:kern w:val="0"/>
          <w:sz w:val="32"/>
          <w:szCs w:val="32"/>
          <w:shd w:val="clear" w:fill="FFFFFF"/>
        </w:rPr>
      </w:pPr>
      <w:r>
        <w:rPr>
          <w:rFonts w:hint="eastAsia" w:ascii="仿宋_GB2312" w:hAnsi="宋体" w:eastAsia="仿宋_GB2312" w:cs="仿宋_GB2312"/>
          <w:kern w:val="0"/>
          <w:sz w:val="32"/>
          <w:szCs w:val="32"/>
          <w:shd w:val="clear" w:fill="FFFFFF"/>
        </w:rPr>
        <w:t xml:space="preserve">军休及退役士兵安置管理项目自评得分为95分。发现的主要问题及原因：支出进度相对较慢。下一步改进措施：加快支出进度。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十一、其他重要事项情况说明。</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（一）机关运行经费支出情况。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楷体" w:hAnsi="楷体" w:eastAsia="楷体" w:cs="楷体"/>
          <w:b/>
          <w:kern w:val="0"/>
          <w:sz w:val="32"/>
          <w:szCs w:val="32"/>
          <w:shd w:val="clear" w:fill="FFFFFF"/>
        </w:rPr>
      </w:pPr>
      <w:r>
        <w:rPr>
          <w:rFonts w:hint="eastAsia" w:ascii="仿宋_GB2312" w:hAnsi="ˎ̥" w:eastAsia="仿宋_GB2312" w:cs="仿宋_GB2312"/>
          <w:kern w:val="0"/>
          <w:sz w:val="32"/>
          <w:szCs w:val="32"/>
          <w:shd w:val="clear" w:fill="FFFFFF"/>
        </w:rPr>
        <w:t>2019年度屯昌县退役军人事务局机关运行经费99719.44万元（为部门决算中行政单位和参公事业单位使用一般公共预算财政拨款安排的基本支出中的日常公用经费支出，事业单位没有机关运行经费支出），比年初预算增加99719.44万元，增长100%。原因是2019年新成立单位，无年初预算数。</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楷体" w:hAnsi="楷体" w:eastAsia="楷体" w:cs="楷体"/>
          <w:b/>
          <w:kern w:val="0"/>
          <w:sz w:val="32"/>
          <w:szCs w:val="32"/>
          <w:shd w:val="clear" w:fill="FFFFFF"/>
        </w:rPr>
      </w:pPr>
      <w:r>
        <w:rPr>
          <w:rFonts w:hint="eastAsia" w:ascii="楷体" w:hAnsi="楷体" w:eastAsia="楷体" w:cs="楷体"/>
          <w:b/>
          <w:kern w:val="0"/>
          <w:sz w:val="32"/>
          <w:szCs w:val="32"/>
          <w:shd w:val="clear" w:fill="FFFFFF"/>
        </w:rPr>
        <w:t>（二）政府采购支出情况。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2019年度屯昌县退役军人事务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3" w:firstLineChars="200"/>
        <w:textAlignment w:val="auto"/>
        <w:rPr>
          <w:rFonts w:hint="eastAsia" w:ascii="楷体" w:hAnsi="楷体" w:eastAsia="楷体" w:cs="楷体"/>
          <w:b/>
          <w:color w:val="000000"/>
          <w:kern w:val="0"/>
          <w:sz w:val="32"/>
          <w:szCs w:val="32"/>
          <w:shd w:val="clear" w:fill="FFFFFF"/>
        </w:rPr>
      </w:pPr>
      <w:r>
        <w:rPr>
          <w:rFonts w:hint="eastAsia" w:ascii="楷体" w:hAnsi="楷体" w:eastAsia="楷体" w:cs="楷体"/>
          <w:b/>
          <w:color w:val="000000"/>
          <w:kern w:val="0"/>
          <w:sz w:val="32"/>
          <w:szCs w:val="32"/>
          <w:shd w:val="clear" w:fill="FFFFFF"/>
        </w:rPr>
        <w:t>（三）国有资产占用情况。</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截至2019年度12月31日，本部门占用房屋面积0平方米，其中：办公用房0平方米，业务用房0平方米，其他（不含构筑物）0平方米。</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本部门共有车辆1辆，其中：从车辆种类说明：轿车1辆、越野车0辆、小型载客汽车0辆、大中型载客汽车0辆、其他用车0辆；从车辆使用情况说明：副部（省）级及以上领导用车0辆、主要领导干部用车0辆、机要通信用车0辆、应急保障用车0辆、执法执勤用车0辆、特种专业技术用车0辆、离退休干部用车0辆、其他用车1辆。</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单位价值50万元（含）以上通用设备0台（套），单价100万元（含）以上专用设备0台（套）。</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年末在建工程0万元。</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 xml:space="preserve">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outlineLvl w:val="0"/>
        <w:rPr>
          <w:rFonts w:hint="eastAsia" w:ascii="黑体" w:hAnsi="ˎ̥" w:eastAsia="黑体" w:cs="黑体"/>
          <w:kern w:val="0"/>
          <w:sz w:val="32"/>
          <w:szCs w:val="32"/>
          <w:shd w:val="clear" w:fill="FFFFFF"/>
        </w:rPr>
      </w:pPr>
      <w:bookmarkStart w:id="236" w:name="_Toc1460"/>
      <w:bookmarkEnd w:id="236"/>
      <w:bookmarkStart w:id="237" w:name="_Toc7624"/>
      <w:bookmarkEnd w:id="237"/>
      <w:bookmarkStart w:id="238" w:name="_Toc24150"/>
      <w:bookmarkEnd w:id="238"/>
      <w:bookmarkStart w:id="239" w:name="_Toc19860"/>
      <w:bookmarkEnd w:id="239"/>
      <w:bookmarkStart w:id="240" w:name="_Toc12663"/>
      <w:bookmarkEnd w:id="240"/>
      <w:bookmarkStart w:id="241" w:name="_Toc15259"/>
      <w:bookmarkEnd w:id="241"/>
      <w:bookmarkStart w:id="242" w:name="_Toc19323"/>
      <w:bookmarkEnd w:id="242"/>
      <w:bookmarkStart w:id="243" w:name="_Toc3973"/>
      <w:bookmarkEnd w:id="243"/>
      <w:bookmarkStart w:id="244" w:name="_Toc31197"/>
      <w:bookmarkEnd w:id="244"/>
      <w:bookmarkStart w:id="245" w:name="_Toc19645"/>
      <w:bookmarkEnd w:id="245"/>
      <w:bookmarkStart w:id="246" w:name="_Toc27848"/>
      <w:bookmarkEnd w:id="246"/>
      <w:bookmarkStart w:id="247" w:name="_Toc26786"/>
      <w:bookmarkEnd w:id="247"/>
      <w:bookmarkStart w:id="248" w:name="_Toc32248"/>
      <w:bookmarkEnd w:id="248"/>
      <w:bookmarkStart w:id="249" w:name="_Toc24116"/>
      <w:bookmarkEnd w:id="249"/>
      <w:bookmarkStart w:id="250" w:name="_Toc30542"/>
      <w:bookmarkEnd w:id="250"/>
      <w:bookmarkStart w:id="251" w:name="_Toc16371"/>
      <w:bookmarkEnd w:id="251"/>
      <w:bookmarkStart w:id="252" w:name="_Toc5048"/>
      <w:r>
        <w:rPr>
          <w:rFonts w:hint="eastAsia" w:ascii="黑体" w:hAnsi="宋体" w:eastAsia="黑体" w:cs="黑体"/>
          <w:kern w:val="0"/>
          <w:sz w:val="32"/>
          <w:szCs w:val="32"/>
          <w:shd w:val="clear" w:fill="FFFFFF"/>
        </w:rPr>
        <w:t>第四部分</w:t>
      </w:r>
      <w:bookmarkEnd w:id="252"/>
      <w:r>
        <w:rPr>
          <w:rFonts w:hint="eastAsia" w:ascii="黑体" w:hAnsi="ˎ̥" w:eastAsia="黑体" w:cs="黑体"/>
          <w:kern w:val="0"/>
          <w:sz w:val="32"/>
          <w:szCs w:val="32"/>
          <w:shd w:val="clear" w:fill="FFFFFF"/>
        </w:rPr>
        <w:t xml:space="preserve">  </w:t>
      </w:r>
      <w:r>
        <w:rPr>
          <w:rFonts w:hint="eastAsia" w:ascii="黑体" w:hAnsi="宋体" w:eastAsia="黑体" w:cs="黑体"/>
          <w:kern w:val="0"/>
          <w:sz w:val="32"/>
          <w:szCs w:val="32"/>
          <w:shd w:val="clear" w:fill="FFFFFF"/>
        </w:rPr>
        <w:t>名词解释</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ˎ̥" w:eastAsia="黑体" w:cs="黑体"/>
          <w:kern w:val="0"/>
          <w:sz w:val="32"/>
          <w:szCs w:val="32"/>
          <w:shd w:val="clear" w:fill="FFFFFF"/>
        </w:rPr>
      </w:pPr>
      <w:r>
        <w:rPr>
          <w:rFonts w:hint="eastAsia" w:ascii="黑体" w:hAnsi="ˎ̥" w:eastAsia="黑体" w:cs="黑体"/>
          <w:kern w:val="0"/>
          <w:sz w:val="32"/>
          <w:szCs w:val="32"/>
          <w:shd w:val="clear" w:fill="FFFFFF"/>
        </w:rPr>
        <w:t xml:space="preserve"> </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一、财政拨款收入：指本级财政当年拨付的资金。</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二、事业收入：指事业单位开展专业业务活动及辅助活动取得的收入。</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三、经营收入：指事业单位在专业业务活动及其辅助活动之外开展非独立核算经营活动取得的收入。</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四、其他收入：指除上述“财政拨款收入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事业收入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经营收入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等以外的收入。</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五、用事业基金弥补收支差额：指事业单位在当年的“财政拨款收入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事业收入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经营收入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其他收入</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六、年初结转和结余：指以前年度尚未完成、结转到本年按有关规定继续使用的资金。</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七、结余分配：指事业单位按规定提取的职工福利基金、事业基金和缴纳的所得税，以及建设单位按规定应交回的基本建设竣工项目结余资金。</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八、年末结转和结余：指本年度或以前年度预算安排、因客观条件发生变化无法按原计划实施，需要延迟到以后年度按有关规定继续使用的资金。</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九、基本支出：指为保障机构正常运转、完成日常工作任务而发生的人员支出和公用支出。</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十、项目支出：指在基本支出之外为完成特定行政任务和事业发展目标所发生的支出。</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十一、经营支出：指事业单位在专业业务活动及其辅助活动之外开展非独立核算经营活动发生的支出。</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十二、“三公</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经费：纳入本级财政预决算管理的</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三公</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rPr>
        <w:t>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0" w:firstLineChars="200"/>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ind w:left="0" w:firstLine="645"/>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十四、（支出功能分类的名词解释，各部门（单位）根据实际支出情况填列，可参阅财政部印发的《2019年政府收支分类科目》）</w:t>
      </w:r>
    </w:p>
    <w:p>
      <w:pPr>
        <w:keepNext w:val="0"/>
        <w:keepLines w:val="0"/>
        <w:pageBreakBefore w:val="0"/>
        <w:shd w:val="clear" w:fill="FFFFFF"/>
        <w:kinsoku/>
        <w:wordWrap/>
        <w:overflowPunct/>
        <w:topLinePunct w:val="0"/>
        <w:autoSpaceDE/>
        <w:autoSpaceDN/>
        <w:bidi w:val="0"/>
        <w:adjustRightInd/>
        <w:snapToGrid/>
        <w:spacing w:before="0" w:beforeAutospacing="0" w:after="0" w:afterAutospacing="0" w:line="590" w:lineRule="exact"/>
        <w:textAlignment w:val="auto"/>
        <w:rPr>
          <w:rFonts w:hint="eastAsia" w:ascii="仿宋_GB2312" w:hAnsi="ˎ̥" w:eastAsia="仿宋_GB2312" w:cs="仿宋_GB2312"/>
          <w:kern w:val="0"/>
          <w:sz w:val="32"/>
          <w:szCs w:val="32"/>
          <w:shd w:val="clear" w:fill="FFFFFF"/>
        </w:rPr>
      </w:pPr>
      <w:r>
        <w:rPr>
          <w:rFonts w:hint="eastAsia" w:ascii="仿宋_GB2312" w:hAnsi="ˎ̥" w:eastAsia="仿宋_GB2312" w:cs="仿宋_GB2312"/>
          <w:kern w:val="0"/>
          <w:sz w:val="32"/>
          <w:szCs w:val="32"/>
          <w:shd w:val="clear" w:fill="FFFFFF"/>
        </w:rPr>
        <w:t>……</w:t>
      </w:r>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7604"/>
    <w:multiLevelType w:val="multilevel"/>
    <w:tmpl w:val="4B2D7604"/>
    <w:lvl w:ilvl="0" w:tentative="0">
      <w:start w:val="1"/>
      <w:numFmt w:val="japaneseCounting"/>
      <w:lvlText w:val="%1、"/>
      <w:lvlJc w:val="left"/>
      <w:pPr>
        <w:tabs>
          <w:tab w:val="left" w:pos="0"/>
        </w:tabs>
        <w:ind w:left="1360" w:hanging="72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7DA9CF06"/>
    <w:multiLevelType w:val="multilevel"/>
    <w:tmpl w:val="7DA9CF06"/>
    <w:lvl w:ilvl="0" w:tentative="0">
      <w:start w:val="1"/>
      <w:numFmt w:val="japaneseCounting"/>
      <w:lvlText w:val="（%1）"/>
      <w:lvlJc w:val="left"/>
      <w:pPr>
        <w:tabs>
          <w:tab w:val="left" w:pos="0"/>
        </w:tabs>
        <w:ind w:left="1720" w:hanging="108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C4DB0"/>
    <w:rsid w:val="400557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99"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qFormat="1"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5">
    <w:name w:val="Default Paragraph Font"/>
    <w:semiHidden/>
    <w:unhideWhenUsed/>
    <w:uiPriority w:val="99"/>
  </w:style>
  <w:style w:type="table" w:default="1" w:styleId="14">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99"/>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styleId="9">
    <w:name w:val="header"/>
    <w:basedOn w:val="1"/>
    <w:uiPriority w:val="99"/>
    <w:pPr>
      <w:keepNext w:val="0"/>
      <w:keepLines w:val="0"/>
      <w:widowControl/>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eastAsia" w:ascii="宋体" w:hAnsi="宋体" w:eastAsia="宋体" w:cs="宋体"/>
      <w:kern w:val="0"/>
      <w:sz w:val="18"/>
      <w:szCs w:val="18"/>
      <w:lang w:val="en-US" w:eastAsia="zh-CN" w:bidi="ar"/>
    </w:rPr>
  </w:style>
  <w:style w:type="paragraph" w:styleId="10">
    <w:name w:val="toc 1"/>
    <w:basedOn w:val="1"/>
    <w:next w:val="1"/>
    <w:uiPriority w:val="3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11">
    <w:name w:val="toc 2"/>
    <w:basedOn w:val="1"/>
    <w:next w:val="1"/>
    <w:uiPriority w:val="39"/>
    <w:pPr>
      <w:keepNext w:val="0"/>
      <w:keepLines w:val="0"/>
      <w:widowControl/>
      <w:suppressLineNumbers w:val="0"/>
      <w:spacing w:before="0" w:beforeAutospacing="0" w:after="0" w:afterAutospacing="0"/>
      <w:ind w:left="420" w:leftChars="200" w:right="0"/>
      <w:jc w:val="left"/>
    </w:pPr>
    <w:rPr>
      <w:rFonts w:hint="eastAsia" w:ascii="宋体" w:hAnsi="宋体" w:eastAsia="宋体" w:cs="宋体"/>
      <w:kern w:val="0"/>
      <w:sz w:val="24"/>
      <w:szCs w:val="24"/>
      <w:lang w:val="en-US" w:eastAsia="zh-CN" w:bidi="ar"/>
    </w:rPr>
  </w:style>
  <w:style w:type="paragraph" w:styleId="12">
    <w:name w:val="HTML Preformatted"/>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16">
    <w:name w:val="Hyperlink"/>
    <w:basedOn w:val="15"/>
    <w:qFormat/>
    <w:uiPriority w:val="99"/>
    <w:rPr>
      <w:color w:val="0000FF"/>
      <w:u w:val="single"/>
    </w:rPr>
  </w:style>
  <w:style w:type="character" w:customStyle="1" w:styleId="17">
    <w:name w:val="26"/>
    <w:basedOn w:val="15"/>
    <w:qFormat/>
    <w:uiPriority w:val="0"/>
    <w:rPr>
      <w:rFonts w:hint="eastAsia" w:ascii="宋体" w:hAnsi="宋体" w:eastAsia="宋体" w:cs="宋体"/>
      <w:sz w:val="24"/>
      <w:szCs w:val="24"/>
    </w:rPr>
  </w:style>
  <w:style w:type="character" w:customStyle="1" w:styleId="18">
    <w:name w:val="10"/>
    <w:basedOn w:val="15"/>
    <w:qFormat/>
    <w:uiPriority w:val="0"/>
    <w:rPr>
      <w:rFonts w:hint="default" w:ascii="Times New Roman" w:hAnsi="Times New Roman" w:cs="Times New Roman"/>
    </w:rPr>
  </w:style>
  <w:style w:type="paragraph" w:customStyle="1" w:styleId="19">
    <w:name w:val="p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0">
    <w:name w:val="wpsoffice1"/>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1">
    <w:name w:val="15"/>
    <w:basedOn w:val="15"/>
    <w:qFormat/>
    <w:uiPriority w:val="0"/>
    <w:rPr>
      <w:rFonts w:hint="default" w:ascii="Times New Roman" w:hAnsi="Times New Roman" w:cs="Times New Roman"/>
      <w:color w:val="0000FF"/>
      <w:u w:val="single"/>
    </w:rPr>
  </w:style>
  <w:style w:type="character" w:customStyle="1" w:styleId="22">
    <w:name w:val="16"/>
    <w:basedOn w:val="15"/>
    <w:qFormat/>
    <w:uiPriority w:val="0"/>
    <w:rPr>
      <w:rFonts w:hint="default" w:ascii="Times New Roman" w:hAnsi="Times New Roman" w:cs="Times New Roman"/>
    </w:rPr>
  </w:style>
  <w:style w:type="character" w:customStyle="1" w:styleId="23">
    <w:name w:val="24"/>
    <w:basedOn w:val="15"/>
    <w:qFormat/>
    <w:uiPriority w:val="0"/>
    <w:rPr>
      <w:rFonts w:hint="default" w:ascii="Times New Roman" w:hAnsi="Times New Roman" w:cs="Times New Roman"/>
    </w:rPr>
  </w:style>
  <w:style w:type="character" w:customStyle="1" w:styleId="24">
    <w:name w:val="22"/>
    <w:basedOn w:val="15"/>
    <w:qFormat/>
    <w:uiPriority w:val="0"/>
    <w:rPr>
      <w:rFonts w:hint="default" w:ascii="Times New Roman" w:hAnsi="Times New Roman" w:cs="Times New Roman"/>
    </w:rPr>
  </w:style>
  <w:style w:type="character" w:customStyle="1" w:styleId="25">
    <w:name w:val="17"/>
    <w:basedOn w:val="15"/>
    <w:uiPriority w:val="0"/>
    <w:rPr>
      <w:rFonts w:hint="default" w:ascii="Times New Roman" w:hAnsi="Times New Roman" w:cs="Times New Roman"/>
      <w:color w:val="0000FF"/>
      <w:u w:val="single"/>
    </w:rPr>
  </w:style>
  <w:style w:type="character" w:customStyle="1" w:styleId="26">
    <w:name w:val="18"/>
    <w:basedOn w:val="15"/>
    <w:uiPriority w:val="0"/>
    <w:rPr>
      <w:rFonts w:hint="default" w:ascii="Times New Roman" w:hAnsi="Times New Roman" w:cs="Times New Roman"/>
    </w:rPr>
  </w:style>
  <w:style w:type="paragraph" w:customStyle="1" w:styleId="27">
    <w:name w:val="HTML 预设格式 Char Char Char"/>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8">
    <w:name w:val="19"/>
    <w:basedOn w:val="15"/>
    <w:uiPriority w:val="0"/>
    <w:rPr>
      <w:rFonts w:hint="default" w:ascii="Times New Roman" w:hAnsi="Times New Roman" w:cs="Times New Roman"/>
    </w:rPr>
  </w:style>
  <w:style w:type="character" w:customStyle="1" w:styleId="29">
    <w:name w:val="20"/>
    <w:basedOn w:val="15"/>
    <w:uiPriority w:val="0"/>
    <w:rPr>
      <w:rFonts w:hint="default" w:ascii="Times New Roman" w:hAnsi="Times New Roman" w:cs="Times New Roman"/>
      <w:color w:val="0000FF"/>
      <w:u w:val="single"/>
    </w:rPr>
  </w:style>
  <w:style w:type="character" w:customStyle="1" w:styleId="30">
    <w:name w:val="21"/>
    <w:basedOn w:val="15"/>
    <w:uiPriority w:val="0"/>
    <w:rPr>
      <w:rFonts w:hint="eastAsia" w:ascii="宋体" w:hAnsi="宋体" w:eastAsia="宋体" w:cs="宋体"/>
      <w:sz w:val="18"/>
      <w:szCs w:val="18"/>
    </w:rPr>
  </w:style>
  <w:style w:type="character" w:customStyle="1" w:styleId="31">
    <w:name w:val="25"/>
    <w:basedOn w:val="15"/>
    <w:qFormat/>
    <w:uiPriority w:val="0"/>
    <w:rPr>
      <w:rFonts w:hint="eastAsia" w:ascii="宋体" w:hAnsi="宋体" w:eastAsia="宋体" w:cs="宋体"/>
      <w:sz w:val="18"/>
      <w:szCs w:val="18"/>
    </w:rPr>
  </w:style>
  <w:style w:type="character" w:customStyle="1" w:styleId="32">
    <w:name w:val="23"/>
    <w:basedOn w:val="15"/>
    <w:qFormat/>
    <w:uiPriority w:val="0"/>
    <w:rPr>
      <w:rFonts w:hint="default" w:ascii="Times New Roman" w:hAnsi="Times New Roman" w:cs="Times New Roman"/>
      <w:color w:val="0000FF"/>
      <w:u w:val="single"/>
    </w:rPr>
  </w:style>
  <w:style w:type="paragraph" w:customStyle="1" w:styleId="33">
    <w:name w:val="HTML 预设格式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4">
    <w:name w:val="msolistparagraph"/>
    <w:basedOn w:val="1"/>
    <w:qFormat/>
    <w:uiPriority w:val="0"/>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customStyle="1" w:styleId="35">
    <w:name w:val="wpsoffice2"/>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36">
    <w:name w:val="pre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7">
    <w:name w:val="WPSOffice手动目录 2"/>
    <w:basedOn w:val="1"/>
    <w:qFormat/>
    <w:uiPriority w:val="0"/>
    <w:pPr>
      <w:keepNext w:val="0"/>
      <w:keepLines w:val="0"/>
      <w:widowControl/>
      <w:suppressLineNumbers w:val="0"/>
      <w:spacing w:before="0" w:beforeAutospacing="0" w:after="0" w:afterAutospacing="0"/>
      <w:ind w:left="0" w:leftChars="200" w:right="0"/>
      <w:jc w:val="left"/>
    </w:pPr>
    <w:rPr>
      <w:rFonts w:hint="default" w:ascii="Times New Roman" w:hAnsi="Times New Roman" w:eastAsia="宋体" w:cs="Times New Roman"/>
      <w:kern w:val="0"/>
      <w:sz w:val="20"/>
      <w:szCs w:val="20"/>
      <w:lang w:val="en-US" w:eastAsia="zh-CN" w:bidi="ar"/>
    </w:rPr>
  </w:style>
  <w:style w:type="paragraph" w:customStyle="1" w:styleId="38">
    <w:name w:val="WPSOffice手动目录 1"/>
    <w:basedOn w:val="1"/>
    <w:uiPriority w:val="0"/>
    <w:pPr>
      <w:keepNext w:val="0"/>
      <w:keepLines w:val="0"/>
      <w:widowControl/>
      <w:suppressLineNumbers w:val="0"/>
      <w:spacing w:before="0" w:beforeAutospacing="0" w:after="0" w:afterAutospacing="0"/>
      <w:ind w:left="0" w:leftChars="0" w:right="0"/>
      <w:jc w:val="left"/>
    </w:pPr>
    <w:rPr>
      <w:rFonts w:hint="default" w:ascii="Times New Roman" w:hAnsi="Times New Roman" w:eastAsia="宋体" w:cs="Times New Roman"/>
      <w:kern w:val="0"/>
      <w:sz w:val="20"/>
      <w:szCs w:val="20"/>
      <w:lang w:val="en-US" w:eastAsia="zh-CN" w:bidi="ar"/>
    </w:rPr>
  </w:style>
  <w:style w:type="paragraph" w:customStyle="1" w:styleId="39">
    <w:name w:val="普通(网站) Char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40">
    <w:name w:val="HTML 预设格式 Char Char"/>
    <w:basedOn w:val="1"/>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1">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8</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2020-11-10T00:48:00Z</dcterms:created>
  <dc:creator>Administrator</dc:creator>
  <cp:lastModifiedBy>363501985</cp:lastModifiedBy>
  <dcterms:modified xsi:type="dcterms:W3CDTF">2020-11-10T01:44:52Z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